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Arial" w:hAnsi="Arial" w:cs="Arial"/>
          <w:lang w:val="en-GB"/>
        </w:rPr>
        <w:id w:val="442426623"/>
        <w:docPartObj>
          <w:docPartGallery w:val="Cover Pages"/>
          <w:docPartUnique/>
        </w:docPartObj>
      </w:sdtPr>
      <w:sdtEndPr>
        <w:rPr>
          <w:color w:val="1F497D" w:themeColor="text2"/>
        </w:rPr>
      </w:sdtEndPr>
      <w:sdtContent>
        <w:p w14:paraId="322CB795" w14:textId="77777777" w:rsidR="00A221D7" w:rsidRPr="00FF027F" w:rsidRDefault="00A221D7" w:rsidP="001A28BC">
          <w:pPr>
            <w:spacing w:after="0" w:line="360" w:lineRule="auto"/>
            <w:rPr>
              <w:rFonts w:ascii="Arial" w:hAnsi="Arial" w:cs="Arial"/>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B64508" w:rsidRPr="00FF027F" w14:paraId="211D40EC" w14:textId="77777777" w:rsidTr="00B64508">
            <w:trPr>
              <w:jc w:val="center"/>
            </w:trPr>
            <w:tc>
              <w:tcPr>
                <w:tcW w:w="9799" w:type="dxa"/>
              </w:tcPr>
              <w:p w14:paraId="788BAA9D" w14:textId="77777777" w:rsidR="00B64508" w:rsidRPr="00FF027F" w:rsidRDefault="00B64508" w:rsidP="00B64508">
                <w:pPr>
                  <w:spacing w:before="360" w:after="360" w:line="360" w:lineRule="auto"/>
                  <w:jc w:val="center"/>
                  <w:rPr>
                    <w:rFonts w:ascii="Arial" w:hAnsi="Arial" w:cs="Arial"/>
                    <w:lang w:val="en-GB"/>
                  </w:rPr>
                </w:pPr>
                <w:r w:rsidRPr="00FF027F">
                  <w:rPr>
                    <w:rFonts w:ascii="Arial" w:hAnsi="Arial" w:cs="Arial"/>
                    <w:noProof/>
                    <w:lang w:val="en-GB" w:eastAsia="en-GB"/>
                  </w:rPr>
                  <w:drawing>
                    <wp:inline distT="0" distB="0" distL="0" distR="0" wp14:anchorId="13A7FB38" wp14:editId="2E5D489F">
                      <wp:extent cx="2291715" cy="1053465"/>
                      <wp:effectExtent l="25400" t="0" r="0" b="0"/>
                      <wp:docPr id="6" name="Picture 6" descr="Description: acer_logo-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er_logo-def"/>
                              <pic:cNvPicPr>
                                <a:picLocks noChangeAspect="1" noChangeArrowheads="1"/>
                              </pic:cNvPicPr>
                            </pic:nvPicPr>
                            <pic:blipFill>
                              <a:blip r:embed="rId10"/>
                              <a:srcRect/>
                              <a:stretch>
                                <a:fillRect/>
                              </a:stretch>
                            </pic:blipFill>
                            <pic:spPr bwMode="auto">
                              <a:xfrm>
                                <a:off x="0" y="0"/>
                                <a:ext cx="2291715" cy="1053465"/>
                              </a:xfrm>
                              <a:prstGeom prst="rect">
                                <a:avLst/>
                              </a:prstGeom>
                              <a:noFill/>
                              <a:ln w="9525">
                                <a:noFill/>
                                <a:miter lim="800000"/>
                                <a:headEnd/>
                                <a:tailEnd/>
                              </a:ln>
                            </pic:spPr>
                          </pic:pic>
                        </a:graphicData>
                      </a:graphic>
                    </wp:inline>
                  </w:drawing>
                </w:r>
              </w:p>
            </w:tc>
          </w:tr>
          <w:tr w:rsidR="00B64508" w:rsidRPr="00FF027F" w14:paraId="178869E9" w14:textId="77777777" w:rsidTr="00B64508">
            <w:trPr>
              <w:jc w:val="center"/>
            </w:trPr>
            <w:tc>
              <w:tcPr>
                <w:tcW w:w="9799" w:type="dxa"/>
              </w:tcPr>
              <w:p w14:paraId="7A50692F" w14:textId="77777777" w:rsidR="002237C3" w:rsidRPr="00FF027F" w:rsidRDefault="002237C3" w:rsidP="00B64508">
                <w:pPr>
                  <w:spacing w:before="360" w:after="360" w:line="360" w:lineRule="auto"/>
                  <w:jc w:val="center"/>
                  <w:rPr>
                    <w:rFonts w:ascii="Arial" w:hAnsi="Arial" w:cs="Arial"/>
                    <w:b/>
                    <w:sz w:val="40"/>
                    <w:szCs w:val="40"/>
                    <w:lang w:val="en-GB"/>
                  </w:rPr>
                </w:pPr>
              </w:p>
              <w:p w14:paraId="79E02CE7" w14:textId="77777777" w:rsidR="00B64508" w:rsidRPr="00FF027F" w:rsidRDefault="00B64508" w:rsidP="00B64508">
                <w:pPr>
                  <w:spacing w:before="360" w:after="360" w:line="360" w:lineRule="auto"/>
                  <w:jc w:val="center"/>
                  <w:rPr>
                    <w:rFonts w:ascii="Arial" w:hAnsi="Arial" w:cs="Arial"/>
                    <w:b/>
                    <w:color w:val="1F497D" w:themeColor="text2"/>
                    <w:sz w:val="40"/>
                    <w:szCs w:val="40"/>
                    <w:lang w:val="en-GB"/>
                  </w:rPr>
                </w:pPr>
                <w:r w:rsidRPr="00FF027F">
                  <w:rPr>
                    <w:rFonts w:ascii="Arial" w:hAnsi="Arial" w:cs="Arial"/>
                    <w:b/>
                    <w:color w:val="1F497D" w:themeColor="text2"/>
                    <w:sz w:val="40"/>
                    <w:szCs w:val="40"/>
                    <w:lang w:val="en-GB"/>
                  </w:rPr>
                  <w:t>Agency for the</w:t>
                </w:r>
              </w:p>
              <w:p w14:paraId="28278B70" w14:textId="77777777" w:rsidR="00B64508" w:rsidRPr="00FF027F" w:rsidRDefault="00B64508" w:rsidP="00B64508">
                <w:pPr>
                  <w:spacing w:before="360" w:after="360" w:line="360" w:lineRule="auto"/>
                  <w:jc w:val="center"/>
                  <w:rPr>
                    <w:rFonts w:ascii="Arial" w:hAnsi="Arial" w:cs="Arial"/>
                    <w:b/>
                    <w:color w:val="1F497D" w:themeColor="text2"/>
                    <w:sz w:val="40"/>
                    <w:szCs w:val="40"/>
                    <w:lang w:val="en-GB"/>
                  </w:rPr>
                </w:pPr>
                <w:r w:rsidRPr="00FF027F">
                  <w:rPr>
                    <w:rFonts w:ascii="Arial" w:hAnsi="Arial" w:cs="Arial"/>
                    <w:b/>
                    <w:color w:val="1F497D" w:themeColor="text2"/>
                    <w:sz w:val="40"/>
                    <w:szCs w:val="40"/>
                    <w:lang w:val="en-GB"/>
                  </w:rPr>
                  <w:t>Cooperation of Energy Regulators</w:t>
                </w:r>
              </w:p>
              <w:p w14:paraId="101D025C" w14:textId="77777777" w:rsidR="00B64508" w:rsidRPr="00FF027F" w:rsidRDefault="002237C3" w:rsidP="002237C3">
                <w:pPr>
                  <w:spacing w:before="360" w:after="360" w:line="360" w:lineRule="auto"/>
                  <w:jc w:val="center"/>
                  <w:rPr>
                    <w:rFonts w:ascii="Arial" w:hAnsi="Arial" w:cs="Arial"/>
                    <w:color w:val="1F497D" w:themeColor="text2"/>
                    <w:lang w:val="en-GB"/>
                  </w:rPr>
                </w:pPr>
                <w:r w:rsidRPr="00FF027F">
                  <w:rPr>
                    <w:rFonts w:ascii="Arial" w:hAnsi="Arial" w:cs="Arial"/>
                    <w:b/>
                    <w:color w:val="1F497D" w:themeColor="text2"/>
                    <w:sz w:val="40"/>
                    <w:szCs w:val="40"/>
                    <w:lang w:val="en-GB"/>
                  </w:rPr>
                  <w:t>Work Programme</w:t>
                </w:r>
              </w:p>
              <w:p w14:paraId="43F03F84" w14:textId="77777777" w:rsidR="002237C3" w:rsidRPr="00FF027F" w:rsidRDefault="00146A16" w:rsidP="002237C3">
                <w:pPr>
                  <w:spacing w:before="360" w:after="360" w:line="360" w:lineRule="auto"/>
                  <w:jc w:val="center"/>
                  <w:rPr>
                    <w:rFonts w:ascii="Arial" w:hAnsi="Arial" w:cs="Arial"/>
                    <w:b/>
                    <w:color w:val="1F497D" w:themeColor="text2"/>
                    <w:sz w:val="40"/>
                    <w:szCs w:val="40"/>
                    <w:lang w:val="en-GB"/>
                  </w:rPr>
                </w:pPr>
                <w:r w:rsidRPr="00FF027F">
                  <w:rPr>
                    <w:rFonts w:ascii="Arial" w:hAnsi="Arial" w:cs="Arial"/>
                    <w:b/>
                    <w:color w:val="1F497D" w:themeColor="text2"/>
                    <w:sz w:val="40"/>
                    <w:szCs w:val="40"/>
                    <w:lang w:val="en-GB"/>
                  </w:rPr>
                  <w:t>2015</w:t>
                </w:r>
                <w:r w:rsidR="002237C3" w:rsidRPr="00FF027F">
                  <w:rPr>
                    <w:rFonts w:ascii="Arial" w:hAnsi="Arial" w:cs="Arial"/>
                    <w:b/>
                    <w:color w:val="1F497D" w:themeColor="text2"/>
                    <w:sz w:val="40"/>
                    <w:szCs w:val="40"/>
                    <w:lang w:val="en-GB"/>
                  </w:rPr>
                  <w:t xml:space="preserve"> </w:t>
                </w:r>
              </w:p>
              <w:p w14:paraId="72C1785A" w14:textId="77777777" w:rsidR="00B64508" w:rsidRPr="00FF027F" w:rsidRDefault="00B64508" w:rsidP="00B64508">
                <w:pPr>
                  <w:spacing w:before="360" w:after="360" w:line="360" w:lineRule="auto"/>
                  <w:rPr>
                    <w:rFonts w:ascii="Arial" w:hAnsi="Arial" w:cs="Arial"/>
                    <w:lang w:val="en-GB"/>
                  </w:rPr>
                </w:pPr>
              </w:p>
              <w:p w14:paraId="4A4E2382" w14:textId="06487D82" w:rsidR="00765453" w:rsidRPr="00FF027F" w:rsidRDefault="008F283B" w:rsidP="00B64508">
                <w:pPr>
                  <w:spacing w:before="360" w:after="360" w:line="360" w:lineRule="auto"/>
                  <w:jc w:val="center"/>
                  <w:rPr>
                    <w:rFonts w:ascii="Arial" w:hAnsi="Arial" w:cs="Arial"/>
                    <w:b/>
                    <w:color w:val="1F497D" w:themeColor="text2"/>
                    <w:sz w:val="32"/>
                    <w:szCs w:val="32"/>
                    <w:lang w:val="en-GB"/>
                  </w:rPr>
                </w:pPr>
                <w:r>
                  <w:rPr>
                    <w:rFonts w:ascii="Arial" w:hAnsi="Arial" w:cs="Arial"/>
                    <w:b/>
                    <w:color w:val="1F497D" w:themeColor="text2"/>
                    <w:sz w:val="32"/>
                    <w:szCs w:val="32"/>
                    <w:lang w:val="en-GB"/>
                  </w:rPr>
                  <w:t xml:space="preserve">September </w:t>
                </w:r>
                <w:r w:rsidR="00765453" w:rsidRPr="00FF027F">
                  <w:rPr>
                    <w:rFonts w:ascii="Arial" w:hAnsi="Arial" w:cs="Arial"/>
                    <w:b/>
                    <w:color w:val="1F497D" w:themeColor="text2"/>
                    <w:sz w:val="32"/>
                    <w:szCs w:val="32"/>
                    <w:lang w:val="en-GB"/>
                  </w:rPr>
                  <w:t>2014</w:t>
                </w:r>
              </w:p>
              <w:p w14:paraId="579C0569" w14:textId="77777777" w:rsidR="00B64508" w:rsidRPr="00FF027F" w:rsidRDefault="00B64508" w:rsidP="001A28BC">
                <w:pPr>
                  <w:spacing w:before="360" w:after="360" w:line="360" w:lineRule="auto"/>
                  <w:rPr>
                    <w:rFonts w:ascii="Arial" w:hAnsi="Arial" w:cs="Arial"/>
                    <w:lang w:val="en-GB"/>
                  </w:rPr>
                </w:pPr>
              </w:p>
            </w:tc>
          </w:tr>
          <w:tr w:rsidR="00B64508" w:rsidRPr="00FF027F" w14:paraId="16260EC5" w14:textId="77777777" w:rsidTr="00B64508">
            <w:trPr>
              <w:jc w:val="center"/>
            </w:trPr>
            <w:tc>
              <w:tcPr>
                <w:tcW w:w="9799" w:type="dxa"/>
              </w:tcPr>
              <w:p w14:paraId="6753D52D" w14:textId="77777777" w:rsidR="00B64508" w:rsidRPr="00FF027F" w:rsidRDefault="00B64508" w:rsidP="00E11121">
                <w:pPr>
                  <w:spacing w:before="360" w:after="360" w:line="360" w:lineRule="auto"/>
                  <w:jc w:val="center"/>
                  <w:rPr>
                    <w:rFonts w:ascii="Arial" w:hAnsi="Arial" w:cs="Arial"/>
                    <w:lang w:val="en-GB"/>
                  </w:rPr>
                </w:pPr>
              </w:p>
            </w:tc>
          </w:tr>
        </w:tbl>
        <w:p w14:paraId="4D1152DD" w14:textId="77777777" w:rsidR="000E7D89" w:rsidRPr="00FF027F" w:rsidRDefault="000E7D89">
          <w:pPr>
            <w:rPr>
              <w:rFonts w:ascii="Arial" w:hAnsi="Arial" w:cs="Arial"/>
              <w:lang w:val="en-GB"/>
            </w:rPr>
          </w:pPr>
        </w:p>
        <w:p w14:paraId="71F9B068" w14:textId="77777777" w:rsidR="008F283B" w:rsidRDefault="008F283B">
          <w:pPr>
            <w:rPr>
              <w:rFonts w:ascii="Arial" w:hAnsi="Arial" w:cs="Arial"/>
              <w:b/>
              <w:color w:val="1F497D" w:themeColor="text2"/>
              <w:sz w:val="28"/>
              <w:szCs w:val="28"/>
              <w:lang w:val="en-GB"/>
            </w:rPr>
          </w:pPr>
          <w:r>
            <w:rPr>
              <w:rFonts w:ascii="Arial" w:hAnsi="Arial" w:cs="Arial"/>
              <w:b/>
              <w:color w:val="1F497D" w:themeColor="text2"/>
              <w:sz w:val="28"/>
              <w:szCs w:val="28"/>
              <w:lang w:val="en-GB"/>
            </w:rPr>
            <w:br w:type="page"/>
          </w:r>
        </w:p>
        <w:p w14:paraId="4802D3EF" w14:textId="260391B6" w:rsidR="00A221D7" w:rsidRPr="00FF027F" w:rsidRDefault="002B015D" w:rsidP="0095457E">
          <w:pPr>
            <w:rPr>
              <w:rFonts w:ascii="Arial" w:hAnsi="Arial" w:cs="Arial"/>
              <w:b/>
              <w:color w:val="1F497D" w:themeColor="text2"/>
              <w:sz w:val="28"/>
              <w:szCs w:val="28"/>
              <w:lang w:val="en-GB"/>
            </w:rPr>
          </w:pPr>
          <w:r w:rsidRPr="00FF027F">
            <w:rPr>
              <w:rFonts w:ascii="Arial" w:hAnsi="Arial" w:cs="Arial"/>
              <w:b/>
              <w:color w:val="1F497D" w:themeColor="text2"/>
              <w:sz w:val="28"/>
              <w:szCs w:val="28"/>
              <w:lang w:val="en-GB"/>
            </w:rPr>
            <w:lastRenderedPageBreak/>
            <w:t>Director’s Foreword</w:t>
          </w:r>
        </w:p>
        <w:p w14:paraId="432E2B7F" w14:textId="378DC777" w:rsidR="00E14682" w:rsidRPr="00FF027F" w:rsidRDefault="00BD709E" w:rsidP="00A567DB">
          <w:pPr>
            <w:jc w:val="both"/>
            <w:rPr>
              <w:rFonts w:ascii="Arial" w:hAnsi="Arial" w:cs="Arial"/>
              <w:lang w:val="en-GB"/>
            </w:rPr>
          </w:pPr>
          <w:r w:rsidRPr="00FF027F">
            <w:rPr>
              <w:rFonts w:ascii="Arial" w:hAnsi="Arial" w:cs="Arial"/>
              <w:lang w:val="en-GB"/>
            </w:rPr>
            <w:t>[The Foreword will be drafted before the final adoption of the Work Programme by the Administrative Board].</w:t>
          </w:r>
        </w:p>
        <w:p w14:paraId="5D478A6A" w14:textId="77777777" w:rsidR="006F7434" w:rsidRPr="00FF027F" w:rsidRDefault="006F7434" w:rsidP="00EA5656">
          <w:pPr>
            <w:spacing w:after="0"/>
            <w:ind w:left="5760"/>
            <w:rPr>
              <w:rFonts w:ascii="Arial" w:hAnsi="Arial" w:cs="Arial"/>
              <w:lang w:val="en-GB"/>
            </w:rPr>
          </w:pPr>
          <w:r w:rsidRPr="00FF027F">
            <w:rPr>
              <w:rFonts w:ascii="Arial" w:hAnsi="Arial" w:cs="Arial"/>
              <w:lang w:val="en-GB"/>
            </w:rPr>
            <w:t>Alberto Pototschnig, Director</w:t>
          </w:r>
        </w:p>
        <w:p w14:paraId="1C95F833" w14:textId="77777777" w:rsidR="002B015D" w:rsidRPr="00FF027F" w:rsidRDefault="006F7434" w:rsidP="00EA5656">
          <w:pPr>
            <w:spacing w:after="0" w:line="360" w:lineRule="auto"/>
            <w:ind w:firstLine="720"/>
            <w:rPr>
              <w:rFonts w:cstheme="minorHAnsi"/>
              <w:lang w:val="en-GB"/>
            </w:rPr>
          </w:pPr>
          <w:r w:rsidRPr="00FF027F">
            <w:rPr>
              <w:rFonts w:ascii="Arial" w:hAnsi="Arial" w:cs="Arial"/>
              <w:lang w:val="en-GB"/>
            </w:rPr>
            <w:tab/>
          </w:r>
          <w:r w:rsidRPr="00FF027F">
            <w:rPr>
              <w:rFonts w:ascii="Arial" w:hAnsi="Arial" w:cs="Arial"/>
              <w:lang w:val="en-GB"/>
            </w:rPr>
            <w:tab/>
          </w:r>
          <w:r w:rsidRPr="00FF027F">
            <w:rPr>
              <w:rFonts w:ascii="Arial" w:hAnsi="Arial" w:cs="Arial"/>
              <w:lang w:val="en-GB"/>
            </w:rPr>
            <w:tab/>
          </w:r>
          <w:r w:rsidRPr="00FF027F">
            <w:rPr>
              <w:rFonts w:ascii="Arial" w:hAnsi="Arial" w:cs="Arial"/>
              <w:lang w:val="en-GB"/>
            </w:rPr>
            <w:tab/>
          </w:r>
          <w:r w:rsidRPr="00FF027F">
            <w:rPr>
              <w:rFonts w:ascii="Arial" w:hAnsi="Arial" w:cs="Arial"/>
              <w:lang w:val="en-GB"/>
            </w:rPr>
            <w:tab/>
          </w:r>
          <w:r w:rsidR="00371904" w:rsidRPr="00FF027F">
            <w:rPr>
              <w:rFonts w:ascii="Arial" w:hAnsi="Arial" w:cs="Arial"/>
              <w:lang w:val="en-GB"/>
            </w:rPr>
            <w:tab/>
          </w:r>
          <w:r w:rsidR="00371904" w:rsidRPr="00FF027F">
            <w:rPr>
              <w:rFonts w:ascii="Arial" w:hAnsi="Arial" w:cs="Arial"/>
              <w:lang w:val="en-GB"/>
            </w:rPr>
            <w:tab/>
          </w:r>
          <w:r w:rsidR="00AC1CD0" w:rsidRPr="00FF027F">
            <w:rPr>
              <w:rFonts w:ascii="Arial" w:hAnsi="Arial" w:cs="Arial"/>
              <w:lang w:val="en-GB"/>
            </w:rPr>
            <w:t>Ljublj</w:t>
          </w:r>
          <w:r w:rsidR="00362EA6" w:rsidRPr="00FF027F">
            <w:rPr>
              <w:rFonts w:ascii="Arial" w:hAnsi="Arial" w:cs="Arial"/>
              <w:lang w:val="en-GB"/>
            </w:rPr>
            <w:t>ana, September 2015</w:t>
          </w:r>
          <w:r w:rsidR="00A221D7" w:rsidRPr="00FF027F">
            <w:rPr>
              <w:rFonts w:cstheme="minorHAnsi"/>
              <w:lang w:val="en-GB"/>
            </w:rPr>
            <w:tab/>
          </w:r>
          <w:r w:rsidR="00A221D7" w:rsidRPr="00FF027F">
            <w:rPr>
              <w:rFonts w:cstheme="minorHAnsi"/>
              <w:lang w:val="en-GB"/>
            </w:rPr>
            <w:tab/>
          </w:r>
          <w:r w:rsidR="00A221D7" w:rsidRPr="00FF027F">
            <w:rPr>
              <w:rFonts w:cstheme="minorHAnsi"/>
              <w:lang w:val="en-GB"/>
            </w:rPr>
            <w:tab/>
          </w:r>
          <w:r w:rsidR="00A221D7" w:rsidRPr="00FF027F">
            <w:rPr>
              <w:rFonts w:cstheme="minorHAnsi"/>
              <w:lang w:val="en-GB"/>
            </w:rPr>
            <w:tab/>
          </w:r>
        </w:p>
        <w:p w14:paraId="405F8163" w14:textId="77777777" w:rsidR="00371904" w:rsidRPr="00FF027F" w:rsidRDefault="00371904">
          <w:pPr>
            <w:rPr>
              <w:rFonts w:ascii="Arial" w:hAnsi="Arial" w:cs="Arial"/>
              <w:b/>
              <w:color w:val="1F497D" w:themeColor="text2"/>
              <w:sz w:val="28"/>
              <w:szCs w:val="28"/>
              <w:lang w:val="en-GB"/>
            </w:rPr>
          </w:pPr>
          <w:r w:rsidRPr="00FF027F">
            <w:rPr>
              <w:rFonts w:ascii="Arial" w:hAnsi="Arial" w:cs="Arial"/>
              <w:b/>
              <w:color w:val="1F497D" w:themeColor="text2"/>
              <w:sz w:val="28"/>
              <w:szCs w:val="28"/>
              <w:lang w:val="en-GB"/>
            </w:rPr>
            <w:br w:type="page"/>
          </w:r>
        </w:p>
        <w:p w14:paraId="2AF38A08" w14:textId="68712A97" w:rsidR="00A221D7" w:rsidRPr="00FF027F" w:rsidRDefault="008B0BCC" w:rsidP="00457970">
          <w:pPr>
            <w:spacing w:before="360" w:after="360" w:line="360" w:lineRule="auto"/>
            <w:jc w:val="center"/>
            <w:rPr>
              <w:rFonts w:ascii="Arial" w:hAnsi="Arial" w:cs="Arial"/>
              <w:b/>
              <w:color w:val="1F497D" w:themeColor="text2"/>
              <w:sz w:val="28"/>
              <w:szCs w:val="28"/>
              <w:lang w:val="en-GB"/>
            </w:rPr>
          </w:pPr>
          <w:r w:rsidRPr="00FF027F">
            <w:rPr>
              <w:rFonts w:ascii="Arial" w:hAnsi="Arial" w:cs="Arial"/>
              <w:b/>
              <w:color w:val="1F497D" w:themeColor="text2"/>
              <w:sz w:val="28"/>
              <w:szCs w:val="28"/>
              <w:lang w:val="en-GB"/>
            </w:rPr>
            <w:lastRenderedPageBreak/>
            <w:t>Table of Contents</w:t>
          </w:r>
          <w:r w:rsidR="00CD3F89" w:rsidRPr="00FF027F">
            <w:rPr>
              <w:rFonts w:ascii="Arial" w:hAnsi="Arial" w:cs="Arial"/>
              <w:b/>
              <w:color w:val="1F497D" w:themeColor="text2"/>
              <w:sz w:val="28"/>
              <w:szCs w:val="28"/>
              <w:lang w:val="en-GB"/>
            </w:rPr>
            <w:t xml:space="preserve"> </w:t>
          </w:r>
        </w:p>
        <w:p w14:paraId="6972B885" w14:textId="77777777" w:rsidR="008B50C0" w:rsidRDefault="003B0016">
          <w:pPr>
            <w:pStyle w:val="TOC1"/>
            <w:tabs>
              <w:tab w:val="right" w:leader="dot" w:pos="9017"/>
            </w:tabs>
            <w:rPr>
              <w:rFonts w:eastAsiaTheme="minorEastAsia" w:cstheme="minorBidi"/>
              <w:b w:val="0"/>
              <w:bCs w:val="0"/>
              <w:caps w:val="0"/>
              <w:noProof/>
              <w:sz w:val="22"/>
              <w:szCs w:val="22"/>
              <w:lang w:val="en-GB" w:eastAsia="en-GB"/>
            </w:rPr>
          </w:pPr>
          <w:r w:rsidRPr="00FF027F">
            <w:rPr>
              <w:b w:val="0"/>
              <w:bCs w:val="0"/>
              <w:caps w:val="0"/>
              <w:color w:val="1F497D" w:themeColor="text2"/>
              <w:lang w:val="en-GB"/>
            </w:rPr>
            <w:fldChar w:fldCharType="begin"/>
          </w:r>
          <w:r w:rsidRPr="00FF027F">
            <w:rPr>
              <w:b w:val="0"/>
              <w:bCs w:val="0"/>
              <w:caps w:val="0"/>
              <w:color w:val="1F497D" w:themeColor="text2"/>
              <w:lang w:val="en-GB"/>
            </w:rPr>
            <w:instrText xml:space="preserve"> TOC \o "1-3" \h \z \u </w:instrText>
          </w:r>
          <w:r w:rsidRPr="00FF027F">
            <w:rPr>
              <w:b w:val="0"/>
              <w:bCs w:val="0"/>
              <w:caps w:val="0"/>
              <w:color w:val="1F497D" w:themeColor="text2"/>
              <w:lang w:val="en-GB"/>
            </w:rPr>
            <w:fldChar w:fldCharType="separate"/>
          </w:r>
          <w:hyperlink w:anchor="_Toc396913731" w:history="1">
            <w:r w:rsidR="008B50C0" w:rsidRPr="00A86862">
              <w:rPr>
                <w:rStyle w:val="Hyperlink"/>
                <w:noProof/>
                <w:snapToGrid w:val="0"/>
              </w:rPr>
              <w:t>List of Acronyms</w:t>
            </w:r>
            <w:r w:rsidR="008B50C0">
              <w:rPr>
                <w:noProof/>
                <w:webHidden/>
              </w:rPr>
              <w:tab/>
            </w:r>
            <w:r w:rsidR="008B50C0">
              <w:rPr>
                <w:noProof/>
                <w:webHidden/>
              </w:rPr>
              <w:fldChar w:fldCharType="begin"/>
            </w:r>
            <w:r w:rsidR="008B50C0">
              <w:rPr>
                <w:noProof/>
                <w:webHidden/>
              </w:rPr>
              <w:instrText xml:space="preserve"> PAGEREF _Toc396913731 \h </w:instrText>
            </w:r>
            <w:r w:rsidR="008B50C0">
              <w:rPr>
                <w:noProof/>
                <w:webHidden/>
              </w:rPr>
            </w:r>
            <w:r w:rsidR="008B50C0">
              <w:rPr>
                <w:noProof/>
                <w:webHidden/>
              </w:rPr>
              <w:fldChar w:fldCharType="separate"/>
            </w:r>
            <w:r w:rsidR="008B50C0">
              <w:rPr>
                <w:noProof/>
                <w:webHidden/>
              </w:rPr>
              <w:t>5</w:t>
            </w:r>
            <w:r w:rsidR="008B50C0">
              <w:rPr>
                <w:noProof/>
                <w:webHidden/>
              </w:rPr>
              <w:fldChar w:fldCharType="end"/>
            </w:r>
          </w:hyperlink>
        </w:p>
        <w:p w14:paraId="711DB1C3"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732" w:history="1">
            <w:r w:rsidR="008B50C0" w:rsidRPr="00A86862">
              <w:rPr>
                <w:rStyle w:val="Hyperlink"/>
                <w:noProof/>
              </w:rPr>
              <w:t>mission statement</w:t>
            </w:r>
            <w:r w:rsidR="008B50C0">
              <w:rPr>
                <w:noProof/>
                <w:webHidden/>
              </w:rPr>
              <w:tab/>
            </w:r>
            <w:r w:rsidR="008B50C0">
              <w:rPr>
                <w:noProof/>
                <w:webHidden/>
              </w:rPr>
              <w:fldChar w:fldCharType="begin"/>
            </w:r>
            <w:r w:rsidR="008B50C0">
              <w:rPr>
                <w:noProof/>
                <w:webHidden/>
              </w:rPr>
              <w:instrText xml:space="preserve"> PAGEREF _Toc396913732 \h </w:instrText>
            </w:r>
            <w:r w:rsidR="008B50C0">
              <w:rPr>
                <w:noProof/>
                <w:webHidden/>
              </w:rPr>
            </w:r>
            <w:r w:rsidR="008B50C0">
              <w:rPr>
                <w:noProof/>
                <w:webHidden/>
              </w:rPr>
              <w:fldChar w:fldCharType="separate"/>
            </w:r>
            <w:r w:rsidR="008B50C0">
              <w:rPr>
                <w:noProof/>
                <w:webHidden/>
              </w:rPr>
              <w:t>8</w:t>
            </w:r>
            <w:r w:rsidR="008B50C0">
              <w:rPr>
                <w:noProof/>
                <w:webHidden/>
              </w:rPr>
              <w:fldChar w:fldCharType="end"/>
            </w:r>
          </w:hyperlink>
        </w:p>
        <w:p w14:paraId="1B3971D0"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733" w:history="1">
            <w:r w:rsidR="008B50C0" w:rsidRPr="00A86862">
              <w:rPr>
                <w:rStyle w:val="Hyperlink"/>
                <w:noProof/>
              </w:rPr>
              <w:t>section I – General context</w:t>
            </w:r>
            <w:r w:rsidR="008B50C0">
              <w:rPr>
                <w:noProof/>
                <w:webHidden/>
              </w:rPr>
              <w:tab/>
            </w:r>
            <w:r w:rsidR="008B50C0">
              <w:rPr>
                <w:noProof/>
                <w:webHidden/>
              </w:rPr>
              <w:fldChar w:fldCharType="begin"/>
            </w:r>
            <w:r w:rsidR="008B50C0">
              <w:rPr>
                <w:noProof/>
                <w:webHidden/>
              </w:rPr>
              <w:instrText xml:space="preserve"> PAGEREF _Toc396913733 \h </w:instrText>
            </w:r>
            <w:r w:rsidR="008B50C0">
              <w:rPr>
                <w:noProof/>
                <w:webHidden/>
              </w:rPr>
            </w:r>
            <w:r w:rsidR="008B50C0">
              <w:rPr>
                <w:noProof/>
                <w:webHidden/>
              </w:rPr>
              <w:fldChar w:fldCharType="separate"/>
            </w:r>
            <w:r w:rsidR="008B50C0">
              <w:rPr>
                <w:noProof/>
                <w:webHidden/>
              </w:rPr>
              <w:t>10</w:t>
            </w:r>
            <w:r w:rsidR="008B50C0">
              <w:rPr>
                <w:noProof/>
                <w:webHidden/>
              </w:rPr>
              <w:fldChar w:fldCharType="end"/>
            </w:r>
          </w:hyperlink>
        </w:p>
        <w:p w14:paraId="05D008AA"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734" w:history="1">
            <w:r w:rsidR="008B50C0" w:rsidRPr="00A86862">
              <w:rPr>
                <w:rStyle w:val="Hyperlink"/>
                <w:rFonts w:cs="Times New Roman"/>
                <w:iCs/>
                <w:noProof/>
              </w:rPr>
              <w:t>STRATEGIC AIMS</w:t>
            </w:r>
            <w:r w:rsidR="008B50C0">
              <w:rPr>
                <w:noProof/>
                <w:webHidden/>
              </w:rPr>
              <w:tab/>
            </w:r>
            <w:r w:rsidR="008B50C0">
              <w:rPr>
                <w:noProof/>
                <w:webHidden/>
              </w:rPr>
              <w:fldChar w:fldCharType="begin"/>
            </w:r>
            <w:r w:rsidR="008B50C0">
              <w:rPr>
                <w:noProof/>
                <w:webHidden/>
              </w:rPr>
              <w:instrText xml:space="preserve"> PAGEREF _Toc396913734 \h </w:instrText>
            </w:r>
            <w:r w:rsidR="008B50C0">
              <w:rPr>
                <w:noProof/>
                <w:webHidden/>
              </w:rPr>
            </w:r>
            <w:r w:rsidR="008B50C0">
              <w:rPr>
                <w:noProof/>
                <w:webHidden/>
              </w:rPr>
              <w:fldChar w:fldCharType="separate"/>
            </w:r>
            <w:r w:rsidR="008B50C0">
              <w:rPr>
                <w:noProof/>
                <w:webHidden/>
              </w:rPr>
              <w:t>10</w:t>
            </w:r>
            <w:r w:rsidR="008B50C0">
              <w:rPr>
                <w:noProof/>
                <w:webHidden/>
              </w:rPr>
              <w:fldChar w:fldCharType="end"/>
            </w:r>
          </w:hyperlink>
        </w:p>
        <w:p w14:paraId="18E91BE8"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735" w:history="1">
            <w:r w:rsidR="008B50C0" w:rsidRPr="00A86862">
              <w:rPr>
                <w:rStyle w:val="Hyperlink"/>
                <w:noProof/>
              </w:rPr>
              <w:t>section II - multiannual OUTLOOK 2015 - 2017</w:t>
            </w:r>
            <w:r w:rsidR="008B50C0">
              <w:rPr>
                <w:noProof/>
                <w:webHidden/>
              </w:rPr>
              <w:tab/>
            </w:r>
            <w:r w:rsidR="008B50C0">
              <w:rPr>
                <w:noProof/>
                <w:webHidden/>
              </w:rPr>
              <w:fldChar w:fldCharType="begin"/>
            </w:r>
            <w:r w:rsidR="008B50C0">
              <w:rPr>
                <w:noProof/>
                <w:webHidden/>
              </w:rPr>
              <w:instrText xml:space="preserve"> PAGEREF _Toc396913735 \h </w:instrText>
            </w:r>
            <w:r w:rsidR="008B50C0">
              <w:rPr>
                <w:noProof/>
                <w:webHidden/>
              </w:rPr>
            </w:r>
            <w:r w:rsidR="008B50C0">
              <w:rPr>
                <w:noProof/>
                <w:webHidden/>
              </w:rPr>
              <w:fldChar w:fldCharType="separate"/>
            </w:r>
            <w:r w:rsidR="008B50C0">
              <w:rPr>
                <w:noProof/>
                <w:webHidden/>
              </w:rPr>
              <w:t>13</w:t>
            </w:r>
            <w:r w:rsidR="008B50C0">
              <w:rPr>
                <w:noProof/>
                <w:webHidden/>
              </w:rPr>
              <w:fldChar w:fldCharType="end"/>
            </w:r>
          </w:hyperlink>
        </w:p>
        <w:p w14:paraId="41E044F5"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736" w:history="1">
            <w:r w:rsidR="008B50C0" w:rsidRPr="00A86862">
              <w:rPr>
                <w:rStyle w:val="Hyperlink"/>
                <w:noProof/>
              </w:rPr>
              <w:t>1.</w:t>
            </w:r>
            <w:r w:rsidR="008B50C0">
              <w:rPr>
                <w:rFonts w:eastAsiaTheme="minorEastAsia" w:cstheme="minorBidi"/>
                <w:b w:val="0"/>
                <w:bCs w:val="0"/>
                <w:caps w:val="0"/>
                <w:noProof/>
                <w:sz w:val="22"/>
                <w:szCs w:val="22"/>
                <w:lang w:val="en-GB" w:eastAsia="en-GB"/>
              </w:rPr>
              <w:tab/>
            </w:r>
            <w:r w:rsidR="008B50C0" w:rsidRPr="00A86862">
              <w:rPr>
                <w:rStyle w:val="Hyperlink"/>
                <w:noProof/>
              </w:rPr>
              <w:t>multiannual objectives</w:t>
            </w:r>
            <w:r w:rsidR="008B50C0">
              <w:rPr>
                <w:noProof/>
                <w:webHidden/>
              </w:rPr>
              <w:tab/>
            </w:r>
            <w:r w:rsidR="008B50C0">
              <w:rPr>
                <w:noProof/>
                <w:webHidden/>
              </w:rPr>
              <w:fldChar w:fldCharType="begin"/>
            </w:r>
            <w:r w:rsidR="008B50C0">
              <w:rPr>
                <w:noProof/>
                <w:webHidden/>
              </w:rPr>
              <w:instrText xml:space="preserve"> PAGEREF _Toc396913736 \h </w:instrText>
            </w:r>
            <w:r w:rsidR="008B50C0">
              <w:rPr>
                <w:noProof/>
                <w:webHidden/>
              </w:rPr>
            </w:r>
            <w:r w:rsidR="008B50C0">
              <w:rPr>
                <w:noProof/>
                <w:webHidden/>
              </w:rPr>
              <w:fldChar w:fldCharType="separate"/>
            </w:r>
            <w:r w:rsidR="008B50C0">
              <w:rPr>
                <w:noProof/>
                <w:webHidden/>
              </w:rPr>
              <w:t>13</w:t>
            </w:r>
            <w:r w:rsidR="008B50C0">
              <w:rPr>
                <w:noProof/>
                <w:webHidden/>
              </w:rPr>
              <w:fldChar w:fldCharType="end"/>
            </w:r>
          </w:hyperlink>
        </w:p>
        <w:p w14:paraId="53C25540"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737" w:history="1">
            <w:r w:rsidR="008B50C0" w:rsidRPr="00A86862">
              <w:rPr>
                <w:rStyle w:val="Hyperlink"/>
                <w:noProof/>
              </w:rPr>
              <w:t>2.</w:t>
            </w:r>
            <w:r w:rsidR="008B50C0">
              <w:rPr>
                <w:rFonts w:eastAsiaTheme="minorEastAsia" w:cstheme="minorBidi"/>
                <w:b w:val="0"/>
                <w:bCs w:val="0"/>
                <w:caps w:val="0"/>
                <w:noProof/>
                <w:sz w:val="22"/>
                <w:szCs w:val="22"/>
                <w:lang w:val="en-GB" w:eastAsia="en-GB"/>
              </w:rPr>
              <w:tab/>
            </w:r>
            <w:r w:rsidR="008B50C0" w:rsidRPr="00A86862">
              <w:rPr>
                <w:rStyle w:val="Hyperlink"/>
                <w:noProof/>
              </w:rPr>
              <w:t>multiannual programme</w:t>
            </w:r>
            <w:r w:rsidR="008B50C0">
              <w:rPr>
                <w:noProof/>
                <w:webHidden/>
              </w:rPr>
              <w:tab/>
            </w:r>
            <w:r w:rsidR="008B50C0">
              <w:rPr>
                <w:noProof/>
                <w:webHidden/>
              </w:rPr>
              <w:fldChar w:fldCharType="begin"/>
            </w:r>
            <w:r w:rsidR="008B50C0">
              <w:rPr>
                <w:noProof/>
                <w:webHidden/>
              </w:rPr>
              <w:instrText xml:space="preserve"> PAGEREF _Toc396913737 \h </w:instrText>
            </w:r>
            <w:r w:rsidR="008B50C0">
              <w:rPr>
                <w:noProof/>
                <w:webHidden/>
              </w:rPr>
            </w:r>
            <w:r w:rsidR="008B50C0">
              <w:rPr>
                <w:noProof/>
                <w:webHidden/>
              </w:rPr>
              <w:fldChar w:fldCharType="separate"/>
            </w:r>
            <w:r w:rsidR="008B50C0">
              <w:rPr>
                <w:noProof/>
                <w:webHidden/>
              </w:rPr>
              <w:t>17</w:t>
            </w:r>
            <w:r w:rsidR="008B50C0">
              <w:rPr>
                <w:noProof/>
                <w:webHidden/>
              </w:rPr>
              <w:fldChar w:fldCharType="end"/>
            </w:r>
          </w:hyperlink>
        </w:p>
        <w:p w14:paraId="614D67D1"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38" w:history="1">
            <w:r w:rsidR="008B50C0" w:rsidRPr="00A86862">
              <w:rPr>
                <w:rStyle w:val="Hyperlink"/>
                <w:noProof/>
                <w:lang w:eastAsia="en-GB"/>
              </w:rPr>
              <w:t>2.1</w:t>
            </w:r>
            <w:r w:rsidR="008B50C0">
              <w:rPr>
                <w:rFonts w:eastAsiaTheme="minorEastAsia" w:cstheme="minorBidi"/>
                <w:smallCaps w:val="0"/>
                <w:noProof/>
                <w:sz w:val="22"/>
                <w:szCs w:val="22"/>
                <w:lang w:val="en-GB" w:eastAsia="en-GB"/>
              </w:rPr>
              <w:tab/>
            </w:r>
            <w:r w:rsidR="008B50C0" w:rsidRPr="00A86862">
              <w:rPr>
                <w:rStyle w:val="Hyperlink"/>
                <w:noProof/>
                <w:lang w:eastAsia="en-GB"/>
              </w:rPr>
              <w:t>Introduction</w:t>
            </w:r>
            <w:r w:rsidR="008B50C0">
              <w:rPr>
                <w:noProof/>
                <w:webHidden/>
              </w:rPr>
              <w:tab/>
            </w:r>
            <w:r w:rsidR="008B50C0">
              <w:rPr>
                <w:noProof/>
                <w:webHidden/>
              </w:rPr>
              <w:fldChar w:fldCharType="begin"/>
            </w:r>
            <w:r w:rsidR="008B50C0">
              <w:rPr>
                <w:noProof/>
                <w:webHidden/>
              </w:rPr>
              <w:instrText xml:space="preserve"> PAGEREF _Toc396913738 \h </w:instrText>
            </w:r>
            <w:r w:rsidR="008B50C0">
              <w:rPr>
                <w:noProof/>
                <w:webHidden/>
              </w:rPr>
            </w:r>
            <w:r w:rsidR="008B50C0">
              <w:rPr>
                <w:noProof/>
                <w:webHidden/>
              </w:rPr>
              <w:fldChar w:fldCharType="separate"/>
            </w:r>
            <w:r w:rsidR="008B50C0">
              <w:rPr>
                <w:noProof/>
                <w:webHidden/>
              </w:rPr>
              <w:t>17</w:t>
            </w:r>
            <w:r w:rsidR="008B50C0">
              <w:rPr>
                <w:noProof/>
                <w:webHidden/>
              </w:rPr>
              <w:fldChar w:fldCharType="end"/>
            </w:r>
          </w:hyperlink>
        </w:p>
        <w:p w14:paraId="7194A885"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39" w:history="1">
            <w:r w:rsidR="008B50C0" w:rsidRPr="00A86862">
              <w:rPr>
                <w:rStyle w:val="Hyperlink"/>
                <w:noProof/>
                <w:lang w:eastAsia="en-GB"/>
              </w:rPr>
              <w:t>2.1.1</w:t>
            </w:r>
            <w:r w:rsidR="008B50C0">
              <w:rPr>
                <w:rFonts w:eastAsiaTheme="minorEastAsia" w:cstheme="minorBidi"/>
                <w:i w:val="0"/>
                <w:iCs w:val="0"/>
                <w:noProof/>
                <w:sz w:val="22"/>
                <w:szCs w:val="22"/>
                <w:lang w:val="en-GB" w:eastAsia="en-GB"/>
              </w:rPr>
              <w:tab/>
            </w:r>
            <w:r w:rsidR="008B50C0" w:rsidRPr="00A86862">
              <w:rPr>
                <w:rStyle w:val="Hyperlink"/>
                <w:noProof/>
                <w:lang w:eastAsia="en-GB"/>
              </w:rPr>
              <w:t>Strategic Areas</w:t>
            </w:r>
            <w:r w:rsidR="008B50C0">
              <w:rPr>
                <w:noProof/>
                <w:webHidden/>
              </w:rPr>
              <w:tab/>
            </w:r>
            <w:r w:rsidR="008B50C0">
              <w:rPr>
                <w:noProof/>
                <w:webHidden/>
              </w:rPr>
              <w:fldChar w:fldCharType="begin"/>
            </w:r>
            <w:r w:rsidR="008B50C0">
              <w:rPr>
                <w:noProof/>
                <w:webHidden/>
              </w:rPr>
              <w:instrText xml:space="preserve"> PAGEREF _Toc396913739 \h </w:instrText>
            </w:r>
            <w:r w:rsidR="008B50C0">
              <w:rPr>
                <w:noProof/>
                <w:webHidden/>
              </w:rPr>
            </w:r>
            <w:r w:rsidR="008B50C0">
              <w:rPr>
                <w:noProof/>
                <w:webHidden/>
              </w:rPr>
              <w:fldChar w:fldCharType="separate"/>
            </w:r>
            <w:r w:rsidR="008B50C0">
              <w:rPr>
                <w:noProof/>
                <w:webHidden/>
              </w:rPr>
              <w:t>17</w:t>
            </w:r>
            <w:r w:rsidR="008B50C0">
              <w:rPr>
                <w:noProof/>
                <w:webHidden/>
              </w:rPr>
              <w:fldChar w:fldCharType="end"/>
            </w:r>
          </w:hyperlink>
        </w:p>
        <w:p w14:paraId="6F11F039"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0" w:history="1">
            <w:r w:rsidR="008B50C0" w:rsidRPr="00A86862">
              <w:rPr>
                <w:rStyle w:val="Hyperlink"/>
                <w:noProof/>
                <w:lang w:eastAsia="en-GB"/>
              </w:rPr>
              <w:t>2.1.2</w:t>
            </w:r>
            <w:r w:rsidR="008B50C0">
              <w:rPr>
                <w:rFonts w:eastAsiaTheme="minorEastAsia" w:cstheme="minorBidi"/>
                <w:i w:val="0"/>
                <w:iCs w:val="0"/>
                <w:noProof/>
                <w:sz w:val="22"/>
                <w:szCs w:val="22"/>
                <w:lang w:val="en-GB" w:eastAsia="en-GB"/>
              </w:rPr>
              <w:tab/>
            </w:r>
            <w:r w:rsidR="008B50C0" w:rsidRPr="00A86862">
              <w:rPr>
                <w:rStyle w:val="Hyperlink"/>
                <w:noProof/>
                <w:lang w:eastAsia="en-GB"/>
              </w:rPr>
              <w:t>The regulatory practice</w:t>
            </w:r>
            <w:r w:rsidR="008B50C0">
              <w:rPr>
                <w:noProof/>
                <w:webHidden/>
              </w:rPr>
              <w:tab/>
            </w:r>
            <w:r w:rsidR="008B50C0">
              <w:rPr>
                <w:noProof/>
                <w:webHidden/>
              </w:rPr>
              <w:fldChar w:fldCharType="begin"/>
            </w:r>
            <w:r w:rsidR="008B50C0">
              <w:rPr>
                <w:noProof/>
                <w:webHidden/>
              </w:rPr>
              <w:instrText xml:space="preserve"> PAGEREF _Toc396913740 \h </w:instrText>
            </w:r>
            <w:r w:rsidR="008B50C0">
              <w:rPr>
                <w:noProof/>
                <w:webHidden/>
              </w:rPr>
            </w:r>
            <w:r w:rsidR="008B50C0">
              <w:rPr>
                <w:noProof/>
                <w:webHidden/>
              </w:rPr>
              <w:fldChar w:fldCharType="separate"/>
            </w:r>
            <w:r w:rsidR="008B50C0">
              <w:rPr>
                <w:noProof/>
                <w:webHidden/>
              </w:rPr>
              <w:t>18</w:t>
            </w:r>
            <w:r w:rsidR="008B50C0">
              <w:rPr>
                <w:noProof/>
                <w:webHidden/>
              </w:rPr>
              <w:fldChar w:fldCharType="end"/>
            </w:r>
          </w:hyperlink>
        </w:p>
        <w:p w14:paraId="1E39A8EE"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1" w:history="1">
            <w:r w:rsidR="008B50C0" w:rsidRPr="00A86862">
              <w:rPr>
                <w:rStyle w:val="Hyperlink"/>
                <w:noProof/>
                <w:lang w:eastAsia="en-GB"/>
              </w:rPr>
              <w:t>2.1.3</w:t>
            </w:r>
            <w:r w:rsidR="008B50C0">
              <w:rPr>
                <w:rFonts w:eastAsiaTheme="minorEastAsia" w:cstheme="minorBidi"/>
                <w:i w:val="0"/>
                <w:iCs w:val="0"/>
                <w:noProof/>
                <w:sz w:val="22"/>
                <w:szCs w:val="22"/>
                <w:lang w:val="en-GB" w:eastAsia="en-GB"/>
              </w:rPr>
              <w:tab/>
            </w:r>
            <w:r w:rsidR="008B50C0" w:rsidRPr="00A86862">
              <w:rPr>
                <w:rStyle w:val="Hyperlink"/>
                <w:noProof/>
                <w:lang w:eastAsia="en-GB"/>
              </w:rPr>
              <w:t>Risks</w:t>
            </w:r>
            <w:r w:rsidR="008B50C0">
              <w:rPr>
                <w:noProof/>
                <w:webHidden/>
              </w:rPr>
              <w:tab/>
            </w:r>
            <w:r w:rsidR="008B50C0">
              <w:rPr>
                <w:noProof/>
                <w:webHidden/>
              </w:rPr>
              <w:fldChar w:fldCharType="begin"/>
            </w:r>
            <w:r w:rsidR="008B50C0">
              <w:rPr>
                <w:noProof/>
                <w:webHidden/>
              </w:rPr>
              <w:instrText xml:space="preserve"> PAGEREF _Toc396913741 \h </w:instrText>
            </w:r>
            <w:r w:rsidR="008B50C0">
              <w:rPr>
                <w:noProof/>
                <w:webHidden/>
              </w:rPr>
            </w:r>
            <w:r w:rsidR="008B50C0">
              <w:rPr>
                <w:noProof/>
                <w:webHidden/>
              </w:rPr>
              <w:fldChar w:fldCharType="separate"/>
            </w:r>
            <w:r w:rsidR="008B50C0">
              <w:rPr>
                <w:noProof/>
                <w:webHidden/>
              </w:rPr>
              <w:t>21</w:t>
            </w:r>
            <w:r w:rsidR="008B50C0">
              <w:rPr>
                <w:noProof/>
                <w:webHidden/>
              </w:rPr>
              <w:fldChar w:fldCharType="end"/>
            </w:r>
          </w:hyperlink>
        </w:p>
        <w:p w14:paraId="25126D6E"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42" w:history="1">
            <w:r w:rsidR="008B50C0" w:rsidRPr="00A86862">
              <w:rPr>
                <w:rStyle w:val="Hyperlink"/>
                <w:noProof/>
                <w:lang w:eastAsia="en-GB"/>
              </w:rPr>
              <w:t>2.2</w:t>
            </w:r>
            <w:r w:rsidR="008B50C0">
              <w:rPr>
                <w:rFonts w:eastAsiaTheme="minorEastAsia" w:cstheme="minorBidi"/>
                <w:smallCaps w:val="0"/>
                <w:noProof/>
                <w:sz w:val="22"/>
                <w:szCs w:val="22"/>
                <w:lang w:val="en-GB" w:eastAsia="en-GB"/>
              </w:rPr>
              <w:tab/>
            </w:r>
            <w:r w:rsidR="008B50C0" w:rsidRPr="00A86862">
              <w:rPr>
                <w:rStyle w:val="Hyperlink"/>
                <w:noProof/>
                <w:lang w:eastAsia="en-GB"/>
              </w:rPr>
              <w:t>Completion of the Internal Energy Market</w:t>
            </w:r>
            <w:r w:rsidR="008B50C0">
              <w:rPr>
                <w:noProof/>
                <w:webHidden/>
              </w:rPr>
              <w:tab/>
            </w:r>
            <w:r w:rsidR="008B50C0">
              <w:rPr>
                <w:noProof/>
                <w:webHidden/>
              </w:rPr>
              <w:fldChar w:fldCharType="begin"/>
            </w:r>
            <w:r w:rsidR="008B50C0">
              <w:rPr>
                <w:noProof/>
                <w:webHidden/>
              </w:rPr>
              <w:instrText xml:space="preserve"> PAGEREF _Toc396913742 \h </w:instrText>
            </w:r>
            <w:r w:rsidR="008B50C0">
              <w:rPr>
                <w:noProof/>
                <w:webHidden/>
              </w:rPr>
            </w:r>
            <w:r w:rsidR="008B50C0">
              <w:rPr>
                <w:noProof/>
                <w:webHidden/>
              </w:rPr>
              <w:fldChar w:fldCharType="separate"/>
            </w:r>
            <w:r w:rsidR="008B50C0">
              <w:rPr>
                <w:noProof/>
                <w:webHidden/>
              </w:rPr>
              <w:t>22</w:t>
            </w:r>
            <w:r w:rsidR="008B50C0">
              <w:rPr>
                <w:noProof/>
                <w:webHidden/>
              </w:rPr>
              <w:fldChar w:fldCharType="end"/>
            </w:r>
          </w:hyperlink>
        </w:p>
        <w:p w14:paraId="4EFCECED"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3" w:history="1">
            <w:r w:rsidR="008B50C0" w:rsidRPr="00A86862">
              <w:rPr>
                <w:rStyle w:val="Hyperlink"/>
                <w:noProof/>
                <w:lang w:eastAsia="en-GB"/>
              </w:rPr>
              <w:t>2.2.1</w:t>
            </w:r>
            <w:r w:rsidR="008B50C0">
              <w:rPr>
                <w:rFonts w:eastAsiaTheme="minorEastAsia" w:cstheme="minorBidi"/>
                <w:i w:val="0"/>
                <w:iCs w:val="0"/>
                <w:noProof/>
                <w:sz w:val="22"/>
                <w:szCs w:val="22"/>
                <w:lang w:val="en-GB" w:eastAsia="en-GB"/>
              </w:rPr>
              <w:tab/>
            </w:r>
            <w:r w:rsidR="008B50C0" w:rsidRPr="00A86862">
              <w:rPr>
                <w:rStyle w:val="Hyperlink"/>
                <w:noProof/>
                <w:lang w:eastAsia="en-GB"/>
              </w:rPr>
              <w:t>Framework Guidelines and Network Codes</w:t>
            </w:r>
            <w:r w:rsidR="008B50C0">
              <w:rPr>
                <w:noProof/>
                <w:webHidden/>
              </w:rPr>
              <w:tab/>
            </w:r>
            <w:r w:rsidR="008B50C0">
              <w:rPr>
                <w:noProof/>
                <w:webHidden/>
              </w:rPr>
              <w:fldChar w:fldCharType="begin"/>
            </w:r>
            <w:r w:rsidR="008B50C0">
              <w:rPr>
                <w:noProof/>
                <w:webHidden/>
              </w:rPr>
              <w:instrText xml:space="preserve"> PAGEREF _Toc396913743 \h </w:instrText>
            </w:r>
            <w:r w:rsidR="008B50C0">
              <w:rPr>
                <w:noProof/>
                <w:webHidden/>
              </w:rPr>
            </w:r>
            <w:r w:rsidR="008B50C0">
              <w:rPr>
                <w:noProof/>
                <w:webHidden/>
              </w:rPr>
              <w:fldChar w:fldCharType="separate"/>
            </w:r>
            <w:r w:rsidR="008B50C0">
              <w:rPr>
                <w:noProof/>
                <w:webHidden/>
              </w:rPr>
              <w:t>22</w:t>
            </w:r>
            <w:r w:rsidR="008B50C0">
              <w:rPr>
                <w:noProof/>
                <w:webHidden/>
              </w:rPr>
              <w:fldChar w:fldCharType="end"/>
            </w:r>
          </w:hyperlink>
        </w:p>
        <w:p w14:paraId="581A2360"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4" w:history="1">
            <w:r w:rsidR="008B50C0" w:rsidRPr="00A86862">
              <w:rPr>
                <w:rStyle w:val="Hyperlink"/>
                <w:rFonts w:eastAsia="MS PGothic"/>
                <w:noProof/>
              </w:rPr>
              <w:t>2.2.2</w:t>
            </w:r>
            <w:r w:rsidR="008B50C0">
              <w:rPr>
                <w:rFonts w:eastAsiaTheme="minorEastAsia" w:cstheme="minorBidi"/>
                <w:i w:val="0"/>
                <w:iCs w:val="0"/>
                <w:noProof/>
                <w:sz w:val="22"/>
                <w:szCs w:val="22"/>
                <w:lang w:val="en-GB" w:eastAsia="en-GB"/>
              </w:rPr>
              <w:tab/>
            </w:r>
            <w:r w:rsidR="008B50C0" w:rsidRPr="00A86862">
              <w:rPr>
                <w:rStyle w:val="Hyperlink"/>
                <w:rFonts w:eastAsia="MS PGothic"/>
                <w:noProof/>
              </w:rPr>
              <w:t>IEM Implementation</w:t>
            </w:r>
            <w:r w:rsidR="008B50C0">
              <w:rPr>
                <w:noProof/>
                <w:webHidden/>
              </w:rPr>
              <w:tab/>
            </w:r>
            <w:r w:rsidR="008B50C0">
              <w:rPr>
                <w:noProof/>
                <w:webHidden/>
              </w:rPr>
              <w:fldChar w:fldCharType="begin"/>
            </w:r>
            <w:r w:rsidR="008B50C0">
              <w:rPr>
                <w:noProof/>
                <w:webHidden/>
              </w:rPr>
              <w:instrText xml:space="preserve"> PAGEREF _Toc396913744 \h </w:instrText>
            </w:r>
            <w:r w:rsidR="008B50C0">
              <w:rPr>
                <w:noProof/>
                <w:webHidden/>
              </w:rPr>
            </w:r>
            <w:r w:rsidR="008B50C0">
              <w:rPr>
                <w:noProof/>
                <w:webHidden/>
              </w:rPr>
              <w:fldChar w:fldCharType="separate"/>
            </w:r>
            <w:r w:rsidR="008B50C0">
              <w:rPr>
                <w:noProof/>
                <w:webHidden/>
              </w:rPr>
              <w:t>22</w:t>
            </w:r>
            <w:r w:rsidR="008B50C0">
              <w:rPr>
                <w:noProof/>
                <w:webHidden/>
              </w:rPr>
              <w:fldChar w:fldCharType="end"/>
            </w:r>
          </w:hyperlink>
        </w:p>
        <w:p w14:paraId="7DCC0D90"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5" w:history="1">
            <w:r w:rsidR="008B50C0" w:rsidRPr="00A86862">
              <w:rPr>
                <w:rStyle w:val="Hyperlink"/>
                <w:rFonts w:eastAsia="MS PGothic"/>
                <w:noProof/>
              </w:rPr>
              <w:t>2.2.3</w:t>
            </w:r>
            <w:r w:rsidR="008B50C0">
              <w:rPr>
                <w:rFonts w:eastAsiaTheme="minorEastAsia" w:cstheme="minorBidi"/>
                <w:i w:val="0"/>
                <w:iCs w:val="0"/>
                <w:noProof/>
                <w:sz w:val="22"/>
                <w:szCs w:val="22"/>
                <w:lang w:val="en-GB" w:eastAsia="en-GB"/>
              </w:rPr>
              <w:tab/>
            </w:r>
            <w:r w:rsidR="008B50C0" w:rsidRPr="00A86862">
              <w:rPr>
                <w:rStyle w:val="Hyperlink"/>
                <w:rFonts w:eastAsia="MS PGothic"/>
                <w:noProof/>
              </w:rPr>
              <w:t>NC Implementation and Monitoring</w:t>
            </w:r>
            <w:r w:rsidR="008B50C0">
              <w:rPr>
                <w:noProof/>
                <w:webHidden/>
              </w:rPr>
              <w:tab/>
            </w:r>
            <w:r w:rsidR="008B50C0">
              <w:rPr>
                <w:noProof/>
                <w:webHidden/>
              </w:rPr>
              <w:fldChar w:fldCharType="begin"/>
            </w:r>
            <w:r w:rsidR="008B50C0">
              <w:rPr>
                <w:noProof/>
                <w:webHidden/>
              </w:rPr>
              <w:instrText xml:space="preserve"> PAGEREF _Toc396913745 \h </w:instrText>
            </w:r>
            <w:r w:rsidR="008B50C0">
              <w:rPr>
                <w:noProof/>
                <w:webHidden/>
              </w:rPr>
            </w:r>
            <w:r w:rsidR="008B50C0">
              <w:rPr>
                <w:noProof/>
                <w:webHidden/>
              </w:rPr>
              <w:fldChar w:fldCharType="separate"/>
            </w:r>
            <w:r w:rsidR="008B50C0">
              <w:rPr>
                <w:noProof/>
                <w:webHidden/>
              </w:rPr>
              <w:t>22</w:t>
            </w:r>
            <w:r w:rsidR="008B50C0">
              <w:rPr>
                <w:noProof/>
                <w:webHidden/>
              </w:rPr>
              <w:fldChar w:fldCharType="end"/>
            </w:r>
          </w:hyperlink>
        </w:p>
        <w:p w14:paraId="1831388A"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6" w:history="1">
            <w:r w:rsidR="008B50C0" w:rsidRPr="00A86862">
              <w:rPr>
                <w:rStyle w:val="Hyperlink"/>
                <w:rFonts w:eastAsia="MS PGothic"/>
                <w:noProof/>
              </w:rPr>
              <w:t>2.2.4</w:t>
            </w:r>
            <w:r w:rsidR="008B50C0">
              <w:rPr>
                <w:rFonts w:eastAsiaTheme="minorEastAsia" w:cstheme="minorBidi"/>
                <w:i w:val="0"/>
                <w:iCs w:val="0"/>
                <w:noProof/>
                <w:sz w:val="22"/>
                <w:szCs w:val="22"/>
                <w:lang w:val="en-GB" w:eastAsia="en-GB"/>
              </w:rPr>
              <w:tab/>
            </w:r>
            <w:r w:rsidR="008B50C0" w:rsidRPr="00A86862">
              <w:rPr>
                <w:rStyle w:val="Hyperlink"/>
                <w:rFonts w:eastAsia="MS PGothic"/>
                <w:noProof/>
              </w:rPr>
              <w:t>Monitoring of the Internal Energy Market</w:t>
            </w:r>
            <w:r w:rsidR="008B50C0">
              <w:rPr>
                <w:noProof/>
                <w:webHidden/>
              </w:rPr>
              <w:tab/>
            </w:r>
            <w:r w:rsidR="008B50C0">
              <w:rPr>
                <w:noProof/>
                <w:webHidden/>
              </w:rPr>
              <w:fldChar w:fldCharType="begin"/>
            </w:r>
            <w:r w:rsidR="008B50C0">
              <w:rPr>
                <w:noProof/>
                <w:webHidden/>
              </w:rPr>
              <w:instrText xml:space="preserve"> PAGEREF _Toc396913746 \h </w:instrText>
            </w:r>
            <w:r w:rsidR="008B50C0">
              <w:rPr>
                <w:noProof/>
                <w:webHidden/>
              </w:rPr>
            </w:r>
            <w:r w:rsidR="008B50C0">
              <w:rPr>
                <w:noProof/>
                <w:webHidden/>
              </w:rPr>
              <w:fldChar w:fldCharType="separate"/>
            </w:r>
            <w:r w:rsidR="008B50C0">
              <w:rPr>
                <w:noProof/>
                <w:webHidden/>
              </w:rPr>
              <w:t>23</w:t>
            </w:r>
            <w:r w:rsidR="008B50C0">
              <w:rPr>
                <w:noProof/>
                <w:webHidden/>
              </w:rPr>
              <w:fldChar w:fldCharType="end"/>
            </w:r>
          </w:hyperlink>
        </w:p>
        <w:p w14:paraId="3352B6EA"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7" w:history="1">
            <w:r w:rsidR="008B50C0" w:rsidRPr="00A86862">
              <w:rPr>
                <w:rStyle w:val="Hyperlink"/>
                <w:noProof/>
                <w:lang w:eastAsia="en-GB"/>
              </w:rPr>
              <w:t>2.2.5</w:t>
            </w:r>
            <w:r w:rsidR="008B50C0">
              <w:rPr>
                <w:rFonts w:eastAsiaTheme="minorEastAsia" w:cstheme="minorBidi"/>
                <w:i w:val="0"/>
                <w:iCs w:val="0"/>
                <w:noProof/>
                <w:sz w:val="22"/>
                <w:szCs w:val="22"/>
                <w:lang w:val="en-GB" w:eastAsia="en-GB"/>
              </w:rPr>
              <w:tab/>
            </w:r>
            <w:r w:rsidR="008B50C0" w:rsidRPr="00A86862">
              <w:rPr>
                <w:rStyle w:val="Hyperlink"/>
                <w:noProof/>
                <w:lang w:eastAsia="en-GB"/>
              </w:rPr>
              <w:t>Completion of the IEM - objectives and expected achievements</w:t>
            </w:r>
            <w:r w:rsidR="008B50C0">
              <w:rPr>
                <w:noProof/>
                <w:webHidden/>
              </w:rPr>
              <w:tab/>
            </w:r>
            <w:r w:rsidR="008B50C0">
              <w:rPr>
                <w:noProof/>
                <w:webHidden/>
              </w:rPr>
              <w:fldChar w:fldCharType="begin"/>
            </w:r>
            <w:r w:rsidR="008B50C0">
              <w:rPr>
                <w:noProof/>
                <w:webHidden/>
              </w:rPr>
              <w:instrText xml:space="preserve"> PAGEREF _Toc396913747 \h </w:instrText>
            </w:r>
            <w:r w:rsidR="008B50C0">
              <w:rPr>
                <w:noProof/>
                <w:webHidden/>
              </w:rPr>
            </w:r>
            <w:r w:rsidR="008B50C0">
              <w:rPr>
                <w:noProof/>
                <w:webHidden/>
              </w:rPr>
              <w:fldChar w:fldCharType="separate"/>
            </w:r>
            <w:r w:rsidR="008B50C0">
              <w:rPr>
                <w:noProof/>
                <w:webHidden/>
              </w:rPr>
              <w:t>23</w:t>
            </w:r>
            <w:r w:rsidR="008B50C0">
              <w:rPr>
                <w:noProof/>
                <w:webHidden/>
              </w:rPr>
              <w:fldChar w:fldCharType="end"/>
            </w:r>
          </w:hyperlink>
        </w:p>
        <w:p w14:paraId="073FEC01"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48" w:history="1">
            <w:r w:rsidR="008B50C0" w:rsidRPr="00A86862">
              <w:rPr>
                <w:rStyle w:val="Hyperlink"/>
                <w:noProof/>
                <w:lang w:eastAsia="en-GB"/>
              </w:rPr>
              <w:t>2.2.6</w:t>
            </w:r>
            <w:r w:rsidR="008B50C0">
              <w:rPr>
                <w:rFonts w:eastAsiaTheme="minorEastAsia" w:cstheme="minorBidi"/>
                <w:i w:val="0"/>
                <w:iCs w:val="0"/>
                <w:noProof/>
                <w:sz w:val="22"/>
                <w:szCs w:val="22"/>
                <w:lang w:val="en-GB" w:eastAsia="en-GB"/>
              </w:rPr>
              <w:tab/>
            </w:r>
            <w:r w:rsidR="008B50C0" w:rsidRPr="00A86862">
              <w:rPr>
                <w:rStyle w:val="Hyperlink"/>
                <w:noProof/>
                <w:lang w:eastAsia="en-GB"/>
              </w:rPr>
              <w:t>Risks</w:t>
            </w:r>
            <w:r w:rsidR="008B50C0">
              <w:rPr>
                <w:noProof/>
                <w:webHidden/>
              </w:rPr>
              <w:tab/>
            </w:r>
            <w:r w:rsidR="008B50C0">
              <w:rPr>
                <w:noProof/>
                <w:webHidden/>
              </w:rPr>
              <w:fldChar w:fldCharType="begin"/>
            </w:r>
            <w:r w:rsidR="008B50C0">
              <w:rPr>
                <w:noProof/>
                <w:webHidden/>
              </w:rPr>
              <w:instrText xml:space="preserve"> PAGEREF _Toc396913748 \h </w:instrText>
            </w:r>
            <w:r w:rsidR="008B50C0">
              <w:rPr>
                <w:noProof/>
                <w:webHidden/>
              </w:rPr>
            </w:r>
            <w:r w:rsidR="008B50C0">
              <w:rPr>
                <w:noProof/>
                <w:webHidden/>
              </w:rPr>
              <w:fldChar w:fldCharType="separate"/>
            </w:r>
            <w:r w:rsidR="008B50C0">
              <w:rPr>
                <w:noProof/>
                <w:webHidden/>
              </w:rPr>
              <w:t>24</w:t>
            </w:r>
            <w:r w:rsidR="008B50C0">
              <w:rPr>
                <w:noProof/>
                <w:webHidden/>
              </w:rPr>
              <w:fldChar w:fldCharType="end"/>
            </w:r>
          </w:hyperlink>
        </w:p>
        <w:p w14:paraId="3A4D904C"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49" w:history="1">
            <w:r w:rsidR="008B50C0" w:rsidRPr="00A86862">
              <w:rPr>
                <w:rStyle w:val="Hyperlink"/>
                <w:noProof/>
                <w:lang w:eastAsia="en-GB"/>
              </w:rPr>
              <w:t>2.3</w:t>
            </w:r>
            <w:r w:rsidR="008B50C0">
              <w:rPr>
                <w:rFonts w:eastAsiaTheme="minorEastAsia" w:cstheme="minorBidi"/>
                <w:smallCaps w:val="0"/>
                <w:noProof/>
                <w:sz w:val="22"/>
                <w:szCs w:val="22"/>
                <w:lang w:val="en-GB" w:eastAsia="en-GB"/>
              </w:rPr>
              <w:tab/>
            </w:r>
            <w:r w:rsidR="008B50C0" w:rsidRPr="00A86862">
              <w:rPr>
                <w:rStyle w:val="Hyperlink"/>
                <w:noProof/>
                <w:lang w:eastAsia="en-GB"/>
              </w:rPr>
              <w:t>Wholesale Energy Market Integrity and Transparency</w:t>
            </w:r>
            <w:r w:rsidR="008B50C0">
              <w:rPr>
                <w:noProof/>
                <w:webHidden/>
              </w:rPr>
              <w:tab/>
            </w:r>
            <w:r w:rsidR="008B50C0">
              <w:rPr>
                <w:noProof/>
                <w:webHidden/>
              </w:rPr>
              <w:fldChar w:fldCharType="begin"/>
            </w:r>
            <w:r w:rsidR="008B50C0">
              <w:rPr>
                <w:noProof/>
                <w:webHidden/>
              </w:rPr>
              <w:instrText xml:space="preserve"> PAGEREF _Toc396913749 \h </w:instrText>
            </w:r>
            <w:r w:rsidR="008B50C0">
              <w:rPr>
                <w:noProof/>
                <w:webHidden/>
              </w:rPr>
            </w:r>
            <w:r w:rsidR="008B50C0">
              <w:rPr>
                <w:noProof/>
                <w:webHidden/>
              </w:rPr>
              <w:fldChar w:fldCharType="separate"/>
            </w:r>
            <w:r w:rsidR="008B50C0">
              <w:rPr>
                <w:noProof/>
                <w:webHidden/>
              </w:rPr>
              <w:t>24</w:t>
            </w:r>
            <w:r w:rsidR="008B50C0">
              <w:rPr>
                <w:noProof/>
                <w:webHidden/>
              </w:rPr>
              <w:fldChar w:fldCharType="end"/>
            </w:r>
          </w:hyperlink>
        </w:p>
        <w:p w14:paraId="4CA57459"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0" w:history="1">
            <w:r w:rsidR="008B50C0" w:rsidRPr="00A86862">
              <w:rPr>
                <w:rStyle w:val="Hyperlink"/>
                <w:noProof/>
                <w:lang w:eastAsia="en-GB"/>
              </w:rPr>
              <w:t>2.3.1</w:t>
            </w:r>
            <w:r w:rsidR="008B50C0">
              <w:rPr>
                <w:rFonts w:eastAsiaTheme="minorEastAsia" w:cstheme="minorBidi"/>
                <w:i w:val="0"/>
                <w:iCs w:val="0"/>
                <w:noProof/>
                <w:sz w:val="22"/>
                <w:szCs w:val="22"/>
                <w:lang w:val="en-GB" w:eastAsia="en-GB"/>
              </w:rPr>
              <w:tab/>
            </w:r>
            <w:r w:rsidR="008B50C0" w:rsidRPr="00A86862">
              <w:rPr>
                <w:rStyle w:val="Hyperlink"/>
                <w:noProof/>
                <w:lang w:eastAsia="en-GB"/>
              </w:rPr>
              <w:t>Institutional Framework</w:t>
            </w:r>
            <w:r w:rsidR="008B50C0">
              <w:rPr>
                <w:noProof/>
                <w:webHidden/>
              </w:rPr>
              <w:tab/>
            </w:r>
            <w:r w:rsidR="008B50C0">
              <w:rPr>
                <w:noProof/>
                <w:webHidden/>
              </w:rPr>
              <w:fldChar w:fldCharType="begin"/>
            </w:r>
            <w:r w:rsidR="008B50C0">
              <w:rPr>
                <w:noProof/>
                <w:webHidden/>
              </w:rPr>
              <w:instrText xml:space="preserve"> PAGEREF _Toc396913750 \h </w:instrText>
            </w:r>
            <w:r w:rsidR="008B50C0">
              <w:rPr>
                <w:noProof/>
                <w:webHidden/>
              </w:rPr>
            </w:r>
            <w:r w:rsidR="008B50C0">
              <w:rPr>
                <w:noProof/>
                <w:webHidden/>
              </w:rPr>
              <w:fldChar w:fldCharType="separate"/>
            </w:r>
            <w:r w:rsidR="008B50C0">
              <w:rPr>
                <w:noProof/>
                <w:webHidden/>
              </w:rPr>
              <w:t>24</w:t>
            </w:r>
            <w:r w:rsidR="008B50C0">
              <w:rPr>
                <w:noProof/>
                <w:webHidden/>
              </w:rPr>
              <w:fldChar w:fldCharType="end"/>
            </w:r>
          </w:hyperlink>
        </w:p>
        <w:p w14:paraId="026D51C7"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1" w:history="1">
            <w:r w:rsidR="008B50C0" w:rsidRPr="00A86862">
              <w:rPr>
                <w:rStyle w:val="Hyperlink"/>
                <w:rFonts w:eastAsia="MS PGothic"/>
                <w:noProof/>
              </w:rPr>
              <w:t>2.3.2</w:t>
            </w:r>
            <w:r w:rsidR="008B50C0">
              <w:rPr>
                <w:rFonts w:eastAsiaTheme="minorEastAsia" w:cstheme="minorBidi"/>
                <w:i w:val="0"/>
                <w:iCs w:val="0"/>
                <w:noProof/>
                <w:sz w:val="22"/>
                <w:szCs w:val="22"/>
                <w:lang w:val="en-GB" w:eastAsia="en-GB"/>
              </w:rPr>
              <w:tab/>
            </w:r>
            <w:r w:rsidR="008B50C0" w:rsidRPr="00A86862">
              <w:rPr>
                <w:rStyle w:val="Hyperlink"/>
                <w:rFonts w:eastAsia="MS PGothic"/>
                <w:noProof/>
              </w:rPr>
              <w:t>Completion of REMIT Implementation</w:t>
            </w:r>
            <w:r w:rsidR="008B50C0">
              <w:rPr>
                <w:noProof/>
                <w:webHidden/>
              </w:rPr>
              <w:tab/>
            </w:r>
            <w:r w:rsidR="008B50C0">
              <w:rPr>
                <w:noProof/>
                <w:webHidden/>
              </w:rPr>
              <w:fldChar w:fldCharType="begin"/>
            </w:r>
            <w:r w:rsidR="008B50C0">
              <w:rPr>
                <w:noProof/>
                <w:webHidden/>
              </w:rPr>
              <w:instrText xml:space="preserve"> PAGEREF _Toc396913751 \h </w:instrText>
            </w:r>
            <w:r w:rsidR="008B50C0">
              <w:rPr>
                <w:noProof/>
                <w:webHidden/>
              </w:rPr>
            </w:r>
            <w:r w:rsidR="008B50C0">
              <w:rPr>
                <w:noProof/>
                <w:webHidden/>
              </w:rPr>
              <w:fldChar w:fldCharType="separate"/>
            </w:r>
            <w:r w:rsidR="008B50C0">
              <w:rPr>
                <w:noProof/>
                <w:webHidden/>
              </w:rPr>
              <w:t>25</w:t>
            </w:r>
            <w:r w:rsidR="008B50C0">
              <w:rPr>
                <w:noProof/>
                <w:webHidden/>
              </w:rPr>
              <w:fldChar w:fldCharType="end"/>
            </w:r>
          </w:hyperlink>
        </w:p>
        <w:p w14:paraId="36E6F1CC"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2" w:history="1">
            <w:r w:rsidR="008B50C0" w:rsidRPr="00A86862">
              <w:rPr>
                <w:rStyle w:val="Hyperlink"/>
                <w:noProof/>
                <w:lang w:eastAsia="en-GB"/>
              </w:rPr>
              <w:t>2.3.3</w:t>
            </w:r>
            <w:r w:rsidR="008B50C0">
              <w:rPr>
                <w:rFonts w:eastAsiaTheme="minorEastAsia" w:cstheme="minorBidi"/>
                <w:i w:val="0"/>
                <w:iCs w:val="0"/>
                <w:noProof/>
                <w:sz w:val="22"/>
                <w:szCs w:val="22"/>
                <w:lang w:val="en-GB" w:eastAsia="en-GB"/>
              </w:rPr>
              <w:tab/>
            </w:r>
            <w:r w:rsidR="008B50C0" w:rsidRPr="00A86862">
              <w:rPr>
                <w:rStyle w:val="Hyperlink"/>
                <w:rFonts w:eastAsia="MS PGothic"/>
                <w:noProof/>
              </w:rPr>
              <w:t>Wholesale Market Monitoring</w:t>
            </w:r>
            <w:r w:rsidR="008B50C0">
              <w:rPr>
                <w:noProof/>
                <w:webHidden/>
              </w:rPr>
              <w:tab/>
            </w:r>
            <w:r w:rsidR="008B50C0">
              <w:rPr>
                <w:noProof/>
                <w:webHidden/>
              </w:rPr>
              <w:fldChar w:fldCharType="begin"/>
            </w:r>
            <w:r w:rsidR="008B50C0">
              <w:rPr>
                <w:noProof/>
                <w:webHidden/>
              </w:rPr>
              <w:instrText xml:space="preserve"> PAGEREF _Toc396913752 \h </w:instrText>
            </w:r>
            <w:r w:rsidR="008B50C0">
              <w:rPr>
                <w:noProof/>
                <w:webHidden/>
              </w:rPr>
            </w:r>
            <w:r w:rsidR="008B50C0">
              <w:rPr>
                <w:noProof/>
                <w:webHidden/>
              </w:rPr>
              <w:fldChar w:fldCharType="separate"/>
            </w:r>
            <w:r w:rsidR="008B50C0">
              <w:rPr>
                <w:noProof/>
                <w:webHidden/>
              </w:rPr>
              <w:t>26</w:t>
            </w:r>
            <w:r w:rsidR="008B50C0">
              <w:rPr>
                <w:noProof/>
                <w:webHidden/>
              </w:rPr>
              <w:fldChar w:fldCharType="end"/>
            </w:r>
          </w:hyperlink>
        </w:p>
        <w:p w14:paraId="54D6E2EC"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3" w:history="1">
            <w:r w:rsidR="008B50C0" w:rsidRPr="00A86862">
              <w:rPr>
                <w:rStyle w:val="Hyperlink"/>
                <w:noProof/>
                <w:lang w:eastAsia="en-GB"/>
              </w:rPr>
              <w:t>2.3.4</w:t>
            </w:r>
            <w:r w:rsidR="008B50C0">
              <w:rPr>
                <w:rFonts w:eastAsiaTheme="minorEastAsia" w:cstheme="minorBidi"/>
                <w:i w:val="0"/>
                <w:iCs w:val="0"/>
                <w:noProof/>
                <w:sz w:val="22"/>
                <w:szCs w:val="22"/>
                <w:lang w:val="en-GB" w:eastAsia="en-GB"/>
              </w:rPr>
              <w:tab/>
            </w:r>
            <w:r w:rsidR="008B50C0" w:rsidRPr="00A86862">
              <w:rPr>
                <w:rStyle w:val="Hyperlink"/>
                <w:noProof/>
                <w:lang w:eastAsia="en-GB"/>
              </w:rPr>
              <w:t>REMIT - objectives and expected achievements</w:t>
            </w:r>
            <w:r w:rsidR="008B50C0">
              <w:rPr>
                <w:noProof/>
                <w:webHidden/>
              </w:rPr>
              <w:tab/>
            </w:r>
            <w:r w:rsidR="008B50C0">
              <w:rPr>
                <w:noProof/>
                <w:webHidden/>
              </w:rPr>
              <w:fldChar w:fldCharType="begin"/>
            </w:r>
            <w:r w:rsidR="008B50C0">
              <w:rPr>
                <w:noProof/>
                <w:webHidden/>
              </w:rPr>
              <w:instrText xml:space="preserve"> PAGEREF _Toc396913753 \h </w:instrText>
            </w:r>
            <w:r w:rsidR="008B50C0">
              <w:rPr>
                <w:noProof/>
                <w:webHidden/>
              </w:rPr>
            </w:r>
            <w:r w:rsidR="008B50C0">
              <w:rPr>
                <w:noProof/>
                <w:webHidden/>
              </w:rPr>
              <w:fldChar w:fldCharType="separate"/>
            </w:r>
            <w:r w:rsidR="008B50C0">
              <w:rPr>
                <w:noProof/>
                <w:webHidden/>
              </w:rPr>
              <w:t>26</w:t>
            </w:r>
            <w:r w:rsidR="008B50C0">
              <w:rPr>
                <w:noProof/>
                <w:webHidden/>
              </w:rPr>
              <w:fldChar w:fldCharType="end"/>
            </w:r>
          </w:hyperlink>
        </w:p>
        <w:p w14:paraId="52CC50F9"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4" w:history="1">
            <w:r w:rsidR="008B50C0" w:rsidRPr="00A86862">
              <w:rPr>
                <w:rStyle w:val="Hyperlink"/>
                <w:noProof/>
                <w:lang w:eastAsia="en-GB"/>
              </w:rPr>
              <w:t>2.3.5</w:t>
            </w:r>
            <w:r w:rsidR="008B50C0">
              <w:rPr>
                <w:rFonts w:eastAsiaTheme="minorEastAsia" w:cstheme="minorBidi"/>
                <w:i w:val="0"/>
                <w:iCs w:val="0"/>
                <w:noProof/>
                <w:sz w:val="22"/>
                <w:szCs w:val="22"/>
                <w:lang w:val="en-GB" w:eastAsia="en-GB"/>
              </w:rPr>
              <w:tab/>
            </w:r>
            <w:r w:rsidR="008B50C0" w:rsidRPr="00A86862">
              <w:rPr>
                <w:rStyle w:val="Hyperlink"/>
                <w:noProof/>
                <w:lang w:eastAsia="en-GB"/>
              </w:rPr>
              <w:t>Risks</w:t>
            </w:r>
            <w:r w:rsidR="008B50C0">
              <w:rPr>
                <w:noProof/>
                <w:webHidden/>
              </w:rPr>
              <w:tab/>
            </w:r>
            <w:r w:rsidR="008B50C0">
              <w:rPr>
                <w:noProof/>
                <w:webHidden/>
              </w:rPr>
              <w:fldChar w:fldCharType="begin"/>
            </w:r>
            <w:r w:rsidR="008B50C0">
              <w:rPr>
                <w:noProof/>
                <w:webHidden/>
              </w:rPr>
              <w:instrText xml:space="preserve"> PAGEREF _Toc396913754 \h </w:instrText>
            </w:r>
            <w:r w:rsidR="008B50C0">
              <w:rPr>
                <w:noProof/>
                <w:webHidden/>
              </w:rPr>
            </w:r>
            <w:r w:rsidR="008B50C0">
              <w:rPr>
                <w:noProof/>
                <w:webHidden/>
              </w:rPr>
              <w:fldChar w:fldCharType="separate"/>
            </w:r>
            <w:r w:rsidR="008B50C0">
              <w:rPr>
                <w:noProof/>
                <w:webHidden/>
              </w:rPr>
              <w:t>27</w:t>
            </w:r>
            <w:r w:rsidR="008B50C0">
              <w:rPr>
                <w:noProof/>
                <w:webHidden/>
              </w:rPr>
              <w:fldChar w:fldCharType="end"/>
            </w:r>
          </w:hyperlink>
        </w:p>
        <w:p w14:paraId="034B471D"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55" w:history="1">
            <w:r w:rsidR="008B50C0" w:rsidRPr="00A86862">
              <w:rPr>
                <w:rStyle w:val="Hyperlink"/>
                <w:noProof/>
                <w:lang w:eastAsia="en-GB"/>
              </w:rPr>
              <w:t>2.4</w:t>
            </w:r>
            <w:r w:rsidR="008B50C0">
              <w:rPr>
                <w:rFonts w:eastAsiaTheme="minorEastAsia" w:cstheme="minorBidi"/>
                <w:smallCaps w:val="0"/>
                <w:noProof/>
                <w:sz w:val="22"/>
                <w:szCs w:val="22"/>
                <w:lang w:val="en-GB" w:eastAsia="en-GB"/>
              </w:rPr>
              <w:tab/>
            </w:r>
            <w:r w:rsidR="008B50C0" w:rsidRPr="00A86862">
              <w:rPr>
                <w:rStyle w:val="Hyperlink"/>
                <w:noProof/>
                <w:lang w:eastAsia="en-GB"/>
              </w:rPr>
              <w:t>The European Infrastructure Challenge</w:t>
            </w:r>
            <w:r w:rsidR="008B50C0">
              <w:rPr>
                <w:noProof/>
                <w:webHidden/>
              </w:rPr>
              <w:tab/>
            </w:r>
            <w:r w:rsidR="008B50C0">
              <w:rPr>
                <w:noProof/>
                <w:webHidden/>
              </w:rPr>
              <w:fldChar w:fldCharType="begin"/>
            </w:r>
            <w:r w:rsidR="008B50C0">
              <w:rPr>
                <w:noProof/>
                <w:webHidden/>
              </w:rPr>
              <w:instrText xml:space="preserve"> PAGEREF _Toc396913755 \h </w:instrText>
            </w:r>
            <w:r w:rsidR="008B50C0">
              <w:rPr>
                <w:noProof/>
                <w:webHidden/>
              </w:rPr>
            </w:r>
            <w:r w:rsidR="008B50C0">
              <w:rPr>
                <w:noProof/>
                <w:webHidden/>
              </w:rPr>
              <w:fldChar w:fldCharType="separate"/>
            </w:r>
            <w:r w:rsidR="008B50C0">
              <w:rPr>
                <w:noProof/>
                <w:webHidden/>
              </w:rPr>
              <w:t>27</w:t>
            </w:r>
            <w:r w:rsidR="008B50C0">
              <w:rPr>
                <w:noProof/>
                <w:webHidden/>
              </w:rPr>
              <w:fldChar w:fldCharType="end"/>
            </w:r>
          </w:hyperlink>
        </w:p>
        <w:p w14:paraId="79F3D12A"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6" w:history="1">
            <w:r w:rsidR="008B50C0" w:rsidRPr="00A86862">
              <w:rPr>
                <w:rStyle w:val="Hyperlink"/>
                <w:noProof/>
                <w:lang w:eastAsia="en-GB"/>
              </w:rPr>
              <w:t>2.4.1</w:t>
            </w:r>
            <w:r w:rsidR="008B50C0">
              <w:rPr>
                <w:rFonts w:eastAsiaTheme="minorEastAsia" w:cstheme="minorBidi"/>
                <w:i w:val="0"/>
                <w:iCs w:val="0"/>
                <w:noProof/>
                <w:sz w:val="22"/>
                <w:szCs w:val="22"/>
                <w:lang w:val="en-GB" w:eastAsia="en-GB"/>
              </w:rPr>
              <w:tab/>
            </w:r>
            <w:r w:rsidR="008B50C0" w:rsidRPr="00A86862">
              <w:rPr>
                <w:rStyle w:val="Hyperlink"/>
                <w:noProof/>
                <w:lang w:eastAsia="en-GB"/>
              </w:rPr>
              <w:t>Institutional Framework</w:t>
            </w:r>
            <w:r w:rsidR="008B50C0">
              <w:rPr>
                <w:noProof/>
                <w:webHidden/>
              </w:rPr>
              <w:tab/>
            </w:r>
            <w:r w:rsidR="008B50C0">
              <w:rPr>
                <w:noProof/>
                <w:webHidden/>
              </w:rPr>
              <w:fldChar w:fldCharType="begin"/>
            </w:r>
            <w:r w:rsidR="008B50C0">
              <w:rPr>
                <w:noProof/>
                <w:webHidden/>
              </w:rPr>
              <w:instrText xml:space="preserve"> PAGEREF _Toc396913756 \h </w:instrText>
            </w:r>
            <w:r w:rsidR="008B50C0">
              <w:rPr>
                <w:noProof/>
                <w:webHidden/>
              </w:rPr>
            </w:r>
            <w:r w:rsidR="008B50C0">
              <w:rPr>
                <w:noProof/>
                <w:webHidden/>
              </w:rPr>
              <w:fldChar w:fldCharType="separate"/>
            </w:r>
            <w:r w:rsidR="008B50C0">
              <w:rPr>
                <w:noProof/>
                <w:webHidden/>
              </w:rPr>
              <w:t>27</w:t>
            </w:r>
            <w:r w:rsidR="008B50C0">
              <w:rPr>
                <w:noProof/>
                <w:webHidden/>
              </w:rPr>
              <w:fldChar w:fldCharType="end"/>
            </w:r>
          </w:hyperlink>
        </w:p>
        <w:p w14:paraId="19AC29DB"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7" w:history="1">
            <w:r w:rsidR="008B50C0" w:rsidRPr="00A86862">
              <w:rPr>
                <w:rStyle w:val="Hyperlink"/>
                <w:rFonts w:eastAsia="MS PGothic"/>
                <w:noProof/>
              </w:rPr>
              <w:t>2.4.2</w:t>
            </w:r>
            <w:r w:rsidR="008B50C0">
              <w:rPr>
                <w:rFonts w:eastAsiaTheme="minorEastAsia" w:cstheme="minorBidi"/>
                <w:i w:val="0"/>
                <w:iCs w:val="0"/>
                <w:noProof/>
                <w:sz w:val="22"/>
                <w:szCs w:val="22"/>
                <w:lang w:val="en-GB" w:eastAsia="en-GB"/>
              </w:rPr>
              <w:tab/>
            </w:r>
            <w:r w:rsidR="008B50C0" w:rsidRPr="00A86862">
              <w:rPr>
                <w:rStyle w:val="Hyperlink"/>
                <w:rFonts w:eastAsia="MS PGothic"/>
                <w:noProof/>
              </w:rPr>
              <w:t>TYNDP</w:t>
            </w:r>
            <w:r w:rsidR="008B50C0">
              <w:rPr>
                <w:noProof/>
                <w:webHidden/>
              </w:rPr>
              <w:tab/>
            </w:r>
            <w:r w:rsidR="008B50C0">
              <w:rPr>
                <w:noProof/>
                <w:webHidden/>
              </w:rPr>
              <w:fldChar w:fldCharType="begin"/>
            </w:r>
            <w:r w:rsidR="008B50C0">
              <w:rPr>
                <w:noProof/>
                <w:webHidden/>
              </w:rPr>
              <w:instrText xml:space="preserve"> PAGEREF _Toc396913757 \h </w:instrText>
            </w:r>
            <w:r w:rsidR="008B50C0">
              <w:rPr>
                <w:noProof/>
                <w:webHidden/>
              </w:rPr>
            </w:r>
            <w:r w:rsidR="008B50C0">
              <w:rPr>
                <w:noProof/>
                <w:webHidden/>
              </w:rPr>
              <w:fldChar w:fldCharType="separate"/>
            </w:r>
            <w:r w:rsidR="008B50C0">
              <w:rPr>
                <w:noProof/>
                <w:webHidden/>
              </w:rPr>
              <w:t>28</w:t>
            </w:r>
            <w:r w:rsidR="008B50C0">
              <w:rPr>
                <w:noProof/>
                <w:webHidden/>
              </w:rPr>
              <w:fldChar w:fldCharType="end"/>
            </w:r>
          </w:hyperlink>
        </w:p>
        <w:p w14:paraId="7CCE68D5"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8" w:history="1">
            <w:r w:rsidR="008B50C0" w:rsidRPr="00A86862">
              <w:rPr>
                <w:rStyle w:val="Hyperlink"/>
                <w:noProof/>
                <w:lang w:eastAsia="en-GB"/>
              </w:rPr>
              <w:t>2.4.3</w:t>
            </w:r>
            <w:r w:rsidR="008B50C0">
              <w:rPr>
                <w:rFonts w:eastAsiaTheme="minorEastAsia" w:cstheme="minorBidi"/>
                <w:i w:val="0"/>
                <w:iCs w:val="0"/>
                <w:noProof/>
                <w:sz w:val="22"/>
                <w:szCs w:val="22"/>
                <w:lang w:val="en-GB" w:eastAsia="en-GB"/>
              </w:rPr>
              <w:tab/>
            </w:r>
            <w:r w:rsidR="008B50C0" w:rsidRPr="00A86862">
              <w:rPr>
                <w:rStyle w:val="Hyperlink"/>
                <w:noProof/>
                <w:lang w:eastAsia="en-GB"/>
              </w:rPr>
              <w:t>Identification of PCIs</w:t>
            </w:r>
            <w:r w:rsidR="008B50C0">
              <w:rPr>
                <w:noProof/>
                <w:webHidden/>
              </w:rPr>
              <w:tab/>
            </w:r>
            <w:r w:rsidR="008B50C0">
              <w:rPr>
                <w:noProof/>
                <w:webHidden/>
              </w:rPr>
              <w:fldChar w:fldCharType="begin"/>
            </w:r>
            <w:r w:rsidR="008B50C0">
              <w:rPr>
                <w:noProof/>
                <w:webHidden/>
              </w:rPr>
              <w:instrText xml:space="preserve"> PAGEREF _Toc396913758 \h </w:instrText>
            </w:r>
            <w:r w:rsidR="008B50C0">
              <w:rPr>
                <w:noProof/>
                <w:webHidden/>
              </w:rPr>
            </w:r>
            <w:r w:rsidR="008B50C0">
              <w:rPr>
                <w:noProof/>
                <w:webHidden/>
              </w:rPr>
              <w:fldChar w:fldCharType="separate"/>
            </w:r>
            <w:r w:rsidR="008B50C0">
              <w:rPr>
                <w:noProof/>
                <w:webHidden/>
              </w:rPr>
              <w:t>28</w:t>
            </w:r>
            <w:r w:rsidR="008B50C0">
              <w:rPr>
                <w:noProof/>
                <w:webHidden/>
              </w:rPr>
              <w:fldChar w:fldCharType="end"/>
            </w:r>
          </w:hyperlink>
        </w:p>
        <w:p w14:paraId="1598AF03"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59" w:history="1">
            <w:r w:rsidR="008B50C0" w:rsidRPr="00A86862">
              <w:rPr>
                <w:rStyle w:val="Hyperlink"/>
                <w:noProof/>
                <w:lang w:eastAsia="en-GB"/>
              </w:rPr>
              <w:t>2.4.4</w:t>
            </w:r>
            <w:r w:rsidR="008B50C0">
              <w:rPr>
                <w:rFonts w:eastAsiaTheme="minorEastAsia" w:cstheme="minorBidi"/>
                <w:i w:val="0"/>
                <w:iCs w:val="0"/>
                <w:noProof/>
                <w:sz w:val="22"/>
                <w:szCs w:val="22"/>
                <w:lang w:val="en-GB" w:eastAsia="en-GB"/>
              </w:rPr>
              <w:tab/>
            </w:r>
            <w:r w:rsidR="008B50C0" w:rsidRPr="00A86862">
              <w:rPr>
                <w:rStyle w:val="Hyperlink"/>
                <w:noProof/>
                <w:lang w:eastAsia="en-GB"/>
              </w:rPr>
              <w:t>Cross-Border Cost Allocation</w:t>
            </w:r>
            <w:r w:rsidR="008B50C0">
              <w:rPr>
                <w:noProof/>
                <w:webHidden/>
              </w:rPr>
              <w:tab/>
            </w:r>
            <w:r w:rsidR="008B50C0">
              <w:rPr>
                <w:noProof/>
                <w:webHidden/>
              </w:rPr>
              <w:fldChar w:fldCharType="begin"/>
            </w:r>
            <w:r w:rsidR="008B50C0">
              <w:rPr>
                <w:noProof/>
                <w:webHidden/>
              </w:rPr>
              <w:instrText xml:space="preserve"> PAGEREF _Toc396913759 \h </w:instrText>
            </w:r>
            <w:r w:rsidR="008B50C0">
              <w:rPr>
                <w:noProof/>
                <w:webHidden/>
              </w:rPr>
            </w:r>
            <w:r w:rsidR="008B50C0">
              <w:rPr>
                <w:noProof/>
                <w:webHidden/>
              </w:rPr>
              <w:fldChar w:fldCharType="separate"/>
            </w:r>
            <w:r w:rsidR="008B50C0">
              <w:rPr>
                <w:noProof/>
                <w:webHidden/>
              </w:rPr>
              <w:t>28</w:t>
            </w:r>
            <w:r w:rsidR="008B50C0">
              <w:rPr>
                <w:noProof/>
                <w:webHidden/>
              </w:rPr>
              <w:fldChar w:fldCharType="end"/>
            </w:r>
          </w:hyperlink>
        </w:p>
        <w:p w14:paraId="1D7ED4D8"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0" w:history="1">
            <w:r w:rsidR="008B50C0" w:rsidRPr="00A86862">
              <w:rPr>
                <w:rStyle w:val="Hyperlink"/>
                <w:noProof/>
                <w:lang w:eastAsia="en-GB"/>
              </w:rPr>
              <w:t>2.4.5</w:t>
            </w:r>
            <w:r w:rsidR="008B50C0">
              <w:rPr>
                <w:rFonts w:eastAsiaTheme="minorEastAsia" w:cstheme="minorBidi"/>
                <w:i w:val="0"/>
                <w:iCs w:val="0"/>
                <w:noProof/>
                <w:sz w:val="22"/>
                <w:szCs w:val="22"/>
                <w:lang w:val="en-GB" w:eastAsia="en-GB"/>
              </w:rPr>
              <w:tab/>
            </w:r>
            <w:r w:rsidR="008B50C0" w:rsidRPr="00A86862">
              <w:rPr>
                <w:rStyle w:val="Hyperlink"/>
                <w:noProof/>
                <w:lang w:eastAsia="en-GB"/>
              </w:rPr>
              <w:t>Infrastructure - objectives and expected achievements</w:t>
            </w:r>
            <w:r w:rsidR="008B50C0">
              <w:rPr>
                <w:noProof/>
                <w:webHidden/>
              </w:rPr>
              <w:tab/>
            </w:r>
            <w:r w:rsidR="008B50C0">
              <w:rPr>
                <w:noProof/>
                <w:webHidden/>
              </w:rPr>
              <w:fldChar w:fldCharType="begin"/>
            </w:r>
            <w:r w:rsidR="008B50C0">
              <w:rPr>
                <w:noProof/>
                <w:webHidden/>
              </w:rPr>
              <w:instrText xml:space="preserve"> PAGEREF _Toc396913760 \h </w:instrText>
            </w:r>
            <w:r w:rsidR="008B50C0">
              <w:rPr>
                <w:noProof/>
                <w:webHidden/>
              </w:rPr>
            </w:r>
            <w:r w:rsidR="008B50C0">
              <w:rPr>
                <w:noProof/>
                <w:webHidden/>
              </w:rPr>
              <w:fldChar w:fldCharType="separate"/>
            </w:r>
            <w:r w:rsidR="008B50C0">
              <w:rPr>
                <w:noProof/>
                <w:webHidden/>
              </w:rPr>
              <w:t>28</w:t>
            </w:r>
            <w:r w:rsidR="008B50C0">
              <w:rPr>
                <w:noProof/>
                <w:webHidden/>
              </w:rPr>
              <w:fldChar w:fldCharType="end"/>
            </w:r>
          </w:hyperlink>
        </w:p>
        <w:p w14:paraId="25B81246"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61" w:history="1">
            <w:r w:rsidR="008B50C0" w:rsidRPr="00A86862">
              <w:rPr>
                <w:rStyle w:val="Hyperlink"/>
                <w:noProof/>
                <w:lang w:eastAsia="en-GB"/>
              </w:rPr>
              <w:t>2.5</w:t>
            </w:r>
            <w:r w:rsidR="008B50C0">
              <w:rPr>
                <w:rFonts w:eastAsiaTheme="minorEastAsia" w:cstheme="minorBidi"/>
                <w:smallCaps w:val="0"/>
                <w:noProof/>
                <w:sz w:val="22"/>
                <w:szCs w:val="22"/>
                <w:lang w:val="en-GB" w:eastAsia="en-GB"/>
              </w:rPr>
              <w:tab/>
            </w:r>
            <w:r w:rsidR="008B50C0" w:rsidRPr="00A86862">
              <w:rPr>
                <w:rStyle w:val="Hyperlink"/>
                <w:noProof/>
                <w:lang w:eastAsia="en-GB"/>
              </w:rPr>
              <w:t>International Cooperation</w:t>
            </w:r>
            <w:r w:rsidR="008B50C0">
              <w:rPr>
                <w:noProof/>
                <w:webHidden/>
              </w:rPr>
              <w:tab/>
            </w:r>
            <w:r w:rsidR="008B50C0">
              <w:rPr>
                <w:noProof/>
                <w:webHidden/>
              </w:rPr>
              <w:fldChar w:fldCharType="begin"/>
            </w:r>
            <w:r w:rsidR="008B50C0">
              <w:rPr>
                <w:noProof/>
                <w:webHidden/>
              </w:rPr>
              <w:instrText xml:space="preserve"> PAGEREF _Toc396913761 \h </w:instrText>
            </w:r>
            <w:r w:rsidR="008B50C0">
              <w:rPr>
                <w:noProof/>
                <w:webHidden/>
              </w:rPr>
            </w:r>
            <w:r w:rsidR="008B50C0">
              <w:rPr>
                <w:noProof/>
                <w:webHidden/>
              </w:rPr>
              <w:fldChar w:fldCharType="separate"/>
            </w:r>
            <w:r w:rsidR="008B50C0">
              <w:rPr>
                <w:noProof/>
                <w:webHidden/>
              </w:rPr>
              <w:t>29</w:t>
            </w:r>
            <w:r w:rsidR="008B50C0">
              <w:rPr>
                <w:noProof/>
                <w:webHidden/>
              </w:rPr>
              <w:fldChar w:fldCharType="end"/>
            </w:r>
          </w:hyperlink>
        </w:p>
        <w:p w14:paraId="21A1DCED"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2" w:history="1">
            <w:r w:rsidR="008B50C0" w:rsidRPr="00A86862">
              <w:rPr>
                <w:rStyle w:val="Hyperlink"/>
                <w:noProof/>
              </w:rPr>
              <w:t>2.5.1</w:t>
            </w:r>
            <w:r w:rsidR="008B50C0">
              <w:rPr>
                <w:rFonts w:eastAsiaTheme="minorEastAsia" w:cstheme="minorBidi"/>
                <w:i w:val="0"/>
                <w:iCs w:val="0"/>
                <w:noProof/>
                <w:sz w:val="22"/>
                <w:szCs w:val="22"/>
                <w:lang w:val="en-GB" w:eastAsia="en-GB"/>
              </w:rPr>
              <w:tab/>
            </w:r>
            <w:r w:rsidR="008B50C0" w:rsidRPr="00A86862">
              <w:rPr>
                <w:rStyle w:val="Hyperlink"/>
                <w:noProof/>
              </w:rPr>
              <w:t>Institutional Framework</w:t>
            </w:r>
            <w:r w:rsidR="008B50C0">
              <w:rPr>
                <w:noProof/>
                <w:webHidden/>
              </w:rPr>
              <w:tab/>
            </w:r>
            <w:r w:rsidR="008B50C0">
              <w:rPr>
                <w:noProof/>
                <w:webHidden/>
              </w:rPr>
              <w:fldChar w:fldCharType="begin"/>
            </w:r>
            <w:r w:rsidR="008B50C0">
              <w:rPr>
                <w:noProof/>
                <w:webHidden/>
              </w:rPr>
              <w:instrText xml:space="preserve"> PAGEREF _Toc396913762 \h </w:instrText>
            </w:r>
            <w:r w:rsidR="008B50C0">
              <w:rPr>
                <w:noProof/>
                <w:webHidden/>
              </w:rPr>
            </w:r>
            <w:r w:rsidR="008B50C0">
              <w:rPr>
                <w:noProof/>
                <w:webHidden/>
              </w:rPr>
              <w:fldChar w:fldCharType="separate"/>
            </w:r>
            <w:r w:rsidR="008B50C0">
              <w:rPr>
                <w:noProof/>
                <w:webHidden/>
              </w:rPr>
              <w:t>29</w:t>
            </w:r>
            <w:r w:rsidR="008B50C0">
              <w:rPr>
                <w:noProof/>
                <w:webHidden/>
              </w:rPr>
              <w:fldChar w:fldCharType="end"/>
            </w:r>
          </w:hyperlink>
        </w:p>
        <w:p w14:paraId="59A52D3D"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3" w:history="1">
            <w:r w:rsidR="008B50C0" w:rsidRPr="00A86862">
              <w:rPr>
                <w:rStyle w:val="Hyperlink"/>
                <w:noProof/>
                <w:lang w:eastAsia="en-GB"/>
              </w:rPr>
              <w:t>2.5.2</w:t>
            </w:r>
            <w:r w:rsidR="008B50C0">
              <w:rPr>
                <w:rFonts w:eastAsiaTheme="minorEastAsia" w:cstheme="minorBidi"/>
                <w:i w:val="0"/>
                <w:iCs w:val="0"/>
                <w:noProof/>
                <w:sz w:val="22"/>
                <w:szCs w:val="22"/>
                <w:lang w:val="en-GB" w:eastAsia="en-GB"/>
              </w:rPr>
              <w:tab/>
            </w:r>
            <w:r w:rsidR="008B50C0" w:rsidRPr="00A86862">
              <w:rPr>
                <w:rStyle w:val="Hyperlink"/>
                <w:noProof/>
                <w:lang w:eastAsia="en-GB"/>
              </w:rPr>
              <w:t>International Cooperation - objectives and expected achievements</w:t>
            </w:r>
            <w:r w:rsidR="008B50C0">
              <w:rPr>
                <w:noProof/>
                <w:webHidden/>
              </w:rPr>
              <w:tab/>
            </w:r>
            <w:r w:rsidR="008B50C0">
              <w:rPr>
                <w:noProof/>
                <w:webHidden/>
              </w:rPr>
              <w:fldChar w:fldCharType="begin"/>
            </w:r>
            <w:r w:rsidR="008B50C0">
              <w:rPr>
                <w:noProof/>
                <w:webHidden/>
              </w:rPr>
              <w:instrText xml:space="preserve"> PAGEREF _Toc396913763 \h </w:instrText>
            </w:r>
            <w:r w:rsidR="008B50C0">
              <w:rPr>
                <w:noProof/>
                <w:webHidden/>
              </w:rPr>
            </w:r>
            <w:r w:rsidR="008B50C0">
              <w:rPr>
                <w:noProof/>
                <w:webHidden/>
              </w:rPr>
              <w:fldChar w:fldCharType="separate"/>
            </w:r>
            <w:r w:rsidR="008B50C0">
              <w:rPr>
                <w:noProof/>
                <w:webHidden/>
              </w:rPr>
              <w:t>30</w:t>
            </w:r>
            <w:r w:rsidR="008B50C0">
              <w:rPr>
                <w:noProof/>
                <w:webHidden/>
              </w:rPr>
              <w:fldChar w:fldCharType="end"/>
            </w:r>
          </w:hyperlink>
        </w:p>
        <w:p w14:paraId="30C55F64"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4" w:history="1">
            <w:r w:rsidR="008B50C0" w:rsidRPr="00A86862">
              <w:rPr>
                <w:rStyle w:val="Hyperlink"/>
                <w:noProof/>
              </w:rPr>
              <w:t>2.5.3</w:t>
            </w:r>
            <w:r w:rsidR="008B50C0">
              <w:rPr>
                <w:rFonts w:eastAsiaTheme="minorEastAsia" w:cstheme="minorBidi"/>
                <w:i w:val="0"/>
                <w:iCs w:val="0"/>
                <w:noProof/>
                <w:sz w:val="22"/>
                <w:szCs w:val="22"/>
                <w:lang w:val="en-GB" w:eastAsia="en-GB"/>
              </w:rPr>
              <w:tab/>
            </w:r>
            <w:r w:rsidR="008B50C0" w:rsidRPr="00A86862">
              <w:rPr>
                <w:rStyle w:val="Hyperlink"/>
                <w:noProof/>
              </w:rPr>
              <w:t>Risks</w:t>
            </w:r>
            <w:r w:rsidR="008B50C0">
              <w:rPr>
                <w:noProof/>
                <w:webHidden/>
              </w:rPr>
              <w:tab/>
            </w:r>
            <w:r w:rsidR="008B50C0">
              <w:rPr>
                <w:noProof/>
                <w:webHidden/>
              </w:rPr>
              <w:fldChar w:fldCharType="begin"/>
            </w:r>
            <w:r w:rsidR="008B50C0">
              <w:rPr>
                <w:noProof/>
                <w:webHidden/>
              </w:rPr>
              <w:instrText xml:space="preserve"> PAGEREF _Toc396913764 \h </w:instrText>
            </w:r>
            <w:r w:rsidR="008B50C0">
              <w:rPr>
                <w:noProof/>
                <w:webHidden/>
              </w:rPr>
            </w:r>
            <w:r w:rsidR="008B50C0">
              <w:rPr>
                <w:noProof/>
                <w:webHidden/>
              </w:rPr>
              <w:fldChar w:fldCharType="separate"/>
            </w:r>
            <w:r w:rsidR="008B50C0">
              <w:rPr>
                <w:noProof/>
                <w:webHidden/>
              </w:rPr>
              <w:t>31</w:t>
            </w:r>
            <w:r w:rsidR="008B50C0">
              <w:rPr>
                <w:noProof/>
                <w:webHidden/>
              </w:rPr>
              <w:fldChar w:fldCharType="end"/>
            </w:r>
          </w:hyperlink>
        </w:p>
        <w:p w14:paraId="1EE95E31"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65" w:history="1">
            <w:r w:rsidR="008B50C0" w:rsidRPr="00A86862">
              <w:rPr>
                <w:rStyle w:val="Hyperlink"/>
                <w:noProof/>
                <w:lang w:eastAsia="en-GB"/>
              </w:rPr>
              <w:t>2.6</w:t>
            </w:r>
            <w:r w:rsidR="008B50C0">
              <w:rPr>
                <w:rFonts w:eastAsiaTheme="minorEastAsia" w:cstheme="minorBidi"/>
                <w:smallCaps w:val="0"/>
                <w:noProof/>
                <w:sz w:val="22"/>
                <w:szCs w:val="22"/>
                <w:lang w:val="en-GB" w:eastAsia="en-GB"/>
              </w:rPr>
              <w:tab/>
            </w:r>
            <w:r w:rsidR="008B50C0" w:rsidRPr="00A86862">
              <w:rPr>
                <w:rStyle w:val="Hyperlink"/>
                <w:noProof/>
                <w:lang w:eastAsia="en-GB"/>
              </w:rPr>
              <w:t>Future Challenges, including RES Integration</w:t>
            </w:r>
            <w:r w:rsidR="008B50C0">
              <w:rPr>
                <w:noProof/>
                <w:webHidden/>
              </w:rPr>
              <w:tab/>
            </w:r>
            <w:r w:rsidR="008B50C0">
              <w:rPr>
                <w:noProof/>
                <w:webHidden/>
              </w:rPr>
              <w:fldChar w:fldCharType="begin"/>
            </w:r>
            <w:r w:rsidR="008B50C0">
              <w:rPr>
                <w:noProof/>
                <w:webHidden/>
              </w:rPr>
              <w:instrText xml:space="preserve"> PAGEREF _Toc396913765 \h </w:instrText>
            </w:r>
            <w:r w:rsidR="008B50C0">
              <w:rPr>
                <w:noProof/>
                <w:webHidden/>
              </w:rPr>
            </w:r>
            <w:r w:rsidR="008B50C0">
              <w:rPr>
                <w:noProof/>
                <w:webHidden/>
              </w:rPr>
              <w:fldChar w:fldCharType="separate"/>
            </w:r>
            <w:r w:rsidR="008B50C0">
              <w:rPr>
                <w:noProof/>
                <w:webHidden/>
              </w:rPr>
              <w:t>31</w:t>
            </w:r>
            <w:r w:rsidR="008B50C0">
              <w:rPr>
                <w:noProof/>
                <w:webHidden/>
              </w:rPr>
              <w:fldChar w:fldCharType="end"/>
            </w:r>
          </w:hyperlink>
        </w:p>
        <w:p w14:paraId="79CF2FA0"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6" w:history="1">
            <w:r w:rsidR="008B50C0" w:rsidRPr="00A86862">
              <w:rPr>
                <w:rStyle w:val="Hyperlink"/>
                <w:noProof/>
                <w:lang w:eastAsia="en-GB"/>
              </w:rPr>
              <w:t>2.6.1</w:t>
            </w:r>
            <w:r w:rsidR="008B50C0">
              <w:rPr>
                <w:rFonts w:eastAsiaTheme="minorEastAsia" w:cstheme="minorBidi"/>
                <w:i w:val="0"/>
                <w:iCs w:val="0"/>
                <w:noProof/>
                <w:sz w:val="22"/>
                <w:szCs w:val="22"/>
                <w:lang w:val="en-GB" w:eastAsia="en-GB"/>
              </w:rPr>
              <w:tab/>
            </w:r>
            <w:r w:rsidR="008B50C0" w:rsidRPr="00A86862">
              <w:rPr>
                <w:rStyle w:val="Hyperlink"/>
                <w:noProof/>
                <w:lang w:eastAsia="en-GB"/>
              </w:rPr>
              <w:t>Institutional Framework</w:t>
            </w:r>
            <w:r w:rsidR="008B50C0">
              <w:rPr>
                <w:noProof/>
                <w:webHidden/>
              </w:rPr>
              <w:tab/>
            </w:r>
            <w:r w:rsidR="008B50C0">
              <w:rPr>
                <w:noProof/>
                <w:webHidden/>
              </w:rPr>
              <w:fldChar w:fldCharType="begin"/>
            </w:r>
            <w:r w:rsidR="008B50C0">
              <w:rPr>
                <w:noProof/>
                <w:webHidden/>
              </w:rPr>
              <w:instrText xml:space="preserve"> PAGEREF _Toc396913766 \h </w:instrText>
            </w:r>
            <w:r w:rsidR="008B50C0">
              <w:rPr>
                <w:noProof/>
                <w:webHidden/>
              </w:rPr>
            </w:r>
            <w:r w:rsidR="008B50C0">
              <w:rPr>
                <w:noProof/>
                <w:webHidden/>
              </w:rPr>
              <w:fldChar w:fldCharType="separate"/>
            </w:r>
            <w:r w:rsidR="008B50C0">
              <w:rPr>
                <w:noProof/>
                <w:webHidden/>
              </w:rPr>
              <w:t>31</w:t>
            </w:r>
            <w:r w:rsidR="008B50C0">
              <w:rPr>
                <w:noProof/>
                <w:webHidden/>
              </w:rPr>
              <w:fldChar w:fldCharType="end"/>
            </w:r>
          </w:hyperlink>
        </w:p>
        <w:p w14:paraId="1C630550"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7" w:history="1">
            <w:r w:rsidR="008B50C0" w:rsidRPr="00A86862">
              <w:rPr>
                <w:rStyle w:val="Hyperlink"/>
                <w:noProof/>
              </w:rPr>
              <w:t>2.6.2</w:t>
            </w:r>
            <w:r w:rsidR="008B50C0">
              <w:rPr>
                <w:rFonts w:eastAsiaTheme="minorEastAsia" w:cstheme="minorBidi"/>
                <w:i w:val="0"/>
                <w:iCs w:val="0"/>
                <w:noProof/>
                <w:sz w:val="22"/>
                <w:szCs w:val="22"/>
                <w:lang w:val="en-GB" w:eastAsia="en-GB"/>
              </w:rPr>
              <w:tab/>
            </w:r>
            <w:r w:rsidR="008B50C0" w:rsidRPr="00A86862">
              <w:rPr>
                <w:rStyle w:val="Hyperlink"/>
                <w:noProof/>
              </w:rPr>
              <w:t>“Energy Regulation: A Bridge to 2025” Implementation</w:t>
            </w:r>
            <w:r w:rsidR="008B50C0">
              <w:rPr>
                <w:noProof/>
                <w:webHidden/>
              </w:rPr>
              <w:tab/>
            </w:r>
            <w:r w:rsidR="008B50C0">
              <w:rPr>
                <w:noProof/>
                <w:webHidden/>
              </w:rPr>
              <w:fldChar w:fldCharType="begin"/>
            </w:r>
            <w:r w:rsidR="008B50C0">
              <w:rPr>
                <w:noProof/>
                <w:webHidden/>
              </w:rPr>
              <w:instrText xml:space="preserve"> PAGEREF _Toc396913767 \h </w:instrText>
            </w:r>
            <w:r w:rsidR="008B50C0">
              <w:rPr>
                <w:noProof/>
                <w:webHidden/>
              </w:rPr>
            </w:r>
            <w:r w:rsidR="008B50C0">
              <w:rPr>
                <w:noProof/>
                <w:webHidden/>
              </w:rPr>
              <w:fldChar w:fldCharType="separate"/>
            </w:r>
            <w:r w:rsidR="008B50C0">
              <w:rPr>
                <w:noProof/>
                <w:webHidden/>
              </w:rPr>
              <w:t>31</w:t>
            </w:r>
            <w:r w:rsidR="008B50C0">
              <w:rPr>
                <w:noProof/>
                <w:webHidden/>
              </w:rPr>
              <w:fldChar w:fldCharType="end"/>
            </w:r>
          </w:hyperlink>
        </w:p>
        <w:p w14:paraId="1DCF8F07"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8" w:history="1">
            <w:r w:rsidR="008B50C0" w:rsidRPr="00A86862">
              <w:rPr>
                <w:rStyle w:val="Hyperlink"/>
                <w:noProof/>
                <w:lang w:eastAsia="en-GB"/>
              </w:rPr>
              <w:t>2.6.3</w:t>
            </w:r>
            <w:r w:rsidR="008B50C0">
              <w:rPr>
                <w:rFonts w:eastAsiaTheme="minorEastAsia" w:cstheme="minorBidi"/>
                <w:i w:val="0"/>
                <w:iCs w:val="0"/>
                <w:noProof/>
                <w:sz w:val="22"/>
                <w:szCs w:val="22"/>
                <w:lang w:val="en-GB" w:eastAsia="en-GB"/>
              </w:rPr>
              <w:tab/>
            </w:r>
            <w:r w:rsidR="008B50C0" w:rsidRPr="00A86862">
              <w:rPr>
                <w:rStyle w:val="Hyperlink"/>
                <w:noProof/>
                <w:lang w:eastAsia="en-GB"/>
              </w:rPr>
              <w:t>Review of the Electricity and Gas Target Models</w:t>
            </w:r>
            <w:r w:rsidR="008B50C0">
              <w:rPr>
                <w:noProof/>
                <w:webHidden/>
              </w:rPr>
              <w:tab/>
            </w:r>
            <w:r w:rsidR="008B50C0">
              <w:rPr>
                <w:noProof/>
                <w:webHidden/>
              </w:rPr>
              <w:fldChar w:fldCharType="begin"/>
            </w:r>
            <w:r w:rsidR="008B50C0">
              <w:rPr>
                <w:noProof/>
                <w:webHidden/>
              </w:rPr>
              <w:instrText xml:space="preserve"> PAGEREF _Toc396913768 \h </w:instrText>
            </w:r>
            <w:r w:rsidR="008B50C0">
              <w:rPr>
                <w:noProof/>
                <w:webHidden/>
              </w:rPr>
            </w:r>
            <w:r w:rsidR="008B50C0">
              <w:rPr>
                <w:noProof/>
                <w:webHidden/>
              </w:rPr>
              <w:fldChar w:fldCharType="separate"/>
            </w:r>
            <w:r w:rsidR="008B50C0">
              <w:rPr>
                <w:noProof/>
                <w:webHidden/>
              </w:rPr>
              <w:t>32</w:t>
            </w:r>
            <w:r w:rsidR="008B50C0">
              <w:rPr>
                <w:noProof/>
                <w:webHidden/>
              </w:rPr>
              <w:fldChar w:fldCharType="end"/>
            </w:r>
          </w:hyperlink>
        </w:p>
        <w:p w14:paraId="3EAEC587"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69" w:history="1">
            <w:r w:rsidR="008B50C0" w:rsidRPr="00A86862">
              <w:rPr>
                <w:rStyle w:val="Hyperlink"/>
                <w:noProof/>
                <w:lang w:eastAsia="en-GB"/>
              </w:rPr>
              <w:t>2.6.4</w:t>
            </w:r>
            <w:r w:rsidR="008B50C0">
              <w:rPr>
                <w:rFonts w:eastAsiaTheme="minorEastAsia" w:cstheme="minorBidi"/>
                <w:i w:val="0"/>
                <w:iCs w:val="0"/>
                <w:noProof/>
                <w:sz w:val="22"/>
                <w:szCs w:val="22"/>
                <w:lang w:val="en-GB" w:eastAsia="en-GB"/>
              </w:rPr>
              <w:tab/>
            </w:r>
            <w:r w:rsidR="008B50C0" w:rsidRPr="00A86862">
              <w:rPr>
                <w:rStyle w:val="Hyperlink"/>
                <w:noProof/>
                <w:lang w:eastAsia="en-GB"/>
              </w:rPr>
              <w:t>Future challenges - multiannual objectives and expected achievements</w:t>
            </w:r>
            <w:r w:rsidR="008B50C0">
              <w:rPr>
                <w:noProof/>
                <w:webHidden/>
              </w:rPr>
              <w:tab/>
            </w:r>
            <w:r w:rsidR="008B50C0">
              <w:rPr>
                <w:noProof/>
                <w:webHidden/>
              </w:rPr>
              <w:fldChar w:fldCharType="begin"/>
            </w:r>
            <w:r w:rsidR="008B50C0">
              <w:rPr>
                <w:noProof/>
                <w:webHidden/>
              </w:rPr>
              <w:instrText xml:space="preserve"> PAGEREF _Toc396913769 \h </w:instrText>
            </w:r>
            <w:r w:rsidR="008B50C0">
              <w:rPr>
                <w:noProof/>
                <w:webHidden/>
              </w:rPr>
            </w:r>
            <w:r w:rsidR="008B50C0">
              <w:rPr>
                <w:noProof/>
                <w:webHidden/>
              </w:rPr>
              <w:fldChar w:fldCharType="separate"/>
            </w:r>
            <w:r w:rsidR="008B50C0">
              <w:rPr>
                <w:noProof/>
                <w:webHidden/>
              </w:rPr>
              <w:t>32</w:t>
            </w:r>
            <w:r w:rsidR="008B50C0">
              <w:rPr>
                <w:noProof/>
                <w:webHidden/>
              </w:rPr>
              <w:fldChar w:fldCharType="end"/>
            </w:r>
          </w:hyperlink>
        </w:p>
        <w:p w14:paraId="51DC988B"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70" w:history="1">
            <w:r w:rsidR="008B50C0" w:rsidRPr="00A86862">
              <w:rPr>
                <w:rStyle w:val="Hyperlink"/>
                <w:noProof/>
                <w:lang w:eastAsia="en-GB"/>
              </w:rPr>
              <w:t>2.6.5</w:t>
            </w:r>
            <w:r w:rsidR="008B50C0">
              <w:rPr>
                <w:rFonts w:eastAsiaTheme="minorEastAsia" w:cstheme="minorBidi"/>
                <w:i w:val="0"/>
                <w:iCs w:val="0"/>
                <w:noProof/>
                <w:sz w:val="22"/>
                <w:szCs w:val="22"/>
                <w:lang w:val="en-GB" w:eastAsia="en-GB"/>
              </w:rPr>
              <w:tab/>
            </w:r>
            <w:r w:rsidR="008B50C0" w:rsidRPr="00A86862">
              <w:rPr>
                <w:rStyle w:val="Hyperlink"/>
                <w:noProof/>
                <w:lang w:eastAsia="en-GB"/>
              </w:rPr>
              <w:t>Risks</w:t>
            </w:r>
            <w:r w:rsidR="008B50C0">
              <w:rPr>
                <w:noProof/>
                <w:webHidden/>
              </w:rPr>
              <w:tab/>
            </w:r>
            <w:r w:rsidR="008B50C0">
              <w:rPr>
                <w:noProof/>
                <w:webHidden/>
              </w:rPr>
              <w:fldChar w:fldCharType="begin"/>
            </w:r>
            <w:r w:rsidR="008B50C0">
              <w:rPr>
                <w:noProof/>
                <w:webHidden/>
              </w:rPr>
              <w:instrText xml:space="preserve"> PAGEREF _Toc396913770 \h </w:instrText>
            </w:r>
            <w:r w:rsidR="008B50C0">
              <w:rPr>
                <w:noProof/>
                <w:webHidden/>
              </w:rPr>
            </w:r>
            <w:r w:rsidR="008B50C0">
              <w:rPr>
                <w:noProof/>
                <w:webHidden/>
              </w:rPr>
              <w:fldChar w:fldCharType="separate"/>
            </w:r>
            <w:r w:rsidR="008B50C0">
              <w:rPr>
                <w:noProof/>
                <w:webHidden/>
              </w:rPr>
              <w:t>32</w:t>
            </w:r>
            <w:r w:rsidR="008B50C0">
              <w:rPr>
                <w:noProof/>
                <w:webHidden/>
              </w:rPr>
              <w:fldChar w:fldCharType="end"/>
            </w:r>
          </w:hyperlink>
        </w:p>
        <w:p w14:paraId="16D4F7CC"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771" w:history="1">
            <w:r w:rsidR="008B50C0" w:rsidRPr="00A86862">
              <w:rPr>
                <w:rStyle w:val="Hyperlink"/>
                <w:rFonts w:eastAsia="Verdana"/>
                <w:noProof/>
              </w:rPr>
              <w:t>3.</w:t>
            </w:r>
            <w:r w:rsidR="008B50C0">
              <w:rPr>
                <w:rFonts w:eastAsiaTheme="minorEastAsia" w:cstheme="minorBidi"/>
                <w:b w:val="0"/>
                <w:bCs w:val="0"/>
                <w:caps w:val="0"/>
                <w:noProof/>
                <w:sz w:val="22"/>
                <w:szCs w:val="22"/>
                <w:lang w:val="en-GB" w:eastAsia="en-GB"/>
              </w:rPr>
              <w:tab/>
            </w:r>
            <w:r w:rsidR="008B50C0" w:rsidRPr="00A86862">
              <w:rPr>
                <w:rStyle w:val="Hyperlink"/>
                <w:rFonts w:eastAsia="Verdana"/>
                <w:noProof/>
              </w:rPr>
              <w:t>Human and financial resourceS outlook</w:t>
            </w:r>
            <w:r w:rsidR="008B50C0">
              <w:rPr>
                <w:noProof/>
                <w:webHidden/>
              </w:rPr>
              <w:tab/>
            </w:r>
            <w:r w:rsidR="008B50C0">
              <w:rPr>
                <w:noProof/>
                <w:webHidden/>
              </w:rPr>
              <w:fldChar w:fldCharType="begin"/>
            </w:r>
            <w:r w:rsidR="008B50C0">
              <w:rPr>
                <w:noProof/>
                <w:webHidden/>
              </w:rPr>
              <w:instrText xml:space="preserve"> PAGEREF _Toc396913771 \h </w:instrText>
            </w:r>
            <w:r w:rsidR="008B50C0">
              <w:rPr>
                <w:noProof/>
                <w:webHidden/>
              </w:rPr>
            </w:r>
            <w:r w:rsidR="008B50C0">
              <w:rPr>
                <w:noProof/>
                <w:webHidden/>
              </w:rPr>
              <w:fldChar w:fldCharType="separate"/>
            </w:r>
            <w:r w:rsidR="008B50C0">
              <w:rPr>
                <w:noProof/>
                <w:webHidden/>
              </w:rPr>
              <w:t>33</w:t>
            </w:r>
            <w:r w:rsidR="008B50C0">
              <w:rPr>
                <w:noProof/>
                <w:webHidden/>
              </w:rPr>
              <w:fldChar w:fldCharType="end"/>
            </w:r>
          </w:hyperlink>
        </w:p>
        <w:p w14:paraId="033304C9"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72" w:history="1">
            <w:r w:rsidR="008B50C0" w:rsidRPr="00A86862">
              <w:rPr>
                <w:rStyle w:val="Hyperlink"/>
                <w:noProof/>
              </w:rPr>
              <w:t>3.1</w:t>
            </w:r>
            <w:r w:rsidR="008B50C0">
              <w:rPr>
                <w:rFonts w:eastAsiaTheme="minorEastAsia" w:cstheme="minorBidi"/>
                <w:smallCaps w:val="0"/>
                <w:noProof/>
                <w:sz w:val="22"/>
                <w:szCs w:val="22"/>
                <w:lang w:val="en-GB" w:eastAsia="en-GB"/>
              </w:rPr>
              <w:tab/>
            </w:r>
            <w:r w:rsidR="008B50C0" w:rsidRPr="00A86862">
              <w:rPr>
                <w:rStyle w:val="Hyperlink"/>
                <w:noProof/>
              </w:rPr>
              <w:t>Overview of the past and current situation</w:t>
            </w:r>
            <w:r w:rsidR="008B50C0">
              <w:rPr>
                <w:noProof/>
                <w:webHidden/>
              </w:rPr>
              <w:tab/>
            </w:r>
            <w:r w:rsidR="008B50C0">
              <w:rPr>
                <w:noProof/>
                <w:webHidden/>
              </w:rPr>
              <w:fldChar w:fldCharType="begin"/>
            </w:r>
            <w:r w:rsidR="008B50C0">
              <w:rPr>
                <w:noProof/>
                <w:webHidden/>
              </w:rPr>
              <w:instrText xml:space="preserve"> PAGEREF _Toc396913772 \h </w:instrText>
            </w:r>
            <w:r w:rsidR="008B50C0">
              <w:rPr>
                <w:noProof/>
                <w:webHidden/>
              </w:rPr>
            </w:r>
            <w:r w:rsidR="008B50C0">
              <w:rPr>
                <w:noProof/>
                <w:webHidden/>
              </w:rPr>
              <w:fldChar w:fldCharType="separate"/>
            </w:r>
            <w:r w:rsidR="008B50C0">
              <w:rPr>
                <w:noProof/>
                <w:webHidden/>
              </w:rPr>
              <w:t>33</w:t>
            </w:r>
            <w:r w:rsidR="008B50C0">
              <w:rPr>
                <w:noProof/>
                <w:webHidden/>
              </w:rPr>
              <w:fldChar w:fldCharType="end"/>
            </w:r>
          </w:hyperlink>
        </w:p>
        <w:p w14:paraId="574B44EC"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73" w:history="1">
            <w:r w:rsidR="008B50C0" w:rsidRPr="00A86862">
              <w:rPr>
                <w:rStyle w:val="Hyperlink"/>
                <w:rFonts w:eastAsia="Verdana"/>
                <w:noProof/>
              </w:rPr>
              <w:t>3.2</w:t>
            </w:r>
            <w:r w:rsidR="008B50C0">
              <w:rPr>
                <w:rFonts w:eastAsiaTheme="minorEastAsia" w:cstheme="minorBidi"/>
                <w:smallCaps w:val="0"/>
                <w:noProof/>
                <w:sz w:val="22"/>
                <w:szCs w:val="22"/>
                <w:lang w:val="en-GB" w:eastAsia="en-GB"/>
              </w:rPr>
              <w:tab/>
            </w:r>
            <w:r w:rsidR="008B50C0" w:rsidRPr="00A86862">
              <w:rPr>
                <w:rStyle w:val="Hyperlink"/>
                <w:rFonts w:eastAsia="Verdana"/>
                <w:noProof/>
              </w:rPr>
              <w:t>Resource programming</w:t>
            </w:r>
            <w:r w:rsidR="008B50C0">
              <w:rPr>
                <w:noProof/>
                <w:webHidden/>
              </w:rPr>
              <w:tab/>
            </w:r>
            <w:r w:rsidR="008B50C0">
              <w:rPr>
                <w:noProof/>
                <w:webHidden/>
              </w:rPr>
              <w:fldChar w:fldCharType="begin"/>
            </w:r>
            <w:r w:rsidR="008B50C0">
              <w:rPr>
                <w:noProof/>
                <w:webHidden/>
              </w:rPr>
              <w:instrText xml:space="preserve"> PAGEREF _Toc396913773 \h </w:instrText>
            </w:r>
            <w:r w:rsidR="008B50C0">
              <w:rPr>
                <w:noProof/>
                <w:webHidden/>
              </w:rPr>
            </w:r>
            <w:r w:rsidR="008B50C0">
              <w:rPr>
                <w:noProof/>
                <w:webHidden/>
              </w:rPr>
              <w:fldChar w:fldCharType="separate"/>
            </w:r>
            <w:r w:rsidR="008B50C0">
              <w:rPr>
                <w:noProof/>
                <w:webHidden/>
              </w:rPr>
              <w:t>36</w:t>
            </w:r>
            <w:r w:rsidR="008B50C0">
              <w:rPr>
                <w:noProof/>
                <w:webHidden/>
              </w:rPr>
              <w:fldChar w:fldCharType="end"/>
            </w:r>
          </w:hyperlink>
        </w:p>
        <w:p w14:paraId="7D9FEA86"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74" w:history="1">
            <w:r w:rsidR="008B50C0" w:rsidRPr="00A86862">
              <w:rPr>
                <w:rStyle w:val="Hyperlink"/>
                <w:rFonts w:eastAsia="Verdana"/>
                <w:noProof/>
                <w:lang w:eastAsia="en-GB"/>
              </w:rPr>
              <w:t>3.2.1</w:t>
            </w:r>
            <w:r w:rsidR="008B50C0">
              <w:rPr>
                <w:rFonts w:eastAsiaTheme="minorEastAsia" w:cstheme="minorBidi"/>
                <w:i w:val="0"/>
                <w:iCs w:val="0"/>
                <w:noProof/>
                <w:sz w:val="22"/>
                <w:szCs w:val="22"/>
                <w:lang w:val="en-GB" w:eastAsia="en-GB"/>
              </w:rPr>
              <w:tab/>
            </w:r>
            <w:r w:rsidR="008B50C0" w:rsidRPr="00A86862">
              <w:rPr>
                <w:rStyle w:val="Hyperlink"/>
                <w:rFonts w:eastAsia="Verdana"/>
                <w:noProof/>
                <w:lang w:eastAsia="en-GB"/>
              </w:rPr>
              <w:t>Financial resources</w:t>
            </w:r>
            <w:r w:rsidR="008B50C0">
              <w:rPr>
                <w:noProof/>
                <w:webHidden/>
              </w:rPr>
              <w:tab/>
            </w:r>
            <w:r w:rsidR="008B50C0">
              <w:rPr>
                <w:noProof/>
                <w:webHidden/>
              </w:rPr>
              <w:fldChar w:fldCharType="begin"/>
            </w:r>
            <w:r w:rsidR="008B50C0">
              <w:rPr>
                <w:noProof/>
                <w:webHidden/>
              </w:rPr>
              <w:instrText xml:space="preserve"> PAGEREF _Toc396913774 \h </w:instrText>
            </w:r>
            <w:r w:rsidR="008B50C0">
              <w:rPr>
                <w:noProof/>
                <w:webHidden/>
              </w:rPr>
            </w:r>
            <w:r w:rsidR="008B50C0">
              <w:rPr>
                <w:noProof/>
                <w:webHidden/>
              </w:rPr>
              <w:fldChar w:fldCharType="separate"/>
            </w:r>
            <w:r w:rsidR="008B50C0">
              <w:rPr>
                <w:noProof/>
                <w:webHidden/>
              </w:rPr>
              <w:t>36</w:t>
            </w:r>
            <w:r w:rsidR="008B50C0">
              <w:rPr>
                <w:noProof/>
                <w:webHidden/>
              </w:rPr>
              <w:fldChar w:fldCharType="end"/>
            </w:r>
          </w:hyperlink>
        </w:p>
        <w:p w14:paraId="7AF510E2"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75" w:history="1">
            <w:r w:rsidR="008B50C0" w:rsidRPr="00A86862">
              <w:rPr>
                <w:rStyle w:val="Hyperlink"/>
                <w:rFonts w:eastAsia="Verdana"/>
                <w:noProof/>
                <w:lang w:eastAsia="en-GB"/>
              </w:rPr>
              <w:t>3.2.2</w:t>
            </w:r>
            <w:r w:rsidR="008B50C0">
              <w:rPr>
                <w:rFonts w:eastAsiaTheme="minorEastAsia" w:cstheme="minorBidi"/>
                <w:i w:val="0"/>
                <w:iCs w:val="0"/>
                <w:noProof/>
                <w:sz w:val="22"/>
                <w:szCs w:val="22"/>
                <w:lang w:val="en-GB" w:eastAsia="en-GB"/>
              </w:rPr>
              <w:tab/>
            </w:r>
            <w:r w:rsidR="008B50C0" w:rsidRPr="00A86862">
              <w:rPr>
                <w:rStyle w:val="Hyperlink"/>
                <w:rFonts w:eastAsia="Verdana"/>
                <w:noProof/>
              </w:rPr>
              <w:t>Human resources</w:t>
            </w:r>
            <w:r w:rsidR="008B50C0">
              <w:rPr>
                <w:noProof/>
                <w:webHidden/>
              </w:rPr>
              <w:tab/>
            </w:r>
            <w:r w:rsidR="008B50C0">
              <w:rPr>
                <w:noProof/>
                <w:webHidden/>
              </w:rPr>
              <w:fldChar w:fldCharType="begin"/>
            </w:r>
            <w:r w:rsidR="008B50C0">
              <w:rPr>
                <w:noProof/>
                <w:webHidden/>
              </w:rPr>
              <w:instrText xml:space="preserve"> PAGEREF _Toc396913775 \h </w:instrText>
            </w:r>
            <w:r w:rsidR="008B50C0">
              <w:rPr>
                <w:noProof/>
                <w:webHidden/>
              </w:rPr>
            </w:r>
            <w:r w:rsidR="008B50C0">
              <w:rPr>
                <w:noProof/>
                <w:webHidden/>
              </w:rPr>
              <w:fldChar w:fldCharType="separate"/>
            </w:r>
            <w:r w:rsidR="008B50C0">
              <w:rPr>
                <w:noProof/>
                <w:webHidden/>
              </w:rPr>
              <w:t>38</w:t>
            </w:r>
            <w:r w:rsidR="008B50C0">
              <w:rPr>
                <w:noProof/>
                <w:webHidden/>
              </w:rPr>
              <w:fldChar w:fldCharType="end"/>
            </w:r>
          </w:hyperlink>
        </w:p>
        <w:p w14:paraId="2695B832"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776" w:history="1">
            <w:r w:rsidR="008B50C0" w:rsidRPr="00A86862">
              <w:rPr>
                <w:rStyle w:val="Hyperlink"/>
                <w:noProof/>
              </w:rPr>
              <w:t>section III – work programme 2015</w:t>
            </w:r>
            <w:r w:rsidR="008B50C0">
              <w:rPr>
                <w:noProof/>
                <w:webHidden/>
              </w:rPr>
              <w:tab/>
            </w:r>
            <w:r w:rsidR="008B50C0">
              <w:rPr>
                <w:noProof/>
                <w:webHidden/>
              </w:rPr>
              <w:fldChar w:fldCharType="begin"/>
            </w:r>
            <w:r w:rsidR="008B50C0">
              <w:rPr>
                <w:noProof/>
                <w:webHidden/>
              </w:rPr>
              <w:instrText xml:space="preserve"> PAGEREF _Toc396913776 \h </w:instrText>
            </w:r>
            <w:r w:rsidR="008B50C0">
              <w:rPr>
                <w:noProof/>
                <w:webHidden/>
              </w:rPr>
            </w:r>
            <w:r w:rsidR="008B50C0">
              <w:rPr>
                <w:noProof/>
                <w:webHidden/>
              </w:rPr>
              <w:fldChar w:fldCharType="separate"/>
            </w:r>
            <w:r w:rsidR="008B50C0">
              <w:rPr>
                <w:noProof/>
                <w:webHidden/>
              </w:rPr>
              <w:t>46</w:t>
            </w:r>
            <w:r w:rsidR="008B50C0">
              <w:rPr>
                <w:noProof/>
                <w:webHidden/>
              </w:rPr>
              <w:fldChar w:fldCharType="end"/>
            </w:r>
          </w:hyperlink>
        </w:p>
        <w:p w14:paraId="58C82703"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777" w:history="1">
            <w:r w:rsidR="008B50C0" w:rsidRPr="00A86862">
              <w:rPr>
                <w:rStyle w:val="Hyperlink"/>
                <w:noProof/>
              </w:rPr>
              <w:t>1.</w:t>
            </w:r>
            <w:r w:rsidR="008B50C0">
              <w:rPr>
                <w:rFonts w:eastAsiaTheme="minorEastAsia" w:cstheme="minorBidi"/>
                <w:b w:val="0"/>
                <w:bCs w:val="0"/>
                <w:caps w:val="0"/>
                <w:noProof/>
                <w:sz w:val="22"/>
                <w:szCs w:val="22"/>
                <w:lang w:val="en-GB" w:eastAsia="en-GB"/>
              </w:rPr>
              <w:tab/>
            </w:r>
            <w:r w:rsidR="008B50C0" w:rsidRPr="00A86862">
              <w:rPr>
                <w:rStyle w:val="Hyperlink"/>
                <w:noProof/>
              </w:rPr>
              <w:t>The agency’s priorities for 2015</w:t>
            </w:r>
            <w:r w:rsidR="008B50C0">
              <w:rPr>
                <w:noProof/>
                <w:webHidden/>
              </w:rPr>
              <w:tab/>
            </w:r>
            <w:r w:rsidR="008B50C0">
              <w:rPr>
                <w:noProof/>
                <w:webHidden/>
              </w:rPr>
              <w:fldChar w:fldCharType="begin"/>
            </w:r>
            <w:r w:rsidR="008B50C0">
              <w:rPr>
                <w:noProof/>
                <w:webHidden/>
              </w:rPr>
              <w:instrText xml:space="preserve"> PAGEREF _Toc396913777 \h </w:instrText>
            </w:r>
            <w:r w:rsidR="008B50C0">
              <w:rPr>
                <w:noProof/>
                <w:webHidden/>
              </w:rPr>
            </w:r>
            <w:r w:rsidR="008B50C0">
              <w:rPr>
                <w:noProof/>
                <w:webHidden/>
              </w:rPr>
              <w:fldChar w:fldCharType="separate"/>
            </w:r>
            <w:r w:rsidR="008B50C0">
              <w:rPr>
                <w:noProof/>
                <w:webHidden/>
              </w:rPr>
              <w:t>46</w:t>
            </w:r>
            <w:r w:rsidR="008B50C0">
              <w:rPr>
                <w:noProof/>
                <w:webHidden/>
              </w:rPr>
              <w:fldChar w:fldCharType="end"/>
            </w:r>
          </w:hyperlink>
        </w:p>
        <w:p w14:paraId="118D778F"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778" w:history="1">
            <w:r w:rsidR="008B50C0" w:rsidRPr="00A86862">
              <w:rPr>
                <w:rStyle w:val="Hyperlink"/>
                <w:noProof/>
              </w:rPr>
              <w:t>2.</w:t>
            </w:r>
            <w:r w:rsidR="008B50C0">
              <w:rPr>
                <w:rFonts w:eastAsiaTheme="minorEastAsia" w:cstheme="minorBidi"/>
                <w:b w:val="0"/>
                <w:bCs w:val="0"/>
                <w:caps w:val="0"/>
                <w:noProof/>
                <w:sz w:val="22"/>
                <w:szCs w:val="22"/>
                <w:lang w:val="en-GB" w:eastAsia="en-GB"/>
              </w:rPr>
              <w:tab/>
            </w:r>
            <w:r w:rsidR="008B50C0" w:rsidRPr="00A86862">
              <w:rPr>
                <w:rStyle w:val="Hyperlink"/>
                <w:noProof/>
              </w:rPr>
              <w:t>Consultation on 2015 Work Programme</w:t>
            </w:r>
            <w:r w:rsidR="008B50C0">
              <w:rPr>
                <w:noProof/>
                <w:webHidden/>
              </w:rPr>
              <w:tab/>
            </w:r>
            <w:r w:rsidR="008B50C0">
              <w:rPr>
                <w:noProof/>
                <w:webHidden/>
              </w:rPr>
              <w:fldChar w:fldCharType="begin"/>
            </w:r>
            <w:r w:rsidR="008B50C0">
              <w:rPr>
                <w:noProof/>
                <w:webHidden/>
              </w:rPr>
              <w:instrText xml:space="preserve"> PAGEREF _Toc396913778 \h </w:instrText>
            </w:r>
            <w:r w:rsidR="008B50C0">
              <w:rPr>
                <w:noProof/>
                <w:webHidden/>
              </w:rPr>
            </w:r>
            <w:r w:rsidR="008B50C0">
              <w:rPr>
                <w:noProof/>
                <w:webHidden/>
              </w:rPr>
              <w:fldChar w:fldCharType="separate"/>
            </w:r>
            <w:r w:rsidR="008B50C0">
              <w:rPr>
                <w:noProof/>
                <w:webHidden/>
              </w:rPr>
              <w:t>47</w:t>
            </w:r>
            <w:r w:rsidR="008B50C0">
              <w:rPr>
                <w:noProof/>
                <w:webHidden/>
              </w:rPr>
              <w:fldChar w:fldCharType="end"/>
            </w:r>
          </w:hyperlink>
        </w:p>
        <w:p w14:paraId="7B3057C7"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779" w:history="1">
            <w:r w:rsidR="008B50C0" w:rsidRPr="00A86862">
              <w:rPr>
                <w:rStyle w:val="Hyperlink"/>
                <w:noProof/>
              </w:rPr>
              <w:t>3.</w:t>
            </w:r>
            <w:r w:rsidR="008B50C0">
              <w:rPr>
                <w:rFonts w:eastAsiaTheme="minorEastAsia" w:cstheme="minorBidi"/>
                <w:b w:val="0"/>
                <w:bCs w:val="0"/>
                <w:caps w:val="0"/>
                <w:noProof/>
                <w:sz w:val="22"/>
                <w:szCs w:val="22"/>
                <w:lang w:val="en-GB" w:eastAsia="en-GB"/>
              </w:rPr>
              <w:tab/>
            </w:r>
            <w:r w:rsidR="008B50C0" w:rsidRPr="00A86862">
              <w:rPr>
                <w:rStyle w:val="Hyperlink"/>
                <w:noProof/>
              </w:rPr>
              <w:t>Operational Activities/ Deliverables</w:t>
            </w:r>
            <w:r w:rsidR="008B50C0">
              <w:rPr>
                <w:noProof/>
                <w:webHidden/>
              </w:rPr>
              <w:tab/>
            </w:r>
            <w:r w:rsidR="008B50C0">
              <w:rPr>
                <w:noProof/>
                <w:webHidden/>
              </w:rPr>
              <w:fldChar w:fldCharType="begin"/>
            </w:r>
            <w:r w:rsidR="008B50C0">
              <w:rPr>
                <w:noProof/>
                <w:webHidden/>
              </w:rPr>
              <w:instrText xml:space="preserve"> PAGEREF _Toc396913779 \h </w:instrText>
            </w:r>
            <w:r w:rsidR="008B50C0">
              <w:rPr>
                <w:noProof/>
                <w:webHidden/>
              </w:rPr>
            </w:r>
            <w:r w:rsidR="008B50C0">
              <w:rPr>
                <w:noProof/>
                <w:webHidden/>
              </w:rPr>
              <w:fldChar w:fldCharType="separate"/>
            </w:r>
            <w:r w:rsidR="008B50C0">
              <w:rPr>
                <w:noProof/>
                <w:webHidden/>
              </w:rPr>
              <w:t>47</w:t>
            </w:r>
            <w:r w:rsidR="008B50C0">
              <w:rPr>
                <w:noProof/>
                <w:webHidden/>
              </w:rPr>
              <w:fldChar w:fldCharType="end"/>
            </w:r>
          </w:hyperlink>
        </w:p>
        <w:p w14:paraId="08A45B4B"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80" w:history="1">
            <w:r w:rsidR="008B50C0" w:rsidRPr="00A86862">
              <w:rPr>
                <w:rStyle w:val="Hyperlink"/>
                <w:noProof/>
              </w:rPr>
              <w:t>3.1</w:t>
            </w:r>
            <w:r w:rsidR="008B50C0">
              <w:rPr>
                <w:rFonts w:eastAsiaTheme="minorEastAsia" w:cstheme="minorBidi"/>
                <w:smallCaps w:val="0"/>
                <w:noProof/>
                <w:sz w:val="22"/>
                <w:szCs w:val="22"/>
                <w:lang w:val="en-GB" w:eastAsia="en-GB"/>
              </w:rPr>
              <w:tab/>
            </w:r>
            <w:r w:rsidR="008B50C0" w:rsidRPr="00A86862">
              <w:rPr>
                <w:rStyle w:val="Hyperlink"/>
                <w:noProof/>
              </w:rPr>
              <w:t>Electricity</w:t>
            </w:r>
            <w:r w:rsidR="008B50C0">
              <w:rPr>
                <w:noProof/>
                <w:webHidden/>
              </w:rPr>
              <w:tab/>
            </w:r>
            <w:r w:rsidR="008B50C0">
              <w:rPr>
                <w:noProof/>
                <w:webHidden/>
              </w:rPr>
              <w:fldChar w:fldCharType="begin"/>
            </w:r>
            <w:r w:rsidR="008B50C0">
              <w:rPr>
                <w:noProof/>
                <w:webHidden/>
              </w:rPr>
              <w:instrText xml:space="preserve"> PAGEREF _Toc396913780 \h </w:instrText>
            </w:r>
            <w:r w:rsidR="008B50C0">
              <w:rPr>
                <w:noProof/>
                <w:webHidden/>
              </w:rPr>
            </w:r>
            <w:r w:rsidR="008B50C0">
              <w:rPr>
                <w:noProof/>
                <w:webHidden/>
              </w:rPr>
              <w:fldChar w:fldCharType="separate"/>
            </w:r>
            <w:r w:rsidR="008B50C0">
              <w:rPr>
                <w:noProof/>
                <w:webHidden/>
              </w:rPr>
              <w:t>47</w:t>
            </w:r>
            <w:r w:rsidR="008B50C0">
              <w:rPr>
                <w:noProof/>
                <w:webHidden/>
              </w:rPr>
              <w:fldChar w:fldCharType="end"/>
            </w:r>
          </w:hyperlink>
        </w:p>
        <w:p w14:paraId="244EF23D"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81" w:history="1">
            <w:r w:rsidR="008B50C0" w:rsidRPr="00A86862">
              <w:rPr>
                <w:rStyle w:val="Hyperlink"/>
                <w:noProof/>
              </w:rPr>
              <w:t>3.1.1</w:t>
            </w:r>
            <w:r w:rsidR="008B50C0">
              <w:rPr>
                <w:rFonts w:eastAsiaTheme="minorEastAsia" w:cstheme="minorBidi"/>
                <w:i w:val="0"/>
                <w:iCs w:val="0"/>
                <w:noProof/>
                <w:sz w:val="22"/>
                <w:szCs w:val="22"/>
                <w:lang w:val="en-GB" w:eastAsia="en-GB"/>
              </w:rPr>
              <w:tab/>
            </w:r>
            <w:r w:rsidR="008B50C0" w:rsidRPr="00A86862">
              <w:rPr>
                <w:rStyle w:val="Hyperlink"/>
                <w:noProof/>
              </w:rPr>
              <w:t>Framework Guidelines</w:t>
            </w:r>
            <w:r w:rsidR="008B50C0">
              <w:rPr>
                <w:noProof/>
                <w:webHidden/>
              </w:rPr>
              <w:tab/>
            </w:r>
            <w:r w:rsidR="008B50C0">
              <w:rPr>
                <w:noProof/>
                <w:webHidden/>
              </w:rPr>
              <w:fldChar w:fldCharType="begin"/>
            </w:r>
            <w:r w:rsidR="008B50C0">
              <w:rPr>
                <w:noProof/>
                <w:webHidden/>
              </w:rPr>
              <w:instrText xml:space="preserve"> PAGEREF _Toc396913781 \h </w:instrText>
            </w:r>
            <w:r w:rsidR="008B50C0">
              <w:rPr>
                <w:noProof/>
                <w:webHidden/>
              </w:rPr>
            </w:r>
            <w:r w:rsidR="008B50C0">
              <w:rPr>
                <w:noProof/>
                <w:webHidden/>
              </w:rPr>
              <w:fldChar w:fldCharType="separate"/>
            </w:r>
            <w:r w:rsidR="008B50C0">
              <w:rPr>
                <w:noProof/>
                <w:webHidden/>
              </w:rPr>
              <w:t>47</w:t>
            </w:r>
            <w:r w:rsidR="008B50C0">
              <w:rPr>
                <w:noProof/>
                <w:webHidden/>
              </w:rPr>
              <w:fldChar w:fldCharType="end"/>
            </w:r>
          </w:hyperlink>
        </w:p>
        <w:p w14:paraId="03AFC529"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82" w:history="1">
            <w:r w:rsidR="008B50C0" w:rsidRPr="00A86862">
              <w:rPr>
                <w:rStyle w:val="Hyperlink"/>
                <w:noProof/>
              </w:rPr>
              <w:t>3.1.2</w:t>
            </w:r>
            <w:r w:rsidR="008B50C0">
              <w:rPr>
                <w:rFonts w:eastAsiaTheme="minorEastAsia" w:cstheme="minorBidi"/>
                <w:i w:val="0"/>
                <w:iCs w:val="0"/>
                <w:noProof/>
                <w:sz w:val="22"/>
                <w:szCs w:val="22"/>
                <w:lang w:val="en-GB" w:eastAsia="en-GB"/>
              </w:rPr>
              <w:tab/>
            </w:r>
            <w:r w:rsidR="008B50C0" w:rsidRPr="00A86862">
              <w:rPr>
                <w:rStyle w:val="Hyperlink"/>
                <w:noProof/>
              </w:rPr>
              <w:t>Network Codes, their implementation and its monitoring</w:t>
            </w:r>
            <w:r w:rsidR="008B50C0">
              <w:rPr>
                <w:noProof/>
                <w:webHidden/>
              </w:rPr>
              <w:tab/>
            </w:r>
            <w:r w:rsidR="008B50C0">
              <w:rPr>
                <w:noProof/>
                <w:webHidden/>
              </w:rPr>
              <w:fldChar w:fldCharType="begin"/>
            </w:r>
            <w:r w:rsidR="008B50C0">
              <w:rPr>
                <w:noProof/>
                <w:webHidden/>
              </w:rPr>
              <w:instrText xml:space="preserve"> PAGEREF _Toc396913782 \h </w:instrText>
            </w:r>
            <w:r w:rsidR="008B50C0">
              <w:rPr>
                <w:noProof/>
                <w:webHidden/>
              </w:rPr>
            </w:r>
            <w:r w:rsidR="008B50C0">
              <w:rPr>
                <w:noProof/>
                <w:webHidden/>
              </w:rPr>
              <w:fldChar w:fldCharType="separate"/>
            </w:r>
            <w:r w:rsidR="008B50C0">
              <w:rPr>
                <w:noProof/>
                <w:webHidden/>
              </w:rPr>
              <w:t>48</w:t>
            </w:r>
            <w:r w:rsidR="008B50C0">
              <w:rPr>
                <w:noProof/>
                <w:webHidden/>
              </w:rPr>
              <w:fldChar w:fldCharType="end"/>
            </w:r>
          </w:hyperlink>
        </w:p>
        <w:p w14:paraId="092B75D0"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83" w:history="1">
            <w:r w:rsidR="008B50C0" w:rsidRPr="00A86862">
              <w:rPr>
                <w:rStyle w:val="Hyperlink"/>
                <w:noProof/>
              </w:rPr>
              <w:t>3.2</w:t>
            </w:r>
            <w:r w:rsidR="008B50C0">
              <w:rPr>
                <w:rFonts w:eastAsiaTheme="minorEastAsia" w:cstheme="minorBidi"/>
                <w:smallCaps w:val="0"/>
                <w:noProof/>
                <w:sz w:val="22"/>
                <w:szCs w:val="22"/>
                <w:lang w:val="en-GB" w:eastAsia="en-GB"/>
              </w:rPr>
              <w:tab/>
            </w:r>
            <w:r w:rsidR="008B50C0" w:rsidRPr="00A86862">
              <w:rPr>
                <w:rStyle w:val="Hyperlink"/>
                <w:noProof/>
              </w:rPr>
              <w:t>Gas</w:t>
            </w:r>
            <w:r w:rsidR="008B50C0">
              <w:rPr>
                <w:noProof/>
                <w:webHidden/>
              </w:rPr>
              <w:tab/>
            </w:r>
            <w:r w:rsidR="008B50C0">
              <w:rPr>
                <w:noProof/>
                <w:webHidden/>
              </w:rPr>
              <w:fldChar w:fldCharType="begin"/>
            </w:r>
            <w:r w:rsidR="008B50C0">
              <w:rPr>
                <w:noProof/>
                <w:webHidden/>
              </w:rPr>
              <w:instrText xml:space="preserve"> PAGEREF _Toc396913783 \h </w:instrText>
            </w:r>
            <w:r w:rsidR="008B50C0">
              <w:rPr>
                <w:noProof/>
                <w:webHidden/>
              </w:rPr>
            </w:r>
            <w:r w:rsidR="008B50C0">
              <w:rPr>
                <w:noProof/>
                <w:webHidden/>
              </w:rPr>
              <w:fldChar w:fldCharType="separate"/>
            </w:r>
            <w:r w:rsidR="008B50C0">
              <w:rPr>
                <w:noProof/>
                <w:webHidden/>
              </w:rPr>
              <w:t>52</w:t>
            </w:r>
            <w:r w:rsidR="008B50C0">
              <w:rPr>
                <w:noProof/>
                <w:webHidden/>
              </w:rPr>
              <w:fldChar w:fldCharType="end"/>
            </w:r>
          </w:hyperlink>
        </w:p>
        <w:p w14:paraId="63535DB7"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84" w:history="1">
            <w:r w:rsidR="008B50C0" w:rsidRPr="00A86862">
              <w:rPr>
                <w:rStyle w:val="Hyperlink"/>
                <w:noProof/>
              </w:rPr>
              <w:t>3.2.1</w:t>
            </w:r>
            <w:r w:rsidR="008B50C0">
              <w:rPr>
                <w:rFonts w:eastAsiaTheme="minorEastAsia" w:cstheme="minorBidi"/>
                <w:i w:val="0"/>
                <w:iCs w:val="0"/>
                <w:noProof/>
                <w:sz w:val="22"/>
                <w:szCs w:val="22"/>
                <w:lang w:val="en-GB" w:eastAsia="en-GB"/>
              </w:rPr>
              <w:tab/>
            </w:r>
            <w:r w:rsidR="008B50C0" w:rsidRPr="00A86862">
              <w:rPr>
                <w:rStyle w:val="Hyperlink"/>
                <w:noProof/>
              </w:rPr>
              <w:t>Framework Guidelines</w:t>
            </w:r>
            <w:r w:rsidR="008B50C0">
              <w:rPr>
                <w:noProof/>
                <w:webHidden/>
              </w:rPr>
              <w:tab/>
            </w:r>
            <w:r w:rsidR="008B50C0">
              <w:rPr>
                <w:noProof/>
                <w:webHidden/>
              </w:rPr>
              <w:fldChar w:fldCharType="begin"/>
            </w:r>
            <w:r w:rsidR="008B50C0">
              <w:rPr>
                <w:noProof/>
                <w:webHidden/>
              </w:rPr>
              <w:instrText xml:space="preserve"> PAGEREF _Toc396913784 \h </w:instrText>
            </w:r>
            <w:r w:rsidR="008B50C0">
              <w:rPr>
                <w:noProof/>
                <w:webHidden/>
              </w:rPr>
            </w:r>
            <w:r w:rsidR="008B50C0">
              <w:rPr>
                <w:noProof/>
                <w:webHidden/>
              </w:rPr>
              <w:fldChar w:fldCharType="separate"/>
            </w:r>
            <w:r w:rsidR="008B50C0">
              <w:rPr>
                <w:noProof/>
                <w:webHidden/>
              </w:rPr>
              <w:t>52</w:t>
            </w:r>
            <w:r w:rsidR="008B50C0">
              <w:rPr>
                <w:noProof/>
                <w:webHidden/>
              </w:rPr>
              <w:fldChar w:fldCharType="end"/>
            </w:r>
          </w:hyperlink>
        </w:p>
        <w:p w14:paraId="103F1551"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85" w:history="1">
            <w:r w:rsidR="008B50C0" w:rsidRPr="00A86862">
              <w:rPr>
                <w:rStyle w:val="Hyperlink"/>
                <w:noProof/>
              </w:rPr>
              <w:t>3.2.2</w:t>
            </w:r>
            <w:r w:rsidR="008B50C0">
              <w:rPr>
                <w:rFonts w:eastAsiaTheme="minorEastAsia" w:cstheme="minorBidi"/>
                <w:i w:val="0"/>
                <w:iCs w:val="0"/>
                <w:noProof/>
                <w:sz w:val="22"/>
                <w:szCs w:val="22"/>
                <w:lang w:val="en-GB" w:eastAsia="en-GB"/>
              </w:rPr>
              <w:tab/>
            </w:r>
            <w:r w:rsidR="008B50C0" w:rsidRPr="00A86862">
              <w:rPr>
                <w:rStyle w:val="Hyperlink"/>
                <w:noProof/>
              </w:rPr>
              <w:t>Network Codes, their implementation and its monitoring</w:t>
            </w:r>
            <w:r w:rsidR="008B50C0">
              <w:rPr>
                <w:noProof/>
                <w:webHidden/>
              </w:rPr>
              <w:tab/>
            </w:r>
            <w:r w:rsidR="008B50C0">
              <w:rPr>
                <w:noProof/>
                <w:webHidden/>
              </w:rPr>
              <w:fldChar w:fldCharType="begin"/>
            </w:r>
            <w:r w:rsidR="008B50C0">
              <w:rPr>
                <w:noProof/>
                <w:webHidden/>
              </w:rPr>
              <w:instrText xml:space="preserve"> PAGEREF _Toc396913785 \h </w:instrText>
            </w:r>
            <w:r w:rsidR="008B50C0">
              <w:rPr>
                <w:noProof/>
                <w:webHidden/>
              </w:rPr>
            </w:r>
            <w:r w:rsidR="008B50C0">
              <w:rPr>
                <w:noProof/>
                <w:webHidden/>
              </w:rPr>
              <w:fldChar w:fldCharType="separate"/>
            </w:r>
            <w:r w:rsidR="008B50C0">
              <w:rPr>
                <w:noProof/>
                <w:webHidden/>
              </w:rPr>
              <w:t>53</w:t>
            </w:r>
            <w:r w:rsidR="008B50C0">
              <w:rPr>
                <w:noProof/>
                <w:webHidden/>
              </w:rPr>
              <w:fldChar w:fldCharType="end"/>
            </w:r>
          </w:hyperlink>
        </w:p>
        <w:p w14:paraId="5F21841D"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86" w:history="1">
            <w:r w:rsidR="008B50C0" w:rsidRPr="00A86862">
              <w:rPr>
                <w:rStyle w:val="Hyperlink"/>
                <w:noProof/>
              </w:rPr>
              <w:t>3.3</w:t>
            </w:r>
            <w:r w:rsidR="008B50C0">
              <w:rPr>
                <w:rFonts w:eastAsiaTheme="minorEastAsia" w:cstheme="minorBidi"/>
                <w:smallCaps w:val="0"/>
                <w:noProof/>
                <w:sz w:val="22"/>
                <w:szCs w:val="22"/>
                <w:lang w:val="en-GB" w:eastAsia="en-GB"/>
              </w:rPr>
              <w:tab/>
            </w:r>
            <w:r w:rsidR="008B50C0" w:rsidRPr="00A86862">
              <w:rPr>
                <w:rStyle w:val="Hyperlink"/>
                <w:noProof/>
              </w:rPr>
              <w:t>Cross-Sector Issues (Electricity and Gas)</w:t>
            </w:r>
            <w:r w:rsidR="008B50C0">
              <w:rPr>
                <w:noProof/>
                <w:webHidden/>
              </w:rPr>
              <w:tab/>
            </w:r>
            <w:r w:rsidR="008B50C0">
              <w:rPr>
                <w:noProof/>
                <w:webHidden/>
              </w:rPr>
              <w:fldChar w:fldCharType="begin"/>
            </w:r>
            <w:r w:rsidR="008B50C0">
              <w:rPr>
                <w:noProof/>
                <w:webHidden/>
              </w:rPr>
              <w:instrText xml:space="preserve"> PAGEREF _Toc396913786 \h </w:instrText>
            </w:r>
            <w:r w:rsidR="008B50C0">
              <w:rPr>
                <w:noProof/>
                <w:webHidden/>
              </w:rPr>
            </w:r>
            <w:r w:rsidR="008B50C0">
              <w:rPr>
                <w:noProof/>
                <w:webHidden/>
              </w:rPr>
              <w:fldChar w:fldCharType="separate"/>
            </w:r>
            <w:r w:rsidR="008B50C0">
              <w:rPr>
                <w:noProof/>
                <w:webHidden/>
              </w:rPr>
              <w:t>57</w:t>
            </w:r>
            <w:r w:rsidR="008B50C0">
              <w:rPr>
                <w:noProof/>
                <w:webHidden/>
              </w:rPr>
              <w:fldChar w:fldCharType="end"/>
            </w:r>
          </w:hyperlink>
        </w:p>
        <w:p w14:paraId="23D63583"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87" w:history="1">
            <w:r w:rsidR="008B50C0" w:rsidRPr="00A86862">
              <w:rPr>
                <w:rStyle w:val="Hyperlink"/>
                <w:noProof/>
              </w:rPr>
              <w:t>3.3.1</w:t>
            </w:r>
            <w:r w:rsidR="008B50C0">
              <w:rPr>
                <w:rFonts w:eastAsiaTheme="minorEastAsia" w:cstheme="minorBidi"/>
                <w:i w:val="0"/>
                <w:iCs w:val="0"/>
                <w:noProof/>
                <w:sz w:val="22"/>
                <w:szCs w:val="22"/>
                <w:lang w:val="en-GB" w:eastAsia="en-GB"/>
              </w:rPr>
              <w:tab/>
            </w:r>
            <w:r w:rsidR="008B50C0" w:rsidRPr="00A86862">
              <w:rPr>
                <w:rStyle w:val="Hyperlink"/>
                <w:noProof/>
              </w:rPr>
              <w:t>Monitoring</w:t>
            </w:r>
            <w:r w:rsidR="008B50C0">
              <w:rPr>
                <w:noProof/>
                <w:webHidden/>
              </w:rPr>
              <w:tab/>
            </w:r>
            <w:r w:rsidR="008B50C0">
              <w:rPr>
                <w:noProof/>
                <w:webHidden/>
              </w:rPr>
              <w:fldChar w:fldCharType="begin"/>
            </w:r>
            <w:r w:rsidR="008B50C0">
              <w:rPr>
                <w:noProof/>
                <w:webHidden/>
              </w:rPr>
              <w:instrText xml:space="preserve"> PAGEREF _Toc396913787 \h </w:instrText>
            </w:r>
            <w:r w:rsidR="008B50C0">
              <w:rPr>
                <w:noProof/>
                <w:webHidden/>
              </w:rPr>
            </w:r>
            <w:r w:rsidR="008B50C0">
              <w:rPr>
                <w:noProof/>
                <w:webHidden/>
              </w:rPr>
              <w:fldChar w:fldCharType="separate"/>
            </w:r>
            <w:r w:rsidR="008B50C0">
              <w:rPr>
                <w:noProof/>
                <w:webHidden/>
              </w:rPr>
              <w:t>58</w:t>
            </w:r>
            <w:r w:rsidR="008B50C0">
              <w:rPr>
                <w:noProof/>
                <w:webHidden/>
              </w:rPr>
              <w:fldChar w:fldCharType="end"/>
            </w:r>
          </w:hyperlink>
        </w:p>
        <w:p w14:paraId="6BCFA86C"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88" w:history="1">
            <w:r w:rsidR="008B50C0" w:rsidRPr="00A86862">
              <w:rPr>
                <w:rStyle w:val="Hyperlink"/>
                <w:noProof/>
              </w:rPr>
              <w:t>3.3.2</w:t>
            </w:r>
            <w:r w:rsidR="008B50C0">
              <w:rPr>
                <w:rFonts w:eastAsiaTheme="minorEastAsia" w:cstheme="minorBidi"/>
                <w:i w:val="0"/>
                <w:iCs w:val="0"/>
                <w:noProof/>
                <w:sz w:val="22"/>
                <w:szCs w:val="22"/>
                <w:lang w:val="en-GB" w:eastAsia="en-GB"/>
              </w:rPr>
              <w:tab/>
            </w:r>
            <w:r w:rsidR="008B50C0" w:rsidRPr="00A86862">
              <w:rPr>
                <w:rStyle w:val="Hyperlink"/>
                <w:noProof/>
              </w:rPr>
              <w:t>Regional Initiatives</w:t>
            </w:r>
            <w:r w:rsidR="008B50C0">
              <w:rPr>
                <w:noProof/>
                <w:webHidden/>
              </w:rPr>
              <w:tab/>
            </w:r>
            <w:r w:rsidR="008B50C0">
              <w:rPr>
                <w:noProof/>
                <w:webHidden/>
              </w:rPr>
              <w:fldChar w:fldCharType="begin"/>
            </w:r>
            <w:r w:rsidR="008B50C0">
              <w:rPr>
                <w:noProof/>
                <w:webHidden/>
              </w:rPr>
              <w:instrText xml:space="preserve"> PAGEREF _Toc396913788 \h </w:instrText>
            </w:r>
            <w:r w:rsidR="008B50C0">
              <w:rPr>
                <w:noProof/>
                <w:webHidden/>
              </w:rPr>
            </w:r>
            <w:r w:rsidR="008B50C0">
              <w:rPr>
                <w:noProof/>
                <w:webHidden/>
              </w:rPr>
              <w:fldChar w:fldCharType="separate"/>
            </w:r>
            <w:r w:rsidR="008B50C0">
              <w:rPr>
                <w:noProof/>
                <w:webHidden/>
              </w:rPr>
              <w:t>59</w:t>
            </w:r>
            <w:r w:rsidR="008B50C0">
              <w:rPr>
                <w:noProof/>
                <w:webHidden/>
              </w:rPr>
              <w:fldChar w:fldCharType="end"/>
            </w:r>
          </w:hyperlink>
        </w:p>
        <w:p w14:paraId="187D1C2A"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89" w:history="1">
            <w:r w:rsidR="008B50C0" w:rsidRPr="00A86862">
              <w:rPr>
                <w:rStyle w:val="Hyperlink"/>
                <w:noProof/>
              </w:rPr>
              <w:t>3.4</w:t>
            </w:r>
            <w:r w:rsidR="008B50C0">
              <w:rPr>
                <w:rFonts w:eastAsiaTheme="minorEastAsia" w:cstheme="minorBidi"/>
                <w:smallCaps w:val="0"/>
                <w:noProof/>
                <w:sz w:val="22"/>
                <w:szCs w:val="22"/>
                <w:lang w:val="en-GB" w:eastAsia="en-GB"/>
              </w:rPr>
              <w:tab/>
            </w:r>
            <w:r w:rsidR="008B50C0" w:rsidRPr="00A86862">
              <w:rPr>
                <w:rStyle w:val="Hyperlink"/>
                <w:noProof/>
              </w:rPr>
              <w:t>TSO Cooperation</w:t>
            </w:r>
            <w:r w:rsidR="008B50C0">
              <w:rPr>
                <w:noProof/>
                <w:webHidden/>
              </w:rPr>
              <w:tab/>
            </w:r>
            <w:r w:rsidR="008B50C0">
              <w:rPr>
                <w:noProof/>
                <w:webHidden/>
              </w:rPr>
              <w:fldChar w:fldCharType="begin"/>
            </w:r>
            <w:r w:rsidR="008B50C0">
              <w:rPr>
                <w:noProof/>
                <w:webHidden/>
              </w:rPr>
              <w:instrText xml:space="preserve"> PAGEREF _Toc396913789 \h </w:instrText>
            </w:r>
            <w:r w:rsidR="008B50C0">
              <w:rPr>
                <w:noProof/>
                <w:webHidden/>
              </w:rPr>
            </w:r>
            <w:r w:rsidR="008B50C0">
              <w:rPr>
                <w:noProof/>
                <w:webHidden/>
              </w:rPr>
              <w:fldChar w:fldCharType="separate"/>
            </w:r>
            <w:r w:rsidR="008B50C0">
              <w:rPr>
                <w:noProof/>
                <w:webHidden/>
              </w:rPr>
              <w:t>62</w:t>
            </w:r>
            <w:r w:rsidR="008B50C0">
              <w:rPr>
                <w:noProof/>
                <w:webHidden/>
              </w:rPr>
              <w:fldChar w:fldCharType="end"/>
            </w:r>
          </w:hyperlink>
        </w:p>
        <w:p w14:paraId="12AE4483"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90" w:history="1">
            <w:r w:rsidR="008B50C0" w:rsidRPr="00A86862">
              <w:rPr>
                <w:rStyle w:val="Hyperlink"/>
                <w:noProof/>
              </w:rPr>
              <w:t>3.4.1</w:t>
            </w:r>
            <w:r w:rsidR="008B50C0">
              <w:rPr>
                <w:rFonts w:eastAsiaTheme="minorEastAsia" w:cstheme="minorBidi"/>
                <w:i w:val="0"/>
                <w:iCs w:val="0"/>
                <w:noProof/>
                <w:sz w:val="22"/>
                <w:szCs w:val="22"/>
                <w:lang w:val="en-GB" w:eastAsia="en-GB"/>
              </w:rPr>
              <w:tab/>
            </w:r>
            <w:r w:rsidR="008B50C0" w:rsidRPr="00A86862">
              <w:rPr>
                <w:rStyle w:val="Hyperlink"/>
                <w:noProof/>
              </w:rPr>
              <w:t>Electricity</w:t>
            </w:r>
            <w:r w:rsidR="008B50C0">
              <w:rPr>
                <w:noProof/>
                <w:webHidden/>
              </w:rPr>
              <w:tab/>
            </w:r>
            <w:r w:rsidR="008B50C0">
              <w:rPr>
                <w:noProof/>
                <w:webHidden/>
              </w:rPr>
              <w:fldChar w:fldCharType="begin"/>
            </w:r>
            <w:r w:rsidR="008B50C0">
              <w:rPr>
                <w:noProof/>
                <w:webHidden/>
              </w:rPr>
              <w:instrText xml:space="preserve"> PAGEREF _Toc396913790 \h </w:instrText>
            </w:r>
            <w:r w:rsidR="008B50C0">
              <w:rPr>
                <w:noProof/>
                <w:webHidden/>
              </w:rPr>
            </w:r>
            <w:r w:rsidR="008B50C0">
              <w:rPr>
                <w:noProof/>
                <w:webHidden/>
              </w:rPr>
              <w:fldChar w:fldCharType="separate"/>
            </w:r>
            <w:r w:rsidR="008B50C0">
              <w:rPr>
                <w:noProof/>
                <w:webHidden/>
              </w:rPr>
              <w:t>62</w:t>
            </w:r>
            <w:r w:rsidR="008B50C0">
              <w:rPr>
                <w:noProof/>
                <w:webHidden/>
              </w:rPr>
              <w:fldChar w:fldCharType="end"/>
            </w:r>
          </w:hyperlink>
        </w:p>
        <w:p w14:paraId="4287137B"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91" w:history="1">
            <w:r w:rsidR="008B50C0" w:rsidRPr="00A86862">
              <w:rPr>
                <w:rStyle w:val="Hyperlink"/>
                <w:noProof/>
              </w:rPr>
              <w:t>3.4.2</w:t>
            </w:r>
            <w:r w:rsidR="008B50C0">
              <w:rPr>
                <w:rFonts w:eastAsiaTheme="minorEastAsia" w:cstheme="minorBidi"/>
                <w:i w:val="0"/>
                <w:iCs w:val="0"/>
                <w:noProof/>
                <w:sz w:val="22"/>
                <w:szCs w:val="22"/>
                <w:lang w:val="en-GB" w:eastAsia="en-GB"/>
              </w:rPr>
              <w:tab/>
            </w:r>
            <w:r w:rsidR="008B50C0" w:rsidRPr="00A86862">
              <w:rPr>
                <w:rStyle w:val="Hyperlink"/>
                <w:noProof/>
              </w:rPr>
              <w:t>Gas</w:t>
            </w:r>
            <w:r w:rsidR="008B50C0">
              <w:rPr>
                <w:noProof/>
                <w:webHidden/>
              </w:rPr>
              <w:tab/>
            </w:r>
            <w:r w:rsidR="008B50C0">
              <w:rPr>
                <w:noProof/>
                <w:webHidden/>
              </w:rPr>
              <w:fldChar w:fldCharType="begin"/>
            </w:r>
            <w:r w:rsidR="008B50C0">
              <w:rPr>
                <w:noProof/>
                <w:webHidden/>
              </w:rPr>
              <w:instrText xml:space="preserve"> PAGEREF _Toc396913791 \h </w:instrText>
            </w:r>
            <w:r w:rsidR="008B50C0">
              <w:rPr>
                <w:noProof/>
                <w:webHidden/>
              </w:rPr>
            </w:r>
            <w:r w:rsidR="008B50C0">
              <w:rPr>
                <w:noProof/>
                <w:webHidden/>
              </w:rPr>
              <w:fldChar w:fldCharType="separate"/>
            </w:r>
            <w:r w:rsidR="008B50C0">
              <w:rPr>
                <w:noProof/>
                <w:webHidden/>
              </w:rPr>
              <w:t>64</w:t>
            </w:r>
            <w:r w:rsidR="008B50C0">
              <w:rPr>
                <w:noProof/>
                <w:webHidden/>
              </w:rPr>
              <w:fldChar w:fldCharType="end"/>
            </w:r>
          </w:hyperlink>
        </w:p>
        <w:p w14:paraId="530330DF"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92" w:history="1">
            <w:r w:rsidR="008B50C0" w:rsidRPr="00A86862">
              <w:rPr>
                <w:rStyle w:val="Hyperlink"/>
                <w:rFonts w:eastAsia="Calibri"/>
                <w:noProof/>
              </w:rPr>
              <w:t>3.5</w:t>
            </w:r>
            <w:r w:rsidR="008B50C0">
              <w:rPr>
                <w:rFonts w:eastAsiaTheme="minorEastAsia" w:cstheme="minorBidi"/>
                <w:smallCaps w:val="0"/>
                <w:noProof/>
                <w:sz w:val="22"/>
                <w:szCs w:val="22"/>
                <w:lang w:val="en-GB" w:eastAsia="en-GB"/>
              </w:rPr>
              <w:tab/>
            </w:r>
            <w:r w:rsidR="008B50C0" w:rsidRPr="00A86862">
              <w:rPr>
                <w:rStyle w:val="Hyperlink"/>
                <w:rFonts w:eastAsia="Calibri"/>
                <w:noProof/>
              </w:rPr>
              <w:t>Guidelines for Trans-European Energy Infrastructure</w:t>
            </w:r>
            <w:r w:rsidR="008B50C0">
              <w:rPr>
                <w:noProof/>
                <w:webHidden/>
              </w:rPr>
              <w:tab/>
            </w:r>
            <w:r w:rsidR="008B50C0">
              <w:rPr>
                <w:noProof/>
                <w:webHidden/>
              </w:rPr>
              <w:fldChar w:fldCharType="begin"/>
            </w:r>
            <w:r w:rsidR="008B50C0">
              <w:rPr>
                <w:noProof/>
                <w:webHidden/>
              </w:rPr>
              <w:instrText xml:space="preserve"> PAGEREF _Toc396913792 \h </w:instrText>
            </w:r>
            <w:r w:rsidR="008B50C0">
              <w:rPr>
                <w:noProof/>
                <w:webHidden/>
              </w:rPr>
            </w:r>
            <w:r w:rsidR="008B50C0">
              <w:rPr>
                <w:noProof/>
                <w:webHidden/>
              </w:rPr>
              <w:fldChar w:fldCharType="separate"/>
            </w:r>
            <w:r w:rsidR="008B50C0">
              <w:rPr>
                <w:noProof/>
                <w:webHidden/>
              </w:rPr>
              <w:t>65</w:t>
            </w:r>
            <w:r w:rsidR="008B50C0">
              <w:rPr>
                <w:noProof/>
                <w:webHidden/>
              </w:rPr>
              <w:fldChar w:fldCharType="end"/>
            </w:r>
          </w:hyperlink>
        </w:p>
        <w:p w14:paraId="3C76B706"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93" w:history="1">
            <w:r w:rsidR="008B50C0" w:rsidRPr="00A86862">
              <w:rPr>
                <w:rStyle w:val="Hyperlink"/>
                <w:rFonts w:eastAsia="Calibri"/>
                <w:noProof/>
              </w:rPr>
              <w:t>3.5.1</w:t>
            </w:r>
            <w:r w:rsidR="008B50C0">
              <w:rPr>
                <w:rFonts w:eastAsiaTheme="minorEastAsia" w:cstheme="minorBidi"/>
                <w:i w:val="0"/>
                <w:iCs w:val="0"/>
                <w:noProof/>
                <w:sz w:val="22"/>
                <w:szCs w:val="22"/>
                <w:lang w:val="en-GB" w:eastAsia="en-GB"/>
              </w:rPr>
              <w:tab/>
            </w:r>
            <w:r w:rsidR="008B50C0" w:rsidRPr="00A86862">
              <w:rPr>
                <w:rStyle w:val="Hyperlink"/>
                <w:rFonts w:eastAsia="Calibri"/>
                <w:noProof/>
              </w:rPr>
              <w:t>Electricity and Gas</w:t>
            </w:r>
            <w:r w:rsidR="008B50C0">
              <w:rPr>
                <w:noProof/>
                <w:webHidden/>
              </w:rPr>
              <w:tab/>
            </w:r>
            <w:r w:rsidR="008B50C0">
              <w:rPr>
                <w:noProof/>
                <w:webHidden/>
              </w:rPr>
              <w:fldChar w:fldCharType="begin"/>
            </w:r>
            <w:r w:rsidR="008B50C0">
              <w:rPr>
                <w:noProof/>
                <w:webHidden/>
              </w:rPr>
              <w:instrText xml:space="preserve"> PAGEREF _Toc396913793 \h </w:instrText>
            </w:r>
            <w:r w:rsidR="008B50C0">
              <w:rPr>
                <w:noProof/>
                <w:webHidden/>
              </w:rPr>
            </w:r>
            <w:r w:rsidR="008B50C0">
              <w:rPr>
                <w:noProof/>
                <w:webHidden/>
              </w:rPr>
              <w:fldChar w:fldCharType="separate"/>
            </w:r>
            <w:r w:rsidR="008B50C0">
              <w:rPr>
                <w:noProof/>
                <w:webHidden/>
              </w:rPr>
              <w:t>65</w:t>
            </w:r>
            <w:r w:rsidR="008B50C0">
              <w:rPr>
                <w:noProof/>
                <w:webHidden/>
              </w:rPr>
              <w:fldChar w:fldCharType="end"/>
            </w:r>
          </w:hyperlink>
        </w:p>
        <w:p w14:paraId="31583D1E"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94" w:history="1">
            <w:r w:rsidR="008B50C0" w:rsidRPr="00A86862">
              <w:rPr>
                <w:rStyle w:val="Hyperlink"/>
                <w:noProof/>
              </w:rPr>
              <w:t>3.6</w:t>
            </w:r>
            <w:r w:rsidR="008B50C0">
              <w:rPr>
                <w:rFonts w:eastAsiaTheme="minorEastAsia" w:cstheme="minorBidi"/>
                <w:smallCaps w:val="0"/>
                <w:noProof/>
                <w:sz w:val="22"/>
                <w:szCs w:val="22"/>
                <w:lang w:val="en-GB" w:eastAsia="en-GB"/>
              </w:rPr>
              <w:tab/>
            </w:r>
            <w:r w:rsidR="008B50C0" w:rsidRPr="00A86862">
              <w:rPr>
                <w:rStyle w:val="Hyperlink"/>
                <w:noProof/>
              </w:rPr>
              <w:t>Activities which are Subject to Specific Conditions</w:t>
            </w:r>
            <w:r w:rsidR="008B50C0">
              <w:rPr>
                <w:noProof/>
                <w:webHidden/>
              </w:rPr>
              <w:tab/>
            </w:r>
            <w:r w:rsidR="008B50C0">
              <w:rPr>
                <w:noProof/>
                <w:webHidden/>
              </w:rPr>
              <w:fldChar w:fldCharType="begin"/>
            </w:r>
            <w:r w:rsidR="008B50C0">
              <w:rPr>
                <w:noProof/>
                <w:webHidden/>
              </w:rPr>
              <w:instrText xml:space="preserve"> PAGEREF _Toc396913794 \h </w:instrText>
            </w:r>
            <w:r w:rsidR="008B50C0">
              <w:rPr>
                <w:noProof/>
                <w:webHidden/>
              </w:rPr>
            </w:r>
            <w:r w:rsidR="008B50C0">
              <w:rPr>
                <w:noProof/>
                <w:webHidden/>
              </w:rPr>
              <w:fldChar w:fldCharType="separate"/>
            </w:r>
            <w:r w:rsidR="008B50C0">
              <w:rPr>
                <w:noProof/>
                <w:webHidden/>
              </w:rPr>
              <w:t>67</w:t>
            </w:r>
            <w:r w:rsidR="008B50C0">
              <w:rPr>
                <w:noProof/>
                <w:webHidden/>
              </w:rPr>
              <w:fldChar w:fldCharType="end"/>
            </w:r>
          </w:hyperlink>
        </w:p>
        <w:p w14:paraId="212D7CDF"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95" w:history="1">
            <w:r w:rsidR="008B50C0" w:rsidRPr="00A86862">
              <w:rPr>
                <w:rStyle w:val="Hyperlink"/>
                <w:noProof/>
              </w:rPr>
              <w:t>3.7</w:t>
            </w:r>
            <w:r w:rsidR="008B50C0">
              <w:rPr>
                <w:rFonts w:eastAsiaTheme="minorEastAsia" w:cstheme="minorBidi"/>
                <w:smallCaps w:val="0"/>
                <w:noProof/>
                <w:sz w:val="22"/>
                <w:szCs w:val="22"/>
                <w:lang w:val="en-GB" w:eastAsia="en-GB"/>
              </w:rPr>
              <w:tab/>
            </w:r>
            <w:r w:rsidR="008B50C0" w:rsidRPr="00A86862">
              <w:rPr>
                <w:rStyle w:val="Hyperlink"/>
                <w:noProof/>
              </w:rPr>
              <w:t>Opinions and Recommendations on the Agency’s own Initiative</w:t>
            </w:r>
            <w:r w:rsidR="008B50C0">
              <w:rPr>
                <w:noProof/>
                <w:webHidden/>
              </w:rPr>
              <w:tab/>
            </w:r>
            <w:r w:rsidR="008B50C0">
              <w:rPr>
                <w:noProof/>
                <w:webHidden/>
              </w:rPr>
              <w:fldChar w:fldCharType="begin"/>
            </w:r>
            <w:r w:rsidR="008B50C0">
              <w:rPr>
                <w:noProof/>
                <w:webHidden/>
              </w:rPr>
              <w:instrText xml:space="preserve"> PAGEREF _Toc396913795 \h </w:instrText>
            </w:r>
            <w:r w:rsidR="008B50C0">
              <w:rPr>
                <w:noProof/>
                <w:webHidden/>
              </w:rPr>
            </w:r>
            <w:r w:rsidR="008B50C0">
              <w:rPr>
                <w:noProof/>
                <w:webHidden/>
              </w:rPr>
              <w:fldChar w:fldCharType="separate"/>
            </w:r>
            <w:r w:rsidR="008B50C0">
              <w:rPr>
                <w:noProof/>
                <w:webHidden/>
              </w:rPr>
              <w:t>71</w:t>
            </w:r>
            <w:r w:rsidR="008B50C0">
              <w:rPr>
                <w:noProof/>
                <w:webHidden/>
              </w:rPr>
              <w:fldChar w:fldCharType="end"/>
            </w:r>
          </w:hyperlink>
        </w:p>
        <w:p w14:paraId="691C29BC"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96" w:history="1">
            <w:r w:rsidR="008B50C0" w:rsidRPr="00A86862">
              <w:rPr>
                <w:rStyle w:val="Hyperlink"/>
                <w:noProof/>
              </w:rPr>
              <w:t>3.8</w:t>
            </w:r>
            <w:r w:rsidR="008B50C0">
              <w:rPr>
                <w:rFonts w:eastAsiaTheme="minorEastAsia" w:cstheme="minorBidi"/>
                <w:smallCaps w:val="0"/>
                <w:noProof/>
                <w:sz w:val="22"/>
                <w:szCs w:val="22"/>
                <w:lang w:val="en-GB" w:eastAsia="en-GB"/>
              </w:rPr>
              <w:tab/>
            </w:r>
            <w:r w:rsidR="008B50C0" w:rsidRPr="00A86862">
              <w:rPr>
                <w:rStyle w:val="Hyperlink"/>
                <w:noProof/>
              </w:rPr>
              <w:t>Wholesale Market Monitoring – REMIT</w:t>
            </w:r>
            <w:r w:rsidR="008B50C0">
              <w:rPr>
                <w:noProof/>
                <w:webHidden/>
              </w:rPr>
              <w:tab/>
            </w:r>
            <w:r w:rsidR="008B50C0">
              <w:rPr>
                <w:noProof/>
                <w:webHidden/>
              </w:rPr>
              <w:fldChar w:fldCharType="begin"/>
            </w:r>
            <w:r w:rsidR="008B50C0">
              <w:rPr>
                <w:noProof/>
                <w:webHidden/>
              </w:rPr>
              <w:instrText xml:space="preserve"> PAGEREF _Toc396913796 \h </w:instrText>
            </w:r>
            <w:r w:rsidR="008B50C0">
              <w:rPr>
                <w:noProof/>
                <w:webHidden/>
              </w:rPr>
            </w:r>
            <w:r w:rsidR="008B50C0">
              <w:rPr>
                <w:noProof/>
                <w:webHidden/>
              </w:rPr>
              <w:fldChar w:fldCharType="separate"/>
            </w:r>
            <w:r w:rsidR="008B50C0">
              <w:rPr>
                <w:noProof/>
                <w:webHidden/>
              </w:rPr>
              <w:t>72</w:t>
            </w:r>
            <w:r w:rsidR="008B50C0">
              <w:rPr>
                <w:noProof/>
                <w:webHidden/>
              </w:rPr>
              <w:fldChar w:fldCharType="end"/>
            </w:r>
          </w:hyperlink>
        </w:p>
        <w:p w14:paraId="787A105F" w14:textId="77777777" w:rsidR="008B50C0" w:rsidRDefault="00EC2170">
          <w:pPr>
            <w:pStyle w:val="TOC2"/>
            <w:tabs>
              <w:tab w:val="left" w:pos="880"/>
              <w:tab w:val="right" w:leader="dot" w:pos="9017"/>
            </w:tabs>
            <w:rPr>
              <w:rFonts w:eastAsiaTheme="minorEastAsia" w:cstheme="minorBidi"/>
              <w:smallCaps w:val="0"/>
              <w:noProof/>
              <w:sz w:val="22"/>
              <w:szCs w:val="22"/>
              <w:lang w:val="en-GB" w:eastAsia="en-GB"/>
            </w:rPr>
          </w:pPr>
          <w:hyperlink w:anchor="_Toc396913797" w:history="1">
            <w:r w:rsidR="008B50C0" w:rsidRPr="00A86862">
              <w:rPr>
                <w:rStyle w:val="Hyperlink"/>
                <w:noProof/>
              </w:rPr>
              <w:t>3.9</w:t>
            </w:r>
            <w:r w:rsidR="008B50C0">
              <w:rPr>
                <w:rFonts w:eastAsiaTheme="minorEastAsia" w:cstheme="minorBidi"/>
                <w:smallCaps w:val="0"/>
                <w:noProof/>
                <w:sz w:val="22"/>
                <w:szCs w:val="22"/>
                <w:lang w:val="en-GB" w:eastAsia="en-GB"/>
              </w:rPr>
              <w:tab/>
            </w:r>
            <w:r w:rsidR="008B50C0" w:rsidRPr="00A86862">
              <w:rPr>
                <w:rStyle w:val="Hyperlink"/>
                <w:noProof/>
              </w:rPr>
              <w:t>Organisation, Administration and Functioning of the Agency</w:t>
            </w:r>
            <w:r w:rsidR="008B50C0">
              <w:rPr>
                <w:noProof/>
                <w:webHidden/>
              </w:rPr>
              <w:tab/>
            </w:r>
            <w:r w:rsidR="008B50C0">
              <w:rPr>
                <w:noProof/>
                <w:webHidden/>
              </w:rPr>
              <w:fldChar w:fldCharType="begin"/>
            </w:r>
            <w:r w:rsidR="008B50C0">
              <w:rPr>
                <w:noProof/>
                <w:webHidden/>
              </w:rPr>
              <w:instrText xml:space="preserve"> PAGEREF _Toc396913797 \h </w:instrText>
            </w:r>
            <w:r w:rsidR="008B50C0">
              <w:rPr>
                <w:noProof/>
                <w:webHidden/>
              </w:rPr>
            </w:r>
            <w:r w:rsidR="008B50C0">
              <w:rPr>
                <w:noProof/>
                <w:webHidden/>
              </w:rPr>
              <w:fldChar w:fldCharType="separate"/>
            </w:r>
            <w:r w:rsidR="008B50C0">
              <w:rPr>
                <w:noProof/>
                <w:webHidden/>
              </w:rPr>
              <w:t>78</w:t>
            </w:r>
            <w:r w:rsidR="008B50C0">
              <w:rPr>
                <w:noProof/>
                <w:webHidden/>
              </w:rPr>
              <w:fldChar w:fldCharType="end"/>
            </w:r>
          </w:hyperlink>
        </w:p>
        <w:p w14:paraId="7DD30F1C"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98" w:history="1">
            <w:r w:rsidR="008B50C0" w:rsidRPr="00A86862">
              <w:rPr>
                <w:rStyle w:val="Hyperlink"/>
                <w:noProof/>
              </w:rPr>
              <w:t>3.9.1</w:t>
            </w:r>
            <w:r w:rsidR="008B50C0">
              <w:rPr>
                <w:rFonts w:eastAsiaTheme="minorEastAsia" w:cstheme="minorBidi"/>
                <w:i w:val="0"/>
                <w:iCs w:val="0"/>
                <w:noProof/>
                <w:sz w:val="22"/>
                <w:szCs w:val="22"/>
                <w:lang w:val="en-GB" w:eastAsia="en-GB"/>
              </w:rPr>
              <w:tab/>
            </w:r>
            <w:r w:rsidR="008B50C0" w:rsidRPr="00A86862">
              <w:rPr>
                <w:rStyle w:val="Hyperlink"/>
                <w:noProof/>
              </w:rPr>
              <w:t>Organisation</w:t>
            </w:r>
            <w:r w:rsidR="008B50C0">
              <w:rPr>
                <w:noProof/>
                <w:webHidden/>
              </w:rPr>
              <w:tab/>
            </w:r>
            <w:r w:rsidR="008B50C0">
              <w:rPr>
                <w:noProof/>
                <w:webHidden/>
              </w:rPr>
              <w:fldChar w:fldCharType="begin"/>
            </w:r>
            <w:r w:rsidR="008B50C0">
              <w:rPr>
                <w:noProof/>
                <w:webHidden/>
              </w:rPr>
              <w:instrText xml:space="preserve"> PAGEREF _Toc396913798 \h </w:instrText>
            </w:r>
            <w:r w:rsidR="008B50C0">
              <w:rPr>
                <w:noProof/>
                <w:webHidden/>
              </w:rPr>
            </w:r>
            <w:r w:rsidR="008B50C0">
              <w:rPr>
                <w:noProof/>
                <w:webHidden/>
              </w:rPr>
              <w:fldChar w:fldCharType="separate"/>
            </w:r>
            <w:r w:rsidR="008B50C0">
              <w:rPr>
                <w:noProof/>
                <w:webHidden/>
              </w:rPr>
              <w:t>78</w:t>
            </w:r>
            <w:r w:rsidR="008B50C0">
              <w:rPr>
                <w:noProof/>
                <w:webHidden/>
              </w:rPr>
              <w:fldChar w:fldCharType="end"/>
            </w:r>
          </w:hyperlink>
        </w:p>
        <w:p w14:paraId="24F79617"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799" w:history="1">
            <w:r w:rsidR="008B50C0" w:rsidRPr="00A86862">
              <w:rPr>
                <w:rStyle w:val="Hyperlink"/>
                <w:noProof/>
              </w:rPr>
              <w:t>3.9.2</w:t>
            </w:r>
            <w:r w:rsidR="008B50C0">
              <w:rPr>
                <w:rFonts w:eastAsiaTheme="minorEastAsia" w:cstheme="minorBidi"/>
                <w:i w:val="0"/>
                <w:iCs w:val="0"/>
                <w:noProof/>
                <w:sz w:val="22"/>
                <w:szCs w:val="22"/>
                <w:lang w:val="en-GB" w:eastAsia="en-GB"/>
              </w:rPr>
              <w:tab/>
            </w:r>
            <w:r w:rsidR="008B50C0" w:rsidRPr="00A86862">
              <w:rPr>
                <w:rStyle w:val="Hyperlink"/>
                <w:noProof/>
              </w:rPr>
              <w:t>Communication Activities</w:t>
            </w:r>
            <w:r w:rsidR="008B50C0">
              <w:rPr>
                <w:noProof/>
                <w:webHidden/>
              </w:rPr>
              <w:tab/>
            </w:r>
            <w:r w:rsidR="008B50C0">
              <w:rPr>
                <w:noProof/>
                <w:webHidden/>
              </w:rPr>
              <w:fldChar w:fldCharType="begin"/>
            </w:r>
            <w:r w:rsidR="008B50C0">
              <w:rPr>
                <w:noProof/>
                <w:webHidden/>
              </w:rPr>
              <w:instrText xml:space="preserve"> PAGEREF _Toc396913799 \h </w:instrText>
            </w:r>
            <w:r w:rsidR="008B50C0">
              <w:rPr>
                <w:noProof/>
                <w:webHidden/>
              </w:rPr>
            </w:r>
            <w:r w:rsidR="008B50C0">
              <w:rPr>
                <w:noProof/>
                <w:webHidden/>
              </w:rPr>
              <w:fldChar w:fldCharType="separate"/>
            </w:r>
            <w:r w:rsidR="008B50C0">
              <w:rPr>
                <w:noProof/>
                <w:webHidden/>
              </w:rPr>
              <w:t>78</w:t>
            </w:r>
            <w:r w:rsidR="008B50C0">
              <w:rPr>
                <w:noProof/>
                <w:webHidden/>
              </w:rPr>
              <w:fldChar w:fldCharType="end"/>
            </w:r>
          </w:hyperlink>
        </w:p>
        <w:p w14:paraId="4945C001" w14:textId="77777777" w:rsidR="008B50C0" w:rsidRDefault="00EC2170">
          <w:pPr>
            <w:pStyle w:val="TOC3"/>
            <w:tabs>
              <w:tab w:val="right" w:leader="dot" w:pos="9017"/>
            </w:tabs>
            <w:rPr>
              <w:rFonts w:eastAsiaTheme="minorEastAsia" w:cstheme="minorBidi"/>
              <w:i w:val="0"/>
              <w:iCs w:val="0"/>
              <w:noProof/>
              <w:sz w:val="22"/>
              <w:szCs w:val="22"/>
              <w:lang w:val="en-GB" w:eastAsia="en-GB"/>
            </w:rPr>
          </w:pPr>
          <w:hyperlink w:anchor="_Toc396913800" w:history="1">
            <w:r w:rsidR="008B50C0" w:rsidRPr="00A86862">
              <w:rPr>
                <w:rStyle w:val="Hyperlink"/>
                <w:noProof/>
              </w:rPr>
              <w:t>3.9.2.1 External Communication</w:t>
            </w:r>
            <w:r w:rsidR="008B50C0">
              <w:rPr>
                <w:noProof/>
                <w:webHidden/>
              </w:rPr>
              <w:tab/>
            </w:r>
            <w:r w:rsidR="008B50C0">
              <w:rPr>
                <w:noProof/>
                <w:webHidden/>
              </w:rPr>
              <w:fldChar w:fldCharType="begin"/>
            </w:r>
            <w:r w:rsidR="008B50C0">
              <w:rPr>
                <w:noProof/>
                <w:webHidden/>
              </w:rPr>
              <w:instrText xml:space="preserve"> PAGEREF _Toc396913800 \h </w:instrText>
            </w:r>
            <w:r w:rsidR="008B50C0">
              <w:rPr>
                <w:noProof/>
                <w:webHidden/>
              </w:rPr>
            </w:r>
            <w:r w:rsidR="008B50C0">
              <w:rPr>
                <w:noProof/>
                <w:webHidden/>
              </w:rPr>
              <w:fldChar w:fldCharType="separate"/>
            </w:r>
            <w:r w:rsidR="008B50C0">
              <w:rPr>
                <w:noProof/>
                <w:webHidden/>
              </w:rPr>
              <w:t>79</w:t>
            </w:r>
            <w:r w:rsidR="008B50C0">
              <w:rPr>
                <w:noProof/>
                <w:webHidden/>
              </w:rPr>
              <w:fldChar w:fldCharType="end"/>
            </w:r>
          </w:hyperlink>
        </w:p>
        <w:p w14:paraId="13E3C36D" w14:textId="77777777" w:rsidR="008B50C0" w:rsidRDefault="00EC2170">
          <w:pPr>
            <w:pStyle w:val="TOC3"/>
            <w:tabs>
              <w:tab w:val="right" w:leader="dot" w:pos="9017"/>
            </w:tabs>
            <w:rPr>
              <w:rFonts w:eastAsiaTheme="minorEastAsia" w:cstheme="minorBidi"/>
              <w:i w:val="0"/>
              <w:iCs w:val="0"/>
              <w:noProof/>
              <w:sz w:val="22"/>
              <w:szCs w:val="22"/>
              <w:lang w:val="en-GB" w:eastAsia="en-GB"/>
            </w:rPr>
          </w:pPr>
          <w:hyperlink w:anchor="_Toc396913801" w:history="1">
            <w:r w:rsidR="008B50C0" w:rsidRPr="00A86862">
              <w:rPr>
                <w:rStyle w:val="Hyperlink"/>
                <w:noProof/>
              </w:rPr>
              <w:t>3.9.2.2 Internal Communication</w:t>
            </w:r>
            <w:r w:rsidR="008B50C0">
              <w:rPr>
                <w:noProof/>
                <w:webHidden/>
              </w:rPr>
              <w:tab/>
            </w:r>
            <w:r w:rsidR="008B50C0">
              <w:rPr>
                <w:noProof/>
                <w:webHidden/>
              </w:rPr>
              <w:fldChar w:fldCharType="begin"/>
            </w:r>
            <w:r w:rsidR="008B50C0">
              <w:rPr>
                <w:noProof/>
                <w:webHidden/>
              </w:rPr>
              <w:instrText xml:space="preserve"> PAGEREF _Toc396913801 \h </w:instrText>
            </w:r>
            <w:r w:rsidR="008B50C0">
              <w:rPr>
                <w:noProof/>
                <w:webHidden/>
              </w:rPr>
            </w:r>
            <w:r w:rsidR="008B50C0">
              <w:rPr>
                <w:noProof/>
                <w:webHidden/>
              </w:rPr>
              <w:fldChar w:fldCharType="separate"/>
            </w:r>
            <w:r w:rsidR="008B50C0">
              <w:rPr>
                <w:noProof/>
                <w:webHidden/>
              </w:rPr>
              <w:t>85</w:t>
            </w:r>
            <w:r w:rsidR="008B50C0">
              <w:rPr>
                <w:noProof/>
                <w:webHidden/>
              </w:rPr>
              <w:fldChar w:fldCharType="end"/>
            </w:r>
          </w:hyperlink>
        </w:p>
        <w:p w14:paraId="23CCF701"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802" w:history="1">
            <w:r w:rsidR="008B50C0" w:rsidRPr="00A86862">
              <w:rPr>
                <w:rStyle w:val="Hyperlink"/>
                <w:noProof/>
              </w:rPr>
              <w:t>3.9.3</w:t>
            </w:r>
            <w:r w:rsidR="008B50C0">
              <w:rPr>
                <w:rFonts w:eastAsiaTheme="minorEastAsia" w:cstheme="minorBidi"/>
                <w:i w:val="0"/>
                <w:iCs w:val="0"/>
                <w:noProof/>
                <w:sz w:val="22"/>
                <w:szCs w:val="22"/>
                <w:lang w:val="en-GB" w:eastAsia="en-GB"/>
              </w:rPr>
              <w:tab/>
            </w:r>
            <w:r w:rsidR="008B50C0" w:rsidRPr="00A86862">
              <w:rPr>
                <w:rStyle w:val="Hyperlink"/>
                <w:noProof/>
              </w:rPr>
              <w:t>The Agency’s Premises</w:t>
            </w:r>
            <w:r w:rsidR="008B50C0">
              <w:rPr>
                <w:noProof/>
                <w:webHidden/>
              </w:rPr>
              <w:tab/>
            </w:r>
            <w:r w:rsidR="008B50C0">
              <w:rPr>
                <w:noProof/>
                <w:webHidden/>
              </w:rPr>
              <w:fldChar w:fldCharType="begin"/>
            </w:r>
            <w:r w:rsidR="008B50C0">
              <w:rPr>
                <w:noProof/>
                <w:webHidden/>
              </w:rPr>
              <w:instrText xml:space="preserve"> PAGEREF _Toc396913802 \h </w:instrText>
            </w:r>
            <w:r w:rsidR="008B50C0">
              <w:rPr>
                <w:noProof/>
                <w:webHidden/>
              </w:rPr>
            </w:r>
            <w:r w:rsidR="008B50C0">
              <w:rPr>
                <w:noProof/>
                <w:webHidden/>
              </w:rPr>
              <w:fldChar w:fldCharType="separate"/>
            </w:r>
            <w:r w:rsidR="008B50C0">
              <w:rPr>
                <w:noProof/>
                <w:webHidden/>
              </w:rPr>
              <w:t>87</w:t>
            </w:r>
            <w:r w:rsidR="008B50C0">
              <w:rPr>
                <w:noProof/>
                <w:webHidden/>
              </w:rPr>
              <w:fldChar w:fldCharType="end"/>
            </w:r>
          </w:hyperlink>
        </w:p>
        <w:p w14:paraId="092CA301"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803" w:history="1">
            <w:r w:rsidR="008B50C0" w:rsidRPr="00A86862">
              <w:rPr>
                <w:rStyle w:val="Hyperlink"/>
                <w:noProof/>
              </w:rPr>
              <w:t>3.9.4</w:t>
            </w:r>
            <w:r w:rsidR="008B50C0">
              <w:rPr>
                <w:rFonts w:eastAsiaTheme="minorEastAsia" w:cstheme="minorBidi"/>
                <w:i w:val="0"/>
                <w:iCs w:val="0"/>
                <w:noProof/>
                <w:sz w:val="22"/>
                <w:szCs w:val="22"/>
                <w:lang w:val="en-GB" w:eastAsia="en-GB"/>
              </w:rPr>
              <w:tab/>
            </w:r>
            <w:r w:rsidR="008B50C0" w:rsidRPr="00A86862">
              <w:rPr>
                <w:rStyle w:val="Hyperlink"/>
                <w:noProof/>
              </w:rPr>
              <w:t>Human Resources</w:t>
            </w:r>
            <w:r w:rsidR="008B50C0">
              <w:rPr>
                <w:noProof/>
                <w:webHidden/>
              </w:rPr>
              <w:tab/>
            </w:r>
            <w:r w:rsidR="008B50C0">
              <w:rPr>
                <w:noProof/>
                <w:webHidden/>
              </w:rPr>
              <w:fldChar w:fldCharType="begin"/>
            </w:r>
            <w:r w:rsidR="008B50C0">
              <w:rPr>
                <w:noProof/>
                <w:webHidden/>
              </w:rPr>
              <w:instrText xml:space="preserve"> PAGEREF _Toc396913803 \h </w:instrText>
            </w:r>
            <w:r w:rsidR="008B50C0">
              <w:rPr>
                <w:noProof/>
                <w:webHidden/>
              </w:rPr>
            </w:r>
            <w:r w:rsidR="008B50C0">
              <w:rPr>
                <w:noProof/>
                <w:webHidden/>
              </w:rPr>
              <w:fldChar w:fldCharType="separate"/>
            </w:r>
            <w:r w:rsidR="008B50C0">
              <w:rPr>
                <w:noProof/>
                <w:webHidden/>
              </w:rPr>
              <w:t>88</w:t>
            </w:r>
            <w:r w:rsidR="008B50C0">
              <w:rPr>
                <w:noProof/>
                <w:webHidden/>
              </w:rPr>
              <w:fldChar w:fldCharType="end"/>
            </w:r>
          </w:hyperlink>
        </w:p>
        <w:p w14:paraId="10761557"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804" w:history="1">
            <w:r w:rsidR="008B50C0" w:rsidRPr="00A86862">
              <w:rPr>
                <w:rStyle w:val="Hyperlink"/>
                <w:noProof/>
              </w:rPr>
              <w:t>3.9.5</w:t>
            </w:r>
            <w:r w:rsidR="008B50C0">
              <w:rPr>
                <w:rFonts w:eastAsiaTheme="minorEastAsia" w:cstheme="minorBidi"/>
                <w:i w:val="0"/>
                <w:iCs w:val="0"/>
                <w:noProof/>
                <w:sz w:val="22"/>
                <w:szCs w:val="22"/>
                <w:lang w:val="en-GB" w:eastAsia="en-GB"/>
              </w:rPr>
              <w:tab/>
            </w:r>
            <w:r w:rsidR="008B50C0" w:rsidRPr="00A86862">
              <w:rPr>
                <w:rStyle w:val="Hyperlink"/>
                <w:noProof/>
              </w:rPr>
              <w:t>Audit</w:t>
            </w:r>
            <w:r w:rsidR="008B50C0">
              <w:rPr>
                <w:noProof/>
                <w:webHidden/>
              </w:rPr>
              <w:tab/>
            </w:r>
            <w:r w:rsidR="008B50C0">
              <w:rPr>
                <w:noProof/>
                <w:webHidden/>
              </w:rPr>
              <w:fldChar w:fldCharType="begin"/>
            </w:r>
            <w:r w:rsidR="008B50C0">
              <w:rPr>
                <w:noProof/>
                <w:webHidden/>
              </w:rPr>
              <w:instrText xml:space="preserve"> PAGEREF _Toc396913804 \h </w:instrText>
            </w:r>
            <w:r w:rsidR="008B50C0">
              <w:rPr>
                <w:noProof/>
                <w:webHidden/>
              </w:rPr>
            </w:r>
            <w:r w:rsidR="008B50C0">
              <w:rPr>
                <w:noProof/>
                <w:webHidden/>
              </w:rPr>
              <w:fldChar w:fldCharType="separate"/>
            </w:r>
            <w:r w:rsidR="008B50C0">
              <w:rPr>
                <w:noProof/>
                <w:webHidden/>
              </w:rPr>
              <w:t>90</w:t>
            </w:r>
            <w:r w:rsidR="008B50C0">
              <w:rPr>
                <w:noProof/>
                <w:webHidden/>
              </w:rPr>
              <w:fldChar w:fldCharType="end"/>
            </w:r>
          </w:hyperlink>
        </w:p>
        <w:p w14:paraId="1D1D5205"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805" w:history="1">
            <w:r w:rsidR="008B50C0" w:rsidRPr="00A86862">
              <w:rPr>
                <w:rStyle w:val="Hyperlink"/>
                <w:noProof/>
              </w:rPr>
              <w:t>3.9.6</w:t>
            </w:r>
            <w:r w:rsidR="008B50C0">
              <w:rPr>
                <w:rFonts w:eastAsiaTheme="minorEastAsia" w:cstheme="minorBidi"/>
                <w:i w:val="0"/>
                <w:iCs w:val="0"/>
                <w:noProof/>
                <w:sz w:val="22"/>
                <w:szCs w:val="22"/>
                <w:lang w:val="en-GB" w:eastAsia="en-GB"/>
              </w:rPr>
              <w:tab/>
            </w:r>
            <w:r w:rsidR="008B50C0" w:rsidRPr="00A86862">
              <w:rPr>
                <w:rStyle w:val="Hyperlink"/>
                <w:noProof/>
              </w:rPr>
              <w:t>ICT Infrastructure</w:t>
            </w:r>
            <w:r w:rsidR="008B50C0">
              <w:rPr>
                <w:noProof/>
                <w:webHidden/>
              </w:rPr>
              <w:tab/>
            </w:r>
            <w:r w:rsidR="008B50C0">
              <w:rPr>
                <w:noProof/>
                <w:webHidden/>
              </w:rPr>
              <w:fldChar w:fldCharType="begin"/>
            </w:r>
            <w:r w:rsidR="008B50C0">
              <w:rPr>
                <w:noProof/>
                <w:webHidden/>
              </w:rPr>
              <w:instrText xml:space="preserve"> PAGEREF _Toc396913805 \h </w:instrText>
            </w:r>
            <w:r w:rsidR="008B50C0">
              <w:rPr>
                <w:noProof/>
                <w:webHidden/>
              </w:rPr>
            </w:r>
            <w:r w:rsidR="008B50C0">
              <w:rPr>
                <w:noProof/>
                <w:webHidden/>
              </w:rPr>
              <w:fldChar w:fldCharType="separate"/>
            </w:r>
            <w:r w:rsidR="008B50C0">
              <w:rPr>
                <w:noProof/>
                <w:webHidden/>
              </w:rPr>
              <w:t>91</w:t>
            </w:r>
            <w:r w:rsidR="008B50C0">
              <w:rPr>
                <w:noProof/>
                <w:webHidden/>
              </w:rPr>
              <w:fldChar w:fldCharType="end"/>
            </w:r>
          </w:hyperlink>
        </w:p>
        <w:p w14:paraId="08E05220" w14:textId="77777777" w:rsidR="008B50C0" w:rsidRDefault="00EC2170">
          <w:pPr>
            <w:pStyle w:val="TOC3"/>
            <w:tabs>
              <w:tab w:val="left" w:pos="1100"/>
              <w:tab w:val="right" w:leader="dot" w:pos="9017"/>
            </w:tabs>
            <w:rPr>
              <w:rFonts w:eastAsiaTheme="minorEastAsia" w:cstheme="minorBidi"/>
              <w:i w:val="0"/>
              <w:iCs w:val="0"/>
              <w:noProof/>
              <w:sz w:val="22"/>
              <w:szCs w:val="22"/>
              <w:lang w:val="en-GB" w:eastAsia="en-GB"/>
            </w:rPr>
          </w:pPr>
          <w:hyperlink w:anchor="_Toc396913806" w:history="1">
            <w:r w:rsidR="008B50C0" w:rsidRPr="00A86862">
              <w:rPr>
                <w:rStyle w:val="Hyperlink"/>
                <w:noProof/>
              </w:rPr>
              <w:t>3.9.7</w:t>
            </w:r>
            <w:r w:rsidR="008B50C0">
              <w:rPr>
                <w:rFonts w:eastAsiaTheme="minorEastAsia" w:cstheme="minorBidi"/>
                <w:i w:val="0"/>
                <w:iCs w:val="0"/>
                <w:noProof/>
                <w:sz w:val="22"/>
                <w:szCs w:val="22"/>
                <w:lang w:val="en-GB" w:eastAsia="en-GB"/>
              </w:rPr>
              <w:tab/>
            </w:r>
            <w:r w:rsidR="008B50C0" w:rsidRPr="00A86862">
              <w:rPr>
                <w:rStyle w:val="Hyperlink"/>
                <w:noProof/>
              </w:rPr>
              <w:t>Internal and Horizontal Activities</w:t>
            </w:r>
            <w:r w:rsidR="008B50C0">
              <w:rPr>
                <w:noProof/>
                <w:webHidden/>
              </w:rPr>
              <w:tab/>
            </w:r>
            <w:r w:rsidR="008B50C0">
              <w:rPr>
                <w:noProof/>
                <w:webHidden/>
              </w:rPr>
              <w:fldChar w:fldCharType="begin"/>
            </w:r>
            <w:r w:rsidR="008B50C0">
              <w:rPr>
                <w:noProof/>
                <w:webHidden/>
              </w:rPr>
              <w:instrText xml:space="preserve"> PAGEREF _Toc396913806 \h </w:instrText>
            </w:r>
            <w:r w:rsidR="008B50C0">
              <w:rPr>
                <w:noProof/>
                <w:webHidden/>
              </w:rPr>
            </w:r>
            <w:r w:rsidR="008B50C0">
              <w:rPr>
                <w:noProof/>
                <w:webHidden/>
              </w:rPr>
              <w:fldChar w:fldCharType="separate"/>
            </w:r>
            <w:r w:rsidR="008B50C0">
              <w:rPr>
                <w:noProof/>
                <w:webHidden/>
              </w:rPr>
              <w:t>92</w:t>
            </w:r>
            <w:r w:rsidR="008B50C0">
              <w:rPr>
                <w:noProof/>
                <w:webHidden/>
              </w:rPr>
              <w:fldChar w:fldCharType="end"/>
            </w:r>
          </w:hyperlink>
        </w:p>
        <w:p w14:paraId="20BB53F8"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07" w:history="1">
            <w:r w:rsidR="008B50C0" w:rsidRPr="00A86862">
              <w:rPr>
                <w:rStyle w:val="Hyperlink"/>
                <w:noProof/>
              </w:rPr>
              <w:t>annex I: 2015 rESOURCE ALLOCATION PER ACTIVITY</w:t>
            </w:r>
            <w:r w:rsidR="008B50C0">
              <w:rPr>
                <w:noProof/>
                <w:webHidden/>
              </w:rPr>
              <w:tab/>
            </w:r>
            <w:r w:rsidR="008B50C0">
              <w:rPr>
                <w:noProof/>
                <w:webHidden/>
              </w:rPr>
              <w:fldChar w:fldCharType="begin"/>
            </w:r>
            <w:r w:rsidR="008B50C0">
              <w:rPr>
                <w:noProof/>
                <w:webHidden/>
              </w:rPr>
              <w:instrText xml:space="preserve"> PAGEREF _Toc396913807 \h </w:instrText>
            </w:r>
            <w:r w:rsidR="008B50C0">
              <w:rPr>
                <w:noProof/>
                <w:webHidden/>
              </w:rPr>
            </w:r>
            <w:r w:rsidR="008B50C0">
              <w:rPr>
                <w:noProof/>
                <w:webHidden/>
              </w:rPr>
              <w:fldChar w:fldCharType="separate"/>
            </w:r>
            <w:r w:rsidR="008B50C0">
              <w:rPr>
                <w:noProof/>
                <w:webHidden/>
              </w:rPr>
              <w:t>94</w:t>
            </w:r>
            <w:r w:rsidR="008B50C0">
              <w:rPr>
                <w:noProof/>
                <w:webHidden/>
              </w:rPr>
              <w:fldChar w:fldCharType="end"/>
            </w:r>
          </w:hyperlink>
        </w:p>
        <w:p w14:paraId="4D91095D"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08" w:history="1">
            <w:r w:rsidR="008B50C0" w:rsidRPr="00A86862">
              <w:rPr>
                <w:rStyle w:val="Hyperlink"/>
                <w:noProof/>
              </w:rPr>
              <w:t>ANNEX II: Financial Resources</w:t>
            </w:r>
            <w:r w:rsidR="008B50C0">
              <w:rPr>
                <w:noProof/>
                <w:webHidden/>
              </w:rPr>
              <w:tab/>
            </w:r>
            <w:r w:rsidR="008B50C0">
              <w:rPr>
                <w:noProof/>
                <w:webHidden/>
              </w:rPr>
              <w:fldChar w:fldCharType="begin"/>
            </w:r>
            <w:r w:rsidR="008B50C0">
              <w:rPr>
                <w:noProof/>
                <w:webHidden/>
              </w:rPr>
              <w:instrText xml:space="preserve"> PAGEREF _Toc396913808 \h </w:instrText>
            </w:r>
            <w:r w:rsidR="008B50C0">
              <w:rPr>
                <w:noProof/>
                <w:webHidden/>
              </w:rPr>
            </w:r>
            <w:r w:rsidR="008B50C0">
              <w:rPr>
                <w:noProof/>
                <w:webHidden/>
              </w:rPr>
              <w:fldChar w:fldCharType="separate"/>
            </w:r>
            <w:r w:rsidR="008B50C0">
              <w:rPr>
                <w:noProof/>
                <w:webHidden/>
              </w:rPr>
              <w:t>96</w:t>
            </w:r>
            <w:r w:rsidR="008B50C0">
              <w:rPr>
                <w:noProof/>
                <w:webHidden/>
              </w:rPr>
              <w:fldChar w:fldCharType="end"/>
            </w:r>
          </w:hyperlink>
        </w:p>
        <w:p w14:paraId="50211E6F"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09" w:history="1">
            <w:r w:rsidR="008B50C0" w:rsidRPr="00A86862">
              <w:rPr>
                <w:rStyle w:val="Hyperlink"/>
                <w:noProof/>
              </w:rPr>
              <w:t>Table 1 – Expenditure</w:t>
            </w:r>
            <w:r w:rsidR="008B50C0">
              <w:rPr>
                <w:noProof/>
                <w:webHidden/>
              </w:rPr>
              <w:tab/>
            </w:r>
            <w:r w:rsidR="008B50C0">
              <w:rPr>
                <w:noProof/>
                <w:webHidden/>
              </w:rPr>
              <w:fldChar w:fldCharType="begin"/>
            </w:r>
            <w:r w:rsidR="008B50C0">
              <w:rPr>
                <w:noProof/>
                <w:webHidden/>
              </w:rPr>
              <w:instrText xml:space="preserve"> PAGEREF _Toc396913809 \h </w:instrText>
            </w:r>
            <w:r w:rsidR="008B50C0">
              <w:rPr>
                <w:noProof/>
                <w:webHidden/>
              </w:rPr>
            </w:r>
            <w:r w:rsidR="008B50C0">
              <w:rPr>
                <w:noProof/>
                <w:webHidden/>
              </w:rPr>
              <w:fldChar w:fldCharType="separate"/>
            </w:r>
            <w:r w:rsidR="008B50C0">
              <w:rPr>
                <w:noProof/>
                <w:webHidden/>
              </w:rPr>
              <w:t>96</w:t>
            </w:r>
            <w:r w:rsidR="008B50C0">
              <w:rPr>
                <w:noProof/>
                <w:webHidden/>
              </w:rPr>
              <w:fldChar w:fldCharType="end"/>
            </w:r>
          </w:hyperlink>
        </w:p>
        <w:p w14:paraId="21996683"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10" w:history="1">
            <w:r w:rsidR="008B50C0" w:rsidRPr="00A86862">
              <w:rPr>
                <w:rStyle w:val="Hyperlink"/>
                <w:noProof/>
                <w:lang w:eastAsia="en-GB"/>
              </w:rPr>
              <w:t>Table 2 – Revenue</w:t>
            </w:r>
            <w:r w:rsidR="008B50C0">
              <w:rPr>
                <w:noProof/>
                <w:webHidden/>
              </w:rPr>
              <w:tab/>
            </w:r>
            <w:r w:rsidR="008B50C0">
              <w:rPr>
                <w:noProof/>
                <w:webHidden/>
              </w:rPr>
              <w:fldChar w:fldCharType="begin"/>
            </w:r>
            <w:r w:rsidR="008B50C0">
              <w:rPr>
                <w:noProof/>
                <w:webHidden/>
              </w:rPr>
              <w:instrText xml:space="preserve"> PAGEREF _Toc396913810 \h </w:instrText>
            </w:r>
            <w:r w:rsidR="008B50C0">
              <w:rPr>
                <w:noProof/>
                <w:webHidden/>
              </w:rPr>
            </w:r>
            <w:r w:rsidR="008B50C0">
              <w:rPr>
                <w:noProof/>
                <w:webHidden/>
              </w:rPr>
              <w:fldChar w:fldCharType="separate"/>
            </w:r>
            <w:r w:rsidR="008B50C0">
              <w:rPr>
                <w:noProof/>
                <w:webHidden/>
              </w:rPr>
              <w:t>97</w:t>
            </w:r>
            <w:r w:rsidR="008B50C0">
              <w:rPr>
                <w:noProof/>
                <w:webHidden/>
              </w:rPr>
              <w:fldChar w:fldCharType="end"/>
            </w:r>
          </w:hyperlink>
        </w:p>
        <w:p w14:paraId="14FE6F6F"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11" w:history="1">
            <w:r w:rsidR="008B50C0" w:rsidRPr="00A86862">
              <w:rPr>
                <w:rStyle w:val="Hyperlink"/>
                <w:noProof/>
                <w:lang w:eastAsia="en-GB"/>
              </w:rPr>
              <w:t>Table 3 - Budget outturn and cancellation of appropriations</w:t>
            </w:r>
            <w:r w:rsidR="008B50C0">
              <w:rPr>
                <w:noProof/>
                <w:webHidden/>
              </w:rPr>
              <w:tab/>
            </w:r>
            <w:r w:rsidR="008B50C0">
              <w:rPr>
                <w:noProof/>
                <w:webHidden/>
              </w:rPr>
              <w:fldChar w:fldCharType="begin"/>
            </w:r>
            <w:r w:rsidR="008B50C0">
              <w:rPr>
                <w:noProof/>
                <w:webHidden/>
              </w:rPr>
              <w:instrText xml:space="preserve"> PAGEREF _Toc396913811 \h </w:instrText>
            </w:r>
            <w:r w:rsidR="008B50C0">
              <w:rPr>
                <w:noProof/>
                <w:webHidden/>
              </w:rPr>
            </w:r>
            <w:r w:rsidR="008B50C0">
              <w:rPr>
                <w:noProof/>
                <w:webHidden/>
              </w:rPr>
              <w:fldChar w:fldCharType="separate"/>
            </w:r>
            <w:r w:rsidR="008B50C0">
              <w:rPr>
                <w:noProof/>
                <w:webHidden/>
              </w:rPr>
              <w:t>98</w:t>
            </w:r>
            <w:r w:rsidR="008B50C0">
              <w:rPr>
                <w:noProof/>
                <w:webHidden/>
              </w:rPr>
              <w:fldChar w:fldCharType="end"/>
            </w:r>
          </w:hyperlink>
        </w:p>
        <w:p w14:paraId="00059F83"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12" w:history="1">
            <w:r w:rsidR="008B50C0" w:rsidRPr="00A86862">
              <w:rPr>
                <w:rStyle w:val="Hyperlink"/>
                <w:noProof/>
              </w:rPr>
              <w:t>ANNEX III: Human resources</w:t>
            </w:r>
            <w:r w:rsidR="008B50C0">
              <w:rPr>
                <w:noProof/>
                <w:webHidden/>
              </w:rPr>
              <w:tab/>
            </w:r>
            <w:r w:rsidR="008B50C0">
              <w:rPr>
                <w:noProof/>
                <w:webHidden/>
              </w:rPr>
              <w:fldChar w:fldCharType="begin"/>
            </w:r>
            <w:r w:rsidR="008B50C0">
              <w:rPr>
                <w:noProof/>
                <w:webHidden/>
              </w:rPr>
              <w:instrText xml:space="preserve"> PAGEREF _Toc396913812 \h </w:instrText>
            </w:r>
            <w:r w:rsidR="008B50C0">
              <w:rPr>
                <w:noProof/>
                <w:webHidden/>
              </w:rPr>
            </w:r>
            <w:r w:rsidR="008B50C0">
              <w:rPr>
                <w:noProof/>
                <w:webHidden/>
              </w:rPr>
              <w:fldChar w:fldCharType="separate"/>
            </w:r>
            <w:r w:rsidR="008B50C0">
              <w:rPr>
                <w:noProof/>
                <w:webHidden/>
              </w:rPr>
              <w:t>99</w:t>
            </w:r>
            <w:r w:rsidR="008B50C0">
              <w:rPr>
                <w:noProof/>
                <w:webHidden/>
              </w:rPr>
              <w:fldChar w:fldCharType="end"/>
            </w:r>
          </w:hyperlink>
        </w:p>
        <w:p w14:paraId="72C5222E"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13" w:history="1">
            <w:r w:rsidR="008B50C0" w:rsidRPr="00A86862">
              <w:rPr>
                <w:rStyle w:val="Hyperlink"/>
                <w:noProof/>
                <w:lang w:eastAsia="en-GB"/>
              </w:rPr>
              <w:t>Table 1 - Staff population and its evolution; Overview of all categories</w:t>
            </w:r>
            <w:r w:rsidR="008B50C0">
              <w:rPr>
                <w:noProof/>
                <w:webHidden/>
              </w:rPr>
              <w:tab/>
            </w:r>
            <w:r w:rsidR="008B50C0">
              <w:rPr>
                <w:noProof/>
                <w:webHidden/>
              </w:rPr>
              <w:fldChar w:fldCharType="begin"/>
            </w:r>
            <w:r w:rsidR="008B50C0">
              <w:rPr>
                <w:noProof/>
                <w:webHidden/>
              </w:rPr>
              <w:instrText xml:space="preserve"> PAGEREF _Toc396913813 \h </w:instrText>
            </w:r>
            <w:r w:rsidR="008B50C0">
              <w:rPr>
                <w:noProof/>
                <w:webHidden/>
              </w:rPr>
            </w:r>
            <w:r w:rsidR="008B50C0">
              <w:rPr>
                <w:noProof/>
                <w:webHidden/>
              </w:rPr>
              <w:fldChar w:fldCharType="separate"/>
            </w:r>
            <w:r w:rsidR="008B50C0">
              <w:rPr>
                <w:noProof/>
                <w:webHidden/>
              </w:rPr>
              <w:t>99</w:t>
            </w:r>
            <w:r w:rsidR="008B50C0">
              <w:rPr>
                <w:noProof/>
                <w:webHidden/>
              </w:rPr>
              <w:fldChar w:fldCharType="end"/>
            </w:r>
          </w:hyperlink>
        </w:p>
        <w:p w14:paraId="0FBD2465"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14" w:history="1">
            <w:r w:rsidR="008B50C0" w:rsidRPr="00A86862">
              <w:rPr>
                <w:rStyle w:val="Hyperlink"/>
                <w:noProof/>
                <w:lang w:eastAsia="en-GB"/>
              </w:rPr>
              <w:t>Table 2 - Multi-annual staff policy plan Year N+1-Year N+3</w:t>
            </w:r>
            <w:r w:rsidR="008B50C0">
              <w:rPr>
                <w:noProof/>
                <w:webHidden/>
              </w:rPr>
              <w:tab/>
            </w:r>
            <w:r w:rsidR="008B50C0">
              <w:rPr>
                <w:noProof/>
                <w:webHidden/>
              </w:rPr>
              <w:fldChar w:fldCharType="begin"/>
            </w:r>
            <w:r w:rsidR="008B50C0">
              <w:rPr>
                <w:noProof/>
                <w:webHidden/>
              </w:rPr>
              <w:instrText xml:space="preserve"> PAGEREF _Toc396913814 \h </w:instrText>
            </w:r>
            <w:r w:rsidR="008B50C0">
              <w:rPr>
                <w:noProof/>
                <w:webHidden/>
              </w:rPr>
            </w:r>
            <w:r w:rsidR="008B50C0">
              <w:rPr>
                <w:noProof/>
                <w:webHidden/>
              </w:rPr>
              <w:fldChar w:fldCharType="separate"/>
            </w:r>
            <w:r w:rsidR="008B50C0">
              <w:rPr>
                <w:noProof/>
                <w:webHidden/>
              </w:rPr>
              <w:t>100</w:t>
            </w:r>
            <w:r w:rsidR="008B50C0">
              <w:rPr>
                <w:noProof/>
                <w:webHidden/>
              </w:rPr>
              <w:fldChar w:fldCharType="end"/>
            </w:r>
          </w:hyperlink>
        </w:p>
        <w:p w14:paraId="6629E452"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15" w:history="1">
            <w:r w:rsidR="008B50C0" w:rsidRPr="00A86862">
              <w:rPr>
                <w:rStyle w:val="Hyperlink"/>
                <w:noProof/>
              </w:rPr>
              <w:t>Annex IV: recruitment, appraisal and staff matters</w:t>
            </w:r>
            <w:r w:rsidR="008B50C0">
              <w:rPr>
                <w:noProof/>
                <w:webHidden/>
              </w:rPr>
              <w:tab/>
            </w:r>
            <w:r w:rsidR="008B50C0">
              <w:rPr>
                <w:noProof/>
                <w:webHidden/>
              </w:rPr>
              <w:fldChar w:fldCharType="begin"/>
            </w:r>
            <w:r w:rsidR="008B50C0">
              <w:rPr>
                <w:noProof/>
                <w:webHidden/>
              </w:rPr>
              <w:instrText xml:space="preserve"> PAGEREF _Toc396913815 \h </w:instrText>
            </w:r>
            <w:r w:rsidR="008B50C0">
              <w:rPr>
                <w:noProof/>
                <w:webHidden/>
              </w:rPr>
            </w:r>
            <w:r w:rsidR="008B50C0">
              <w:rPr>
                <w:noProof/>
                <w:webHidden/>
              </w:rPr>
              <w:fldChar w:fldCharType="separate"/>
            </w:r>
            <w:r w:rsidR="008B50C0">
              <w:rPr>
                <w:noProof/>
                <w:webHidden/>
              </w:rPr>
              <w:t>102</w:t>
            </w:r>
            <w:r w:rsidR="008B50C0">
              <w:rPr>
                <w:noProof/>
                <w:webHidden/>
              </w:rPr>
              <w:fldChar w:fldCharType="end"/>
            </w:r>
          </w:hyperlink>
        </w:p>
        <w:p w14:paraId="70290F61"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16" w:history="1">
            <w:r w:rsidR="008B50C0" w:rsidRPr="00A86862">
              <w:rPr>
                <w:rStyle w:val="Hyperlink"/>
                <w:noProof/>
                <w:lang w:eastAsia="en-GB"/>
              </w:rPr>
              <w:t>A. Recruitment policy</w:t>
            </w:r>
            <w:r w:rsidR="008B50C0">
              <w:rPr>
                <w:noProof/>
                <w:webHidden/>
              </w:rPr>
              <w:tab/>
            </w:r>
            <w:r w:rsidR="008B50C0">
              <w:rPr>
                <w:noProof/>
                <w:webHidden/>
              </w:rPr>
              <w:fldChar w:fldCharType="begin"/>
            </w:r>
            <w:r w:rsidR="008B50C0">
              <w:rPr>
                <w:noProof/>
                <w:webHidden/>
              </w:rPr>
              <w:instrText xml:space="preserve"> PAGEREF _Toc396913816 \h </w:instrText>
            </w:r>
            <w:r w:rsidR="008B50C0">
              <w:rPr>
                <w:noProof/>
                <w:webHidden/>
              </w:rPr>
            </w:r>
            <w:r w:rsidR="008B50C0">
              <w:rPr>
                <w:noProof/>
                <w:webHidden/>
              </w:rPr>
              <w:fldChar w:fldCharType="separate"/>
            </w:r>
            <w:r w:rsidR="008B50C0">
              <w:rPr>
                <w:noProof/>
                <w:webHidden/>
              </w:rPr>
              <w:t>102</w:t>
            </w:r>
            <w:r w:rsidR="008B50C0">
              <w:rPr>
                <w:noProof/>
                <w:webHidden/>
              </w:rPr>
              <w:fldChar w:fldCharType="end"/>
            </w:r>
          </w:hyperlink>
        </w:p>
        <w:p w14:paraId="723FE429"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817" w:history="1">
            <w:r w:rsidR="008B50C0" w:rsidRPr="00A86862">
              <w:rPr>
                <w:rStyle w:val="Hyperlink"/>
                <w:rFonts w:ascii="Times New Roman" w:hAnsi="Times New Roman"/>
                <w:i/>
                <w:noProof/>
                <w:lang w:val="en-GB"/>
              </w:rPr>
              <w:t>1.</w:t>
            </w:r>
            <w:r w:rsidR="008B50C0">
              <w:rPr>
                <w:rFonts w:eastAsiaTheme="minorEastAsia" w:cstheme="minorBidi"/>
                <w:b w:val="0"/>
                <w:bCs w:val="0"/>
                <w:caps w:val="0"/>
                <w:noProof/>
                <w:sz w:val="22"/>
                <w:szCs w:val="22"/>
                <w:lang w:val="en-GB" w:eastAsia="en-GB"/>
              </w:rPr>
              <w:tab/>
            </w:r>
            <w:r w:rsidR="008B50C0" w:rsidRPr="00A86862">
              <w:rPr>
                <w:rStyle w:val="Hyperlink"/>
                <w:rFonts w:ascii="Times New Roman" w:hAnsi="Times New Roman"/>
                <w:i/>
                <w:noProof/>
                <w:lang w:val="en-GB"/>
              </w:rPr>
              <w:t>Recruitment of temporary and contract agents</w:t>
            </w:r>
            <w:r w:rsidR="008B50C0">
              <w:rPr>
                <w:noProof/>
                <w:webHidden/>
              </w:rPr>
              <w:tab/>
            </w:r>
            <w:r w:rsidR="008B50C0">
              <w:rPr>
                <w:noProof/>
                <w:webHidden/>
              </w:rPr>
              <w:fldChar w:fldCharType="begin"/>
            </w:r>
            <w:r w:rsidR="008B50C0">
              <w:rPr>
                <w:noProof/>
                <w:webHidden/>
              </w:rPr>
              <w:instrText xml:space="preserve"> PAGEREF _Toc396913817 \h </w:instrText>
            </w:r>
            <w:r w:rsidR="008B50C0">
              <w:rPr>
                <w:noProof/>
                <w:webHidden/>
              </w:rPr>
            </w:r>
            <w:r w:rsidR="008B50C0">
              <w:rPr>
                <w:noProof/>
                <w:webHidden/>
              </w:rPr>
              <w:fldChar w:fldCharType="separate"/>
            </w:r>
            <w:r w:rsidR="008B50C0">
              <w:rPr>
                <w:noProof/>
                <w:webHidden/>
              </w:rPr>
              <w:t>102</w:t>
            </w:r>
            <w:r w:rsidR="008B50C0">
              <w:rPr>
                <w:noProof/>
                <w:webHidden/>
              </w:rPr>
              <w:fldChar w:fldCharType="end"/>
            </w:r>
          </w:hyperlink>
        </w:p>
        <w:p w14:paraId="1820F6B4"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818" w:history="1">
            <w:r w:rsidR="008B50C0" w:rsidRPr="00A86862">
              <w:rPr>
                <w:rStyle w:val="Hyperlink"/>
                <w:rFonts w:ascii="Times New Roman" w:hAnsi="Times New Roman"/>
                <w:i/>
                <w:noProof/>
                <w:lang w:val="en-GB"/>
              </w:rPr>
              <w:t>2.</w:t>
            </w:r>
            <w:r w:rsidR="008B50C0">
              <w:rPr>
                <w:rFonts w:eastAsiaTheme="minorEastAsia" w:cstheme="minorBidi"/>
                <w:b w:val="0"/>
                <w:bCs w:val="0"/>
                <w:caps w:val="0"/>
                <w:noProof/>
                <w:sz w:val="22"/>
                <w:szCs w:val="22"/>
                <w:lang w:val="en-GB" w:eastAsia="en-GB"/>
              </w:rPr>
              <w:tab/>
            </w:r>
            <w:r w:rsidR="008B50C0" w:rsidRPr="00A86862">
              <w:rPr>
                <w:rStyle w:val="Hyperlink"/>
                <w:rFonts w:ascii="Times New Roman" w:hAnsi="Times New Roman"/>
                <w:i/>
                <w:noProof/>
                <w:lang w:val="en-GB"/>
              </w:rPr>
              <w:t>Selection procedures</w:t>
            </w:r>
            <w:r w:rsidR="008B50C0">
              <w:rPr>
                <w:noProof/>
                <w:webHidden/>
              </w:rPr>
              <w:tab/>
            </w:r>
            <w:r w:rsidR="008B50C0">
              <w:rPr>
                <w:noProof/>
                <w:webHidden/>
              </w:rPr>
              <w:fldChar w:fldCharType="begin"/>
            </w:r>
            <w:r w:rsidR="008B50C0">
              <w:rPr>
                <w:noProof/>
                <w:webHidden/>
              </w:rPr>
              <w:instrText xml:space="preserve"> PAGEREF _Toc396913818 \h </w:instrText>
            </w:r>
            <w:r w:rsidR="008B50C0">
              <w:rPr>
                <w:noProof/>
                <w:webHidden/>
              </w:rPr>
            </w:r>
            <w:r w:rsidR="008B50C0">
              <w:rPr>
                <w:noProof/>
                <w:webHidden/>
              </w:rPr>
              <w:fldChar w:fldCharType="separate"/>
            </w:r>
            <w:r w:rsidR="008B50C0">
              <w:rPr>
                <w:noProof/>
                <w:webHidden/>
              </w:rPr>
              <w:t>102</w:t>
            </w:r>
            <w:r w:rsidR="008B50C0">
              <w:rPr>
                <w:noProof/>
                <w:webHidden/>
              </w:rPr>
              <w:fldChar w:fldCharType="end"/>
            </w:r>
          </w:hyperlink>
        </w:p>
        <w:p w14:paraId="43A509F8"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819" w:history="1">
            <w:r w:rsidR="008B50C0" w:rsidRPr="00A86862">
              <w:rPr>
                <w:rStyle w:val="Hyperlink"/>
                <w:rFonts w:ascii="Times New Roman" w:hAnsi="Times New Roman"/>
                <w:i/>
                <w:noProof/>
                <w:lang w:val="en-GB"/>
              </w:rPr>
              <w:t>3.</w:t>
            </w:r>
            <w:r w:rsidR="008B50C0">
              <w:rPr>
                <w:rFonts w:eastAsiaTheme="minorEastAsia" w:cstheme="minorBidi"/>
                <w:b w:val="0"/>
                <w:bCs w:val="0"/>
                <w:caps w:val="0"/>
                <w:noProof/>
                <w:sz w:val="22"/>
                <w:szCs w:val="22"/>
                <w:lang w:val="en-GB" w:eastAsia="en-GB"/>
              </w:rPr>
              <w:tab/>
            </w:r>
            <w:r w:rsidR="008B50C0" w:rsidRPr="00A86862">
              <w:rPr>
                <w:rStyle w:val="Hyperlink"/>
                <w:rFonts w:ascii="Times New Roman" w:hAnsi="Times New Roman"/>
                <w:i/>
                <w:noProof/>
                <w:lang w:val="en-GB"/>
              </w:rPr>
              <w:t>Grade and function group corresponding to the tasks and to the level of the post</w:t>
            </w:r>
            <w:r w:rsidR="008B50C0">
              <w:rPr>
                <w:noProof/>
                <w:webHidden/>
              </w:rPr>
              <w:tab/>
            </w:r>
            <w:r w:rsidR="008B50C0">
              <w:rPr>
                <w:noProof/>
                <w:webHidden/>
              </w:rPr>
              <w:fldChar w:fldCharType="begin"/>
            </w:r>
            <w:r w:rsidR="008B50C0">
              <w:rPr>
                <w:noProof/>
                <w:webHidden/>
              </w:rPr>
              <w:instrText xml:space="preserve"> PAGEREF _Toc396913819 \h </w:instrText>
            </w:r>
            <w:r w:rsidR="008B50C0">
              <w:rPr>
                <w:noProof/>
                <w:webHidden/>
              </w:rPr>
            </w:r>
            <w:r w:rsidR="008B50C0">
              <w:rPr>
                <w:noProof/>
                <w:webHidden/>
              </w:rPr>
              <w:fldChar w:fldCharType="separate"/>
            </w:r>
            <w:r w:rsidR="008B50C0">
              <w:rPr>
                <w:noProof/>
                <w:webHidden/>
              </w:rPr>
              <w:t>103</w:t>
            </w:r>
            <w:r w:rsidR="008B50C0">
              <w:rPr>
                <w:noProof/>
                <w:webHidden/>
              </w:rPr>
              <w:fldChar w:fldCharType="end"/>
            </w:r>
          </w:hyperlink>
        </w:p>
        <w:p w14:paraId="2D7C39E0"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820" w:history="1">
            <w:r w:rsidR="008B50C0" w:rsidRPr="00A86862">
              <w:rPr>
                <w:rStyle w:val="Hyperlink"/>
                <w:rFonts w:ascii="Times New Roman" w:hAnsi="Times New Roman"/>
                <w:i/>
                <w:noProof/>
                <w:lang w:val="en-GB"/>
              </w:rPr>
              <w:t>4.</w:t>
            </w:r>
            <w:r w:rsidR="008B50C0">
              <w:rPr>
                <w:rFonts w:eastAsiaTheme="minorEastAsia" w:cstheme="minorBidi"/>
                <w:b w:val="0"/>
                <w:bCs w:val="0"/>
                <w:caps w:val="0"/>
                <w:noProof/>
                <w:sz w:val="22"/>
                <w:szCs w:val="22"/>
                <w:lang w:val="en-GB" w:eastAsia="en-GB"/>
              </w:rPr>
              <w:tab/>
            </w:r>
            <w:r w:rsidR="008B50C0" w:rsidRPr="00A86862">
              <w:rPr>
                <w:rStyle w:val="Hyperlink"/>
                <w:rFonts w:ascii="Times New Roman" w:hAnsi="Times New Roman"/>
                <w:i/>
                <w:noProof/>
                <w:lang w:val="en-GB"/>
              </w:rPr>
              <w:t>Duration of employment</w:t>
            </w:r>
            <w:r w:rsidR="008B50C0">
              <w:rPr>
                <w:noProof/>
                <w:webHidden/>
              </w:rPr>
              <w:tab/>
            </w:r>
            <w:r w:rsidR="008B50C0">
              <w:rPr>
                <w:noProof/>
                <w:webHidden/>
              </w:rPr>
              <w:fldChar w:fldCharType="begin"/>
            </w:r>
            <w:r w:rsidR="008B50C0">
              <w:rPr>
                <w:noProof/>
                <w:webHidden/>
              </w:rPr>
              <w:instrText xml:space="preserve"> PAGEREF _Toc396913820 \h </w:instrText>
            </w:r>
            <w:r w:rsidR="008B50C0">
              <w:rPr>
                <w:noProof/>
                <w:webHidden/>
              </w:rPr>
            </w:r>
            <w:r w:rsidR="008B50C0">
              <w:rPr>
                <w:noProof/>
                <w:webHidden/>
              </w:rPr>
              <w:fldChar w:fldCharType="separate"/>
            </w:r>
            <w:r w:rsidR="008B50C0">
              <w:rPr>
                <w:noProof/>
                <w:webHidden/>
              </w:rPr>
              <w:t>103</w:t>
            </w:r>
            <w:r w:rsidR="008B50C0">
              <w:rPr>
                <w:noProof/>
                <w:webHidden/>
              </w:rPr>
              <w:fldChar w:fldCharType="end"/>
            </w:r>
          </w:hyperlink>
        </w:p>
        <w:p w14:paraId="11C5047E" w14:textId="77777777" w:rsidR="008B50C0" w:rsidRDefault="00EC2170">
          <w:pPr>
            <w:pStyle w:val="TOC1"/>
            <w:tabs>
              <w:tab w:val="left" w:pos="440"/>
              <w:tab w:val="right" w:leader="dot" w:pos="9017"/>
            </w:tabs>
            <w:rPr>
              <w:rFonts w:eastAsiaTheme="minorEastAsia" w:cstheme="minorBidi"/>
              <w:b w:val="0"/>
              <w:bCs w:val="0"/>
              <w:caps w:val="0"/>
              <w:noProof/>
              <w:sz w:val="22"/>
              <w:szCs w:val="22"/>
              <w:lang w:val="en-GB" w:eastAsia="en-GB"/>
            </w:rPr>
          </w:pPr>
          <w:hyperlink w:anchor="_Toc396913821" w:history="1">
            <w:r w:rsidR="008B50C0" w:rsidRPr="00A86862">
              <w:rPr>
                <w:rStyle w:val="Hyperlink"/>
                <w:rFonts w:ascii="Times New Roman" w:hAnsi="Times New Roman"/>
                <w:i/>
                <w:noProof/>
                <w:lang w:val="en-GB"/>
              </w:rPr>
              <w:t>5.</w:t>
            </w:r>
            <w:r w:rsidR="008B50C0">
              <w:rPr>
                <w:rFonts w:eastAsiaTheme="minorEastAsia" w:cstheme="minorBidi"/>
                <w:b w:val="0"/>
                <w:bCs w:val="0"/>
                <w:caps w:val="0"/>
                <w:noProof/>
                <w:sz w:val="22"/>
                <w:szCs w:val="22"/>
                <w:lang w:val="en-GB" w:eastAsia="en-GB"/>
              </w:rPr>
              <w:tab/>
            </w:r>
            <w:r w:rsidR="008B50C0" w:rsidRPr="00A86862">
              <w:rPr>
                <w:rStyle w:val="Hyperlink"/>
                <w:rFonts w:ascii="Times New Roman" w:hAnsi="Times New Roman"/>
                <w:i/>
                <w:noProof/>
                <w:lang w:val="en-GB"/>
              </w:rPr>
              <w:t>Rules on the secondment of the national experts (SNE) to the Agency</w:t>
            </w:r>
            <w:r w:rsidR="008B50C0">
              <w:rPr>
                <w:noProof/>
                <w:webHidden/>
              </w:rPr>
              <w:tab/>
            </w:r>
            <w:r w:rsidR="008B50C0">
              <w:rPr>
                <w:noProof/>
                <w:webHidden/>
              </w:rPr>
              <w:fldChar w:fldCharType="begin"/>
            </w:r>
            <w:r w:rsidR="008B50C0">
              <w:rPr>
                <w:noProof/>
                <w:webHidden/>
              </w:rPr>
              <w:instrText xml:space="preserve"> PAGEREF _Toc396913821 \h </w:instrText>
            </w:r>
            <w:r w:rsidR="008B50C0">
              <w:rPr>
                <w:noProof/>
                <w:webHidden/>
              </w:rPr>
            </w:r>
            <w:r w:rsidR="008B50C0">
              <w:rPr>
                <w:noProof/>
                <w:webHidden/>
              </w:rPr>
              <w:fldChar w:fldCharType="separate"/>
            </w:r>
            <w:r w:rsidR="008B50C0">
              <w:rPr>
                <w:noProof/>
                <w:webHidden/>
              </w:rPr>
              <w:t>104</w:t>
            </w:r>
            <w:r w:rsidR="008B50C0">
              <w:rPr>
                <w:noProof/>
                <w:webHidden/>
              </w:rPr>
              <w:fldChar w:fldCharType="end"/>
            </w:r>
          </w:hyperlink>
        </w:p>
        <w:p w14:paraId="4E4A1F81"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22" w:history="1">
            <w:r w:rsidR="008B50C0" w:rsidRPr="00A86862">
              <w:rPr>
                <w:rStyle w:val="Hyperlink"/>
                <w:noProof/>
                <w:lang w:eastAsia="en-GB"/>
              </w:rPr>
              <w:t>B. Appraisal of performance and reclassification/promotions</w:t>
            </w:r>
            <w:r w:rsidR="008B50C0">
              <w:rPr>
                <w:noProof/>
                <w:webHidden/>
              </w:rPr>
              <w:tab/>
            </w:r>
            <w:r w:rsidR="008B50C0">
              <w:rPr>
                <w:noProof/>
                <w:webHidden/>
              </w:rPr>
              <w:fldChar w:fldCharType="begin"/>
            </w:r>
            <w:r w:rsidR="008B50C0">
              <w:rPr>
                <w:noProof/>
                <w:webHidden/>
              </w:rPr>
              <w:instrText xml:space="preserve"> PAGEREF _Toc396913822 \h </w:instrText>
            </w:r>
            <w:r w:rsidR="008B50C0">
              <w:rPr>
                <w:noProof/>
                <w:webHidden/>
              </w:rPr>
            </w:r>
            <w:r w:rsidR="008B50C0">
              <w:rPr>
                <w:noProof/>
                <w:webHidden/>
              </w:rPr>
              <w:fldChar w:fldCharType="separate"/>
            </w:r>
            <w:r w:rsidR="008B50C0">
              <w:rPr>
                <w:noProof/>
                <w:webHidden/>
              </w:rPr>
              <w:t>104</w:t>
            </w:r>
            <w:r w:rsidR="008B50C0">
              <w:rPr>
                <w:noProof/>
                <w:webHidden/>
              </w:rPr>
              <w:fldChar w:fldCharType="end"/>
            </w:r>
          </w:hyperlink>
        </w:p>
        <w:p w14:paraId="0CA76784"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23" w:history="1">
            <w:r w:rsidR="008B50C0" w:rsidRPr="00A86862">
              <w:rPr>
                <w:rStyle w:val="Hyperlink"/>
                <w:noProof/>
                <w:lang w:eastAsia="en-GB"/>
              </w:rPr>
              <w:t>C. Mobility policy</w:t>
            </w:r>
            <w:r w:rsidR="008B50C0">
              <w:rPr>
                <w:noProof/>
                <w:webHidden/>
              </w:rPr>
              <w:tab/>
            </w:r>
            <w:r w:rsidR="008B50C0">
              <w:rPr>
                <w:noProof/>
                <w:webHidden/>
              </w:rPr>
              <w:fldChar w:fldCharType="begin"/>
            </w:r>
            <w:r w:rsidR="008B50C0">
              <w:rPr>
                <w:noProof/>
                <w:webHidden/>
              </w:rPr>
              <w:instrText xml:space="preserve"> PAGEREF _Toc396913823 \h </w:instrText>
            </w:r>
            <w:r w:rsidR="008B50C0">
              <w:rPr>
                <w:noProof/>
                <w:webHidden/>
              </w:rPr>
            </w:r>
            <w:r w:rsidR="008B50C0">
              <w:rPr>
                <w:noProof/>
                <w:webHidden/>
              </w:rPr>
              <w:fldChar w:fldCharType="separate"/>
            </w:r>
            <w:r w:rsidR="008B50C0">
              <w:rPr>
                <w:noProof/>
                <w:webHidden/>
              </w:rPr>
              <w:t>105</w:t>
            </w:r>
            <w:r w:rsidR="008B50C0">
              <w:rPr>
                <w:noProof/>
                <w:webHidden/>
              </w:rPr>
              <w:fldChar w:fldCharType="end"/>
            </w:r>
          </w:hyperlink>
        </w:p>
        <w:p w14:paraId="0D3AE9A7"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24" w:history="1">
            <w:r w:rsidR="008B50C0" w:rsidRPr="00A86862">
              <w:rPr>
                <w:rStyle w:val="Hyperlink"/>
                <w:noProof/>
                <w:lang w:eastAsia="en-GB"/>
              </w:rPr>
              <w:t>D. Gender and geographical balance</w:t>
            </w:r>
            <w:r w:rsidR="008B50C0">
              <w:rPr>
                <w:noProof/>
                <w:webHidden/>
              </w:rPr>
              <w:tab/>
            </w:r>
            <w:r w:rsidR="008B50C0">
              <w:rPr>
                <w:noProof/>
                <w:webHidden/>
              </w:rPr>
              <w:fldChar w:fldCharType="begin"/>
            </w:r>
            <w:r w:rsidR="008B50C0">
              <w:rPr>
                <w:noProof/>
                <w:webHidden/>
              </w:rPr>
              <w:instrText xml:space="preserve"> PAGEREF _Toc396913824 \h </w:instrText>
            </w:r>
            <w:r w:rsidR="008B50C0">
              <w:rPr>
                <w:noProof/>
                <w:webHidden/>
              </w:rPr>
            </w:r>
            <w:r w:rsidR="008B50C0">
              <w:rPr>
                <w:noProof/>
                <w:webHidden/>
              </w:rPr>
              <w:fldChar w:fldCharType="separate"/>
            </w:r>
            <w:r w:rsidR="008B50C0">
              <w:rPr>
                <w:noProof/>
                <w:webHidden/>
              </w:rPr>
              <w:t>106</w:t>
            </w:r>
            <w:r w:rsidR="008B50C0">
              <w:rPr>
                <w:noProof/>
                <w:webHidden/>
              </w:rPr>
              <w:fldChar w:fldCharType="end"/>
            </w:r>
          </w:hyperlink>
        </w:p>
        <w:p w14:paraId="28227613" w14:textId="77777777" w:rsidR="008B50C0" w:rsidRDefault="00EC2170">
          <w:pPr>
            <w:pStyle w:val="TOC2"/>
            <w:tabs>
              <w:tab w:val="right" w:leader="dot" w:pos="9017"/>
            </w:tabs>
            <w:rPr>
              <w:rFonts w:eastAsiaTheme="minorEastAsia" w:cstheme="minorBidi"/>
              <w:smallCaps w:val="0"/>
              <w:noProof/>
              <w:sz w:val="22"/>
              <w:szCs w:val="22"/>
              <w:lang w:val="en-GB" w:eastAsia="en-GB"/>
            </w:rPr>
          </w:pPr>
          <w:hyperlink w:anchor="_Toc396913825" w:history="1">
            <w:r w:rsidR="008B50C0" w:rsidRPr="00A86862">
              <w:rPr>
                <w:rStyle w:val="Hyperlink"/>
                <w:noProof/>
                <w:lang w:eastAsia="en-GB"/>
              </w:rPr>
              <w:t>E. Schooling</w:t>
            </w:r>
            <w:r w:rsidR="008B50C0">
              <w:rPr>
                <w:noProof/>
                <w:webHidden/>
              </w:rPr>
              <w:tab/>
            </w:r>
            <w:r w:rsidR="008B50C0">
              <w:rPr>
                <w:noProof/>
                <w:webHidden/>
              </w:rPr>
              <w:fldChar w:fldCharType="begin"/>
            </w:r>
            <w:r w:rsidR="008B50C0">
              <w:rPr>
                <w:noProof/>
                <w:webHidden/>
              </w:rPr>
              <w:instrText xml:space="preserve"> PAGEREF _Toc396913825 \h </w:instrText>
            </w:r>
            <w:r w:rsidR="008B50C0">
              <w:rPr>
                <w:noProof/>
                <w:webHidden/>
              </w:rPr>
            </w:r>
            <w:r w:rsidR="008B50C0">
              <w:rPr>
                <w:noProof/>
                <w:webHidden/>
              </w:rPr>
              <w:fldChar w:fldCharType="separate"/>
            </w:r>
            <w:r w:rsidR="008B50C0">
              <w:rPr>
                <w:noProof/>
                <w:webHidden/>
              </w:rPr>
              <w:t>108</w:t>
            </w:r>
            <w:r w:rsidR="008B50C0">
              <w:rPr>
                <w:noProof/>
                <w:webHidden/>
              </w:rPr>
              <w:fldChar w:fldCharType="end"/>
            </w:r>
          </w:hyperlink>
        </w:p>
        <w:p w14:paraId="4D18788A"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26" w:history="1">
            <w:r w:rsidR="008B50C0" w:rsidRPr="00A86862">
              <w:rPr>
                <w:rStyle w:val="Hyperlink"/>
                <w:noProof/>
              </w:rPr>
              <w:t>Annex V: Buildings</w:t>
            </w:r>
            <w:r w:rsidR="008B50C0">
              <w:rPr>
                <w:noProof/>
                <w:webHidden/>
              </w:rPr>
              <w:tab/>
            </w:r>
            <w:r w:rsidR="008B50C0">
              <w:rPr>
                <w:noProof/>
                <w:webHidden/>
              </w:rPr>
              <w:fldChar w:fldCharType="begin"/>
            </w:r>
            <w:r w:rsidR="008B50C0">
              <w:rPr>
                <w:noProof/>
                <w:webHidden/>
              </w:rPr>
              <w:instrText xml:space="preserve"> PAGEREF _Toc396913826 \h </w:instrText>
            </w:r>
            <w:r w:rsidR="008B50C0">
              <w:rPr>
                <w:noProof/>
                <w:webHidden/>
              </w:rPr>
            </w:r>
            <w:r w:rsidR="008B50C0">
              <w:rPr>
                <w:noProof/>
                <w:webHidden/>
              </w:rPr>
              <w:fldChar w:fldCharType="separate"/>
            </w:r>
            <w:r w:rsidR="008B50C0">
              <w:rPr>
                <w:noProof/>
                <w:webHidden/>
              </w:rPr>
              <w:t>110</w:t>
            </w:r>
            <w:r w:rsidR="008B50C0">
              <w:rPr>
                <w:noProof/>
                <w:webHidden/>
              </w:rPr>
              <w:fldChar w:fldCharType="end"/>
            </w:r>
          </w:hyperlink>
        </w:p>
        <w:p w14:paraId="3ED52478"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27" w:history="1">
            <w:r w:rsidR="008B50C0" w:rsidRPr="00A86862">
              <w:rPr>
                <w:rStyle w:val="Hyperlink"/>
                <w:noProof/>
              </w:rPr>
              <w:t>Annex VI: Privileges and immunities</w:t>
            </w:r>
            <w:r w:rsidR="008B50C0">
              <w:rPr>
                <w:noProof/>
                <w:webHidden/>
              </w:rPr>
              <w:tab/>
            </w:r>
            <w:r w:rsidR="008B50C0">
              <w:rPr>
                <w:noProof/>
                <w:webHidden/>
              </w:rPr>
              <w:fldChar w:fldCharType="begin"/>
            </w:r>
            <w:r w:rsidR="008B50C0">
              <w:rPr>
                <w:noProof/>
                <w:webHidden/>
              </w:rPr>
              <w:instrText xml:space="preserve"> PAGEREF _Toc396913827 \h </w:instrText>
            </w:r>
            <w:r w:rsidR="008B50C0">
              <w:rPr>
                <w:noProof/>
                <w:webHidden/>
              </w:rPr>
            </w:r>
            <w:r w:rsidR="008B50C0">
              <w:rPr>
                <w:noProof/>
                <w:webHidden/>
              </w:rPr>
              <w:fldChar w:fldCharType="separate"/>
            </w:r>
            <w:r w:rsidR="008B50C0">
              <w:rPr>
                <w:noProof/>
                <w:webHidden/>
              </w:rPr>
              <w:t>111</w:t>
            </w:r>
            <w:r w:rsidR="008B50C0">
              <w:rPr>
                <w:noProof/>
                <w:webHidden/>
              </w:rPr>
              <w:fldChar w:fldCharType="end"/>
            </w:r>
          </w:hyperlink>
        </w:p>
        <w:p w14:paraId="11E4DD5F"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28" w:history="1">
            <w:r w:rsidR="008B50C0" w:rsidRPr="00A86862">
              <w:rPr>
                <w:rStyle w:val="Hyperlink"/>
                <w:noProof/>
              </w:rPr>
              <w:t>ANNEX VII: 2015 INDICATIVE PROCUREMENT PLAN FOR OPERATIONAL ACTIVITIES</w:t>
            </w:r>
            <w:r w:rsidR="008B50C0">
              <w:rPr>
                <w:noProof/>
                <w:webHidden/>
              </w:rPr>
              <w:tab/>
            </w:r>
            <w:r w:rsidR="008B50C0">
              <w:rPr>
                <w:noProof/>
                <w:webHidden/>
              </w:rPr>
              <w:fldChar w:fldCharType="begin"/>
            </w:r>
            <w:r w:rsidR="008B50C0">
              <w:rPr>
                <w:noProof/>
                <w:webHidden/>
              </w:rPr>
              <w:instrText xml:space="preserve"> PAGEREF _Toc396913828 \h </w:instrText>
            </w:r>
            <w:r w:rsidR="008B50C0">
              <w:rPr>
                <w:noProof/>
                <w:webHidden/>
              </w:rPr>
            </w:r>
            <w:r w:rsidR="008B50C0">
              <w:rPr>
                <w:noProof/>
                <w:webHidden/>
              </w:rPr>
              <w:fldChar w:fldCharType="separate"/>
            </w:r>
            <w:r w:rsidR="008B50C0">
              <w:rPr>
                <w:noProof/>
                <w:webHidden/>
              </w:rPr>
              <w:t>111</w:t>
            </w:r>
            <w:r w:rsidR="008B50C0">
              <w:rPr>
                <w:noProof/>
                <w:webHidden/>
              </w:rPr>
              <w:fldChar w:fldCharType="end"/>
            </w:r>
          </w:hyperlink>
        </w:p>
        <w:p w14:paraId="140D4DD2"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29" w:history="1">
            <w:r w:rsidR="008B50C0" w:rsidRPr="00A86862">
              <w:rPr>
                <w:rStyle w:val="Hyperlink"/>
                <w:noProof/>
              </w:rPr>
              <w:t>ANNEX VIII: KEY PERFORMANCE INDICATORS</w:t>
            </w:r>
            <w:r w:rsidR="008B50C0">
              <w:rPr>
                <w:noProof/>
                <w:webHidden/>
              </w:rPr>
              <w:tab/>
            </w:r>
            <w:r w:rsidR="008B50C0">
              <w:rPr>
                <w:noProof/>
                <w:webHidden/>
              </w:rPr>
              <w:fldChar w:fldCharType="begin"/>
            </w:r>
            <w:r w:rsidR="008B50C0">
              <w:rPr>
                <w:noProof/>
                <w:webHidden/>
              </w:rPr>
              <w:instrText xml:space="preserve"> PAGEREF _Toc396913829 \h </w:instrText>
            </w:r>
            <w:r w:rsidR="008B50C0">
              <w:rPr>
                <w:noProof/>
                <w:webHidden/>
              </w:rPr>
            </w:r>
            <w:r w:rsidR="008B50C0">
              <w:rPr>
                <w:noProof/>
                <w:webHidden/>
              </w:rPr>
              <w:fldChar w:fldCharType="separate"/>
            </w:r>
            <w:r w:rsidR="008B50C0">
              <w:rPr>
                <w:noProof/>
                <w:webHidden/>
              </w:rPr>
              <w:t>113</w:t>
            </w:r>
            <w:r w:rsidR="008B50C0">
              <w:rPr>
                <w:noProof/>
                <w:webHidden/>
              </w:rPr>
              <w:fldChar w:fldCharType="end"/>
            </w:r>
          </w:hyperlink>
        </w:p>
        <w:p w14:paraId="5D6F2FA1"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30" w:history="1">
            <w:r w:rsidR="008B50C0" w:rsidRPr="00A86862">
              <w:rPr>
                <w:rStyle w:val="Hyperlink"/>
                <w:noProof/>
                <w:snapToGrid w:val="0"/>
              </w:rPr>
              <w:t xml:space="preserve">Annex Ix: </w:t>
            </w:r>
            <w:r w:rsidR="008B50C0" w:rsidRPr="00A86862">
              <w:rPr>
                <w:rStyle w:val="Hyperlink"/>
                <w:noProof/>
              </w:rPr>
              <w:t>ACER Risk Register 2015</w:t>
            </w:r>
            <w:r w:rsidR="008B50C0">
              <w:rPr>
                <w:noProof/>
                <w:webHidden/>
              </w:rPr>
              <w:tab/>
            </w:r>
            <w:r w:rsidR="008B50C0">
              <w:rPr>
                <w:noProof/>
                <w:webHidden/>
              </w:rPr>
              <w:fldChar w:fldCharType="begin"/>
            </w:r>
            <w:r w:rsidR="008B50C0">
              <w:rPr>
                <w:noProof/>
                <w:webHidden/>
              </w:rPr>
              <w:instrText xml:space="preserve"> PAGEREF _Toc396913830 \h </w:instrText>
            </w:r>
            <w:r w:rsidR="008B50C0">
              <w:rPr>
                <w:noProof/>
                <w:webHidden/>
              </w:rPr>
            </w:r>
            <w:r w:rsidR="008B50C0">
              <w:rPr>
                <w:noProof/>
                <w:webHidden/>
              </w:rPr>
              <w:fldChar w:fldCharType="separate"/>
            </w:r>
            <w:r w:rsidR="008B50C0">
              <w:rPr>
                <w:noProof/>
                <w:webHidden/>
              </w:rPr>
              <w:t>124</w:t>
            </w:r>
            <w:r w:rsidR="008B50C0">
              <w:rPr>
                <w:noProof/>
                <w:webHidden/>
              </w:rPr>
              <w:fldChar w:fldCharType="end"/>
            </w:r>
          </w:hyperlink>
        </w:p>
        <w:p w14:paraId="0D831220" w14:textId="77777777" w:rsidR="008B50C0" w:rsidRDefault="00EC2170">
          <w:pPr>
            <w:pStyle w:val="TOC1"/>
            <w:tabs>
              <w:tab w:val="right" w:leader="dot" w:pos="9017"/>
            </w:tabs>
            <w:rPr>
              <w:rFonts w:eastAsiaTheme="minorEastAsia" w:cstheme="minorBidi"/>
              <w:b w:val="0"/>
              <w:bCs w:val="0"/>
              <w:caps w:val="0"/>
              <w:noProof/>
              <w:sz w:val="22"/>
              <w:szCs w:val="22"/>
              <w:lang w:val="en-GB" w:eastAsia="en-GB"/>
            </w:rPr>
          </w:pPr>
          <w:hyperlink w:anchor="_Toc396913831" w:history="1">
            <w:r w:rsidR="008B50C0" w:rsidRPr="00A86862">
              <w:rPr>
                <w:rStyle w:val="Hyperlink"/>
                <w:noProof/>
              </w:rPr>
              <w:t>ANNEX X: OVERVIEW OF THE TASKS AND RESPONSIBILITIES ASSIGNED TO the AGENCY AND THEIR LEGAL BASES</w:t>
            </w:r>
            <w:r w:rsidR="008B50C0">
              <w:rPr>
                <w:noProof/>
                <w:webHidden/>
              </w:rPr>
              <w:tab/>
            </w:r>
            <w:r w:rsidR="008B50C0">
              <w:rPr>
                <w:noProof/>
                <w:webHidden/>
              </w:rPr>
              <w:fldChar w:fldCharType="begin"/>
            </w:r>
            <w:r w:rsidR="008B50C0">
              <w:rPr>
                <w:noProof/>
                <w:webHidden/>
              </w:rPr>
              <w:instrText xml:space="preserve"> PAGEREF _Toc396913831 \h </w:instrText>
            </w:r>
            <w:r w:rsidR="008B50C0">
              <w:rPr>
                <w:noProof/>
                <w:webHidden/>
              </w:rPr>
            </w:r>
            <w:r w:rsidR="008B50C0">
              <w:rPr>
                <w:noProof/>
                <w:webHidden/>
              </w:rPr>
              <w:fldChar w:fldCharType="separate"/>
            </w:r>
            <w:r w:rsidR="008B50C0">
              <w:rPr>
                <w:noProof/>
                <w:webHidden/>
              </w:rPr>
              <w:t>128</w:t>
            </w:r>
            <w:r w:rsidR="008B50C0">
              <w:rPr>
                <w:noProof/>
                <w:webHidden/>
              </w:rPr>
              <w:fldChar w:fldCharType="end"/>
            </w:r>
          </w:hyperlink>
        </w:p>
        <w:p w14:paraId="1AE057F0" w14:textId="77777777" w:rsidR="00D23F74" w:rsidRPr="00FF027F" w:rsidRDefault="003B0016" w:rsidP="00B36A1D">
          <w:pPr>
            <w:pStyle w:val="11ptVerdanaBold"/>
            <w:rPr>
              <w:rFonts w:cstheme="minorHAnsi"/>
              <w:caps/>
              <w:color w:val="1F497D" w:themeColor="text2"/>
              <w:sz w:val="20"/>
            </w:rPr>
          </w:pPr>
          <w:r w:rsidRPr="00FF027F">
            <w:rPr>
              <w:rFonts w:cstheme="minorHAnsi"/>
              <w:caps/>
              <w:color w:val="1F497D" w:themeColor="text2"/>
              <w:sz w:val="20"/>
            </w:rPr>
            <w:fldChar w:fldCharType="end"/>
          </w:r>
          <w:bookmarkStart w:id="1" w:name="_Toc358640750"/>
          <w:bookmarkStart w:id="2" w:name="_Toc358640963"/>
        </w:p>
        <w:p w14:paraId="5B8E787A" w14:textId="77777777" w:rsidR="00D23F74" w:rsidRPr="00FF027F" w:rsidRDefault="00D23F74">
          <w:pPr>
            <w:rPr>
              <w:rFonts w:ascii="Verdana" w:eastAsia="Times New Roman" w:hAnsi="Verdana" w:cstheme="minorHAnsi"/>
              <w:b/>
              <w:caps/>
              <w:noProof/>
              <w:snapToGrid w:val="0"/>
              <w:color w:val="1F497D" w:themeColor="text2"/>
              <w:sz w:val="20"/>
              <w:szCs w:val="20"/>
              <w:lang w:val="en-GB" w:eastAsia="fi-FI"/>
            </w:rPr>
          </w:pPr>
          <w:r w:rsidRPr="00FF027F">
            <w:rPr>
              <w:rFonts w:cstheme="minorHAnsi"/>
              <w:caps/>
              <w:color w:val="1F497D" w:themeColor="text2"/>
              <w:sz w:val="20"/>
              <w:lang w:val="en-GB"/>
            </w:rPr>
            <w:br w:type="page"/>
          </w:r>
        </w:p>
        <w:p w14:paraId="561922B6" w14:textId="2B9A5A7F" w:rsidR="00A626B4" w:rsidRPr="00FF027F" w:rsidRDefault="00D23F74" w:rsidP="00B36A1D">
          <w:pPr>
            <w:pStyle w:val="11ptVerdanaBold"/>
            <w:rPr>
              <w:sz w:val="28"/>
            </w:rPr>
          </w:pPr>
          <w:r w:rsidRPr="00FF027F">
            <w:rPr>
              <w:rStyle w:val="Heading1Char"/>
              <w:b/>
            </w:rPr>
            <w:lastRenderedPageBreak/>
            <w:t xml:space="preserve"> </w:t>
          </w:r>
          <w:bookmarkStart w:id="3" w:name="_Toc396913731"/>
          <w:r w:rsidR="00BC6852" w:rsidRPr="00FF027F">
            <w:rPr>
              <w:rStyle w:val="Heading1Char"/>
              <w:b/>
            </w:rPr>
            <w:t>List of Acronyms</w:t>
          </w:r>
          <w:bookmarkEnd w:id="1"/>
          <w:bookmarkEnd w:id="2"/>
          <w:bookmarkEnd w:id="3"/>
          <w:r w:rsidR="00BC6852" w:rsidRPr="00FF027F">
            <w:rPr>
              <w:sz w:val="28"/>
            </w:rPr>
            <w:t xml:space="preserve"> </w:t>
          </w:r>
        </w:p>
        <w:p w14:paraId="1D557ED4" w14:textId="77777777" w:rsidR="00A626B4" w:rsidRPr="00FF027F" w:rsidRDefault="00A626B4" w:rsidP="00B36A1D">
          <w:pPr>
            <w:pStyle w:val="11ptVerdanaBold"/>
            <w:rPr>
              <w:sz w:val="28"/>
            </w:rPr>
          </w:pPr>
        </w:p>
        <w:tbl>
          <w:tblPr>
            <w:tblStyle w:val="TableGrid8"/>
            <w:tblW w:w="9234" w:type="dxa"/>
            <w:tblLayout w:type="fixed"/>
            <w:tblLook w:val="01E0" w:firstRow="1" w:lastRow="1" w:firstColumn="1" w:lastColumn="1" w:noHBand="0" w:noVBand="0"/>
          </w:tblPr>
          <w:tblGrid>
            <w:gridCol w:w="1831"/>
            <w:gridCol w:w="7403"/>
          </w:tblGrid>
          <w:tr w:rsidR="00BC6852" w:rsidRPr="00FF027F" w14:paraId="23179986" w14:textId="77777777" w:rsidTr="00BC6852">
            <w:trPr>
              <w:cnfStyle w:val="100000000000" w:firstRow="1" w:lastRow="0" w:firstColumn="0" w:lastColumn="0" w:oddVBand="0" w:evenVBand="0" w:oddHBand="0" w:evenHBand="0" w:firstRowFirstColumn="0" w:firstRowLastColumn="0" w:lastRowFirstColumn="0" w:lastRowLastColumn="0"/>
              <w:trHeight w:val="502"/>
            </w:trPr>
            <w:tc>
              <w:tcPr>
                <w:tcW w:w="1831" w:type="dxa"/>
              </w:tcPr>
              <w:p w14:paraId="076F62B8" w14:textId="77777777" w:rsidR="00BC6852" w:rsidRPr="00FF027F" w:rsidRDefault="00BC6852" w:rsidP="00BC6852">
                <w:pPr>
                  <w:rPr>
                    <w:rFonts w:ascii="Arial" w:hAnsi="Arial" w:cs="Arial"/>
                    <w:color w:val="auto"/>
                    <w:sz w:val="22"/>
                    <w:szCs w:val="22"/>
                    <w:lang w:val="en-GB"/>
                  </w:rPr>
                </w:pPr>
                <w:bookmarkStart w:id="4" w:name="_Toc358640706"/>
                <w:bookmarkStart w:id="5" w:name="_Toc358640919"/>
                <w:bookmarkStart w:id="6" w:name="_Toc264468664"/>
                <w:r w:rsidRPr="00FF027F">
                  <w:rPr>
                    <w:rFonts w:ascii="Arial" w:hAnsi="Arial" w:cs="Arial"/>
                    <w:color w:val="auto"/>
                    <w:sz w:val="22"/>
                    <w:szCs w:val="22"/>
                    <w:lang w:val="en-GB"/>
                  </w:rPr>
                  <w:t>Abbreviation</w:t>
                </w:r>
              </w:p>
            </w:tc>
            <w:tc>
              <w:tcPr>
                <w:cnfStyle w:val="000100000000" w:firstRow="0" w:lastRow="0" w:firstColumn="0" w:lastColumn="1" w:oddVBand="0" w:evenVBand="0" w:oddHBand="0" w:evenHBand="0" w:firstRowFirstColumn="0" w:firstRowLastColumn="0" w:lastRowFirstColumn="0" w:lastRowLastColumn="0"/>
                <w:tcW w:w="7403" w:type="dxa"/>
              </w:tcPr>
              <w:p w14:paraId="572AE171"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Meaning</w:t>
                </w:r>
              </w:p>
            </w:tc>
          </w:tr>
          <w:tr w:rsidR="00BC6852" w:rsidRPr="00FF027F" w14:paraId="51430E2D" w14:textId="77777777" w:rsidTr="00BC6852">
            <w:trPr>
              <w:trHeight w:val="496"/>
            </w:trPr>
            <w:tc>
              <w:tcPr>
                <w:tcW w:w="1831" w:type="dxa"/>
              </w:tcPr>
              <w:p w14:paraId="5B696B9E"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The Agency</w:t>
                </w:r>
              </w:p>
            </w:tc>
            <w:tc>
              <w:tcPr>
                <w:cnfStyle w:val="000100000000" w:firstRow="0" w:lastRow="0" w:firstColumn="0" w:lastColumn="1" w:oddVBand="0" w:evenVBand="0" w:oddHBand="0" w:evenHBand="0" w:firstRowFirstColumn="0" w:firstRowLastColumn="0" w:lastRowFirstColumn="0" w:lastRowLastColumn="0"/>
                <w:tcW w:w="7403" w:type="dxa"/>
              </w:tcPr>
              <w:p w14:paraId="7652603D"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Agency for the Cooperation of Energy Regulators</w:t>
                </w:r>
              </w:p>
            </w:tc>
          </w:tr>
          <w:tr w:rsidR="00BC6852" w:rsidRPr="00FF027F" w14:paraId="4925D7C3" w14:textId="77777777" w:rsidTr="00BC6852">
            <w:trPr>
              <w:trHeight w:val="496"/>
            </w:trPr>
            <w:tc>
              <w:tcPr>
                <w:tcW w:w="1831" w:type="dxa"/>
              </w:tcPr>
              <w:p w14:paraId="1483C4AB"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AB</w:t>
                </w:r>
              </w:p>
            </w:tc>
            <w:tc>
              <w:tcPr>
                <w:cnfStyle w:val="000100000000" w:firstRow="0" w:lastRow="0" w:firstColumn="0" w:lastColumn="1" w:oddVBand="0" w:evenVBand="0" w:oddHBand="0" w:evenHBand="0" w:firstRowFirstColumn="0" w:firstRowLastColumn="0" w:lastRowFirstColumn="0" w:lastRowLastColumn="0"/>
                <w:tcW w:w="7403" w:type="dxa"/>
              </w:tcPr>
              <w:p w14:paraId="1E1C9250" w14:textId="77777777" w:rsidR="00BC6852" w:rsidRPr="00FF027F" w:rsidRDefault="00BC6852" w:rsidP="00BC6852">
                <w:pPr>
                  <w:rPr>
                    <w:rFonts w:ascii="Arial" w:hAnsi="Arial" w:cs="Arial"/>
                    <w:sz w:val="22"/>
                    <w:szCs w:val="22"/>
                    <w:lang w:val="en-GB"/>
                  </w:rPr>
                </w:pPr>
                <w:r w:rsidRPr="00FF027F">
                  <w:rPr>
                    <w:rFonts w:ascii="Arial" w:hAnsi="Arial" w:cs="Arial"/>
                    <w:b w:val="0"/>
                    <w:sz w:val="22"/>
                    <w:szCs w:val="22"/>
                    <w:lang w:val="en-GB"/>
                  </w:rPr>
                  <w:t>Administrative Board</w:t>
                </w:r>
              </w:p>
            </w:tc>
          </w:tr>
          <w:tr w:rsidR="00BC6852" w:rsidRPr="00FF027F" w14:paraId="7BA5DF5F" w14:textId="77777777" w:rsidTr="00BC6852">
            <w:trPr>
              <w:trHeight w:val="496"/>
            </w:trPr>
            <w:tc>
              <w:tcPr>
                <w:tcW w:w="1831" w:type="dxa"/>
              </w:tcPr>
              <w:p w14:paraId="4BD31F5E"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AMITWG</w:t>
                </w:r>
              </w:p>
            </w:tc>
            <w:tc>
              <w:tcPr>
                <w:cnfStyle w:val="000100000000" w:firstRow="0" w:lastRow="0" w:firstColumn="0" w:lastColumn="1" w:oddVBand="0" w:evenVBand="0" w:oddHBand="0" w:evenHBand="0" w:firstRowFirstColumn="0" w:firstRowLastColumn="0" w:lastRowFirstColumn="0" w:lastRowLastColumn="0"/>
                <w:tcW w:w="7403" w:type="dxa"/>
              </w:tcPr>
              <w:p w14:paraId="7D673695"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ACER Monitoring, Integrity and Transparency Working Group</w:t>
                </w:r>
              </w:p>
            </w:tc>
          </w:tr>
          <w:tr w:rsidR="009178C8" w:rsidRPr="00FF027F" w14:paraId="37F0CF9D" w14:textId="77777777" w:rsidTr="00BC6852">
            <w:trPr>
              <w:trHeight w:val="496"/>
            </w:trPr>
            <w:tc>
              <w:tcPr>
                <w:tcW w:w="1831" w:type="dxa"/>
              </w:tcPr>
              <w:p w14:paraId="2577396C" w14:textId="77777777" w:rsidR="009178C8" w:rsidRPr="00FF027F" w:rsidRDefault="009178C8" w:rsidP="00BC6852">
                <w:pPr>
                  <w:rPr>
                    <w:rFonts w:ascii="Arial" w:hAnsi="Arial" w:cs="Arial"/>
                    <w:sz w:val="22"/>
                    <w:szCs w:val="22"/>
                    <w:lang w:val="en-GB"/>
                  </w:rPr>
                </w:pPr>
                <w:r w:rsidRPr="00FF027F">
                  <w:rPr>
                    <w:rFonts w:ascii="Arial" w:hAnsi="Arial" w:cs="Arial"/>
                    <w:sz w:val="22"/>
                    <w:szCs w:val="22"/>
                    <w:lang w:val="en-GB"/>
                  </w:rPr>
                  <w:t>ARIS</w:t>
                </w:r>
              </w:p>
            </w:tc>
            <w:tc>
              <w:tcPr>
                <w:cnfStyle w:val="000100000000" w:firstRow="0" w:lastRow="0" w:firstColumn="0" w:lastColumn="1" w:oddVBand="0" w:evenVBand="0" w:oddHBand="0" w:evenHBand="0" w:firstRowFirstColumn="0" w:firstRowLastColumn="0" w:lastRowFirstColumn="0" w:lastRowLastColumn="0"/>
                <w:tcW w:w="7403" w:type="dxa"/>
              </w:tcPr>
              <w:p w14:paraId="69E2AC17" w14:textId="797D3C45" w:rsidR="009178C8" w:rsidRPr="00FF027F" w:rsidRDefault="008D7681" w:rsidP="00BC6852">
                <w:pPr>
                  <w:rPr>
                    <w:rFonts w:ascii="Arial" w:hAnsi="Arial" w:cs="Arial"/>
                    <w:b w:val="0"/>
                    <w:sz w:val="22"/>
                    <w:szCs w:val="22"/>
                    <w:lang w:val="en-GB"/>
                  </w:rPr>
                </w:pPr>
                <w:r w:rsidRPr="00FF027F">
                  <w:rPr>
                    <w:rFonts w:ascii="Arial" w:hAnsi="Arial" w:cs="Arial"/>
                    <w:b w:val="0"/>
                    <w:sz w:val="22"/>
                    <w:szCs w:val="22"/>
                    <w:lang w:val="en-GB"/>
                  </w:rPr>
                  <w:t>Agency’s REMIT Information System</w:t>
                </w:r>
              </w:p>
            </w:tc>
          </w:tr>
          <w:tr w:rsidR="00BC6852" w:rsidRPr="00FF027F" w14:paraId="2A0138A7" w14:textId="77777777" w:rsidTr="00BC6852">
            <w:trPr>
              <w:trHeight w:val="496"/>
            </w:trPr>
            <w:tc>
              <w:tcPr>
                <w:tcW w:w="1831" w:type="dxa"/>
              </w:tcPr>
              <w:p w14:paraId="2C598B09"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AWG</w:t>
                </w:r>
              </w:p>
            </w:tc>
            <w:tc>
              <w:tcPr>
                <w:cnfStyle w:val="000100000000" w:firstRow="0" w:lastRow="0" w:firstColumn="0" w:lastColumn="1" w:oddVBand="0" w:evenVBand="0" w:oddHBand="0" w:evenHBand="0" w:firstRowFirstColumn="0" w:firstRowLastColumn="0" w:lastRowFirstColumn="0" w:lastRowLastColumn="0"/>
                <w:tcW w:w="7403" w:type="dxa"/>
              </w:tcPr>
              <w:p w14:paraId="02379950"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Agency Working Group</w:t>
                </w:r>
              </w:p>
            </w:tc>
          </w:tr>
          <w:tr w:rsidR="00BC6852" w:rsidRPr="00FF027F" w14:paraId="3B71FCB8" w14:textId="77777777" w:rsidTr="00BC6852">
            <w:trPr>
              <w:trHeight w:val="496"/>
            </w:trPr>
            <w:tc>
              <w:tcPr>
                <w:tcW w:w="1831" w:type="dxa"/>
              </w:tcPr>
              <w:p w14:paraId="0BE7270E"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BoA</w:t>
                </w:r>
              </w:p>
            </w:tc>
            <w:tc>
              <w:tcPr>
                <w:cnfStyle w:val="000100000000" w:firstRow="0" w:lastRow="0" w:firstColumn="0" w:lastColumn="1" w:oddVBand="0" w:evenVBand="0" w:oddHBand="0" w:evenHBand="0" w:firstRowFirstColumn="0" w:firstRowLastColumn="0" w:lastRowFirstColumn="0" w:lastRowLastColumn="0"/>
                <w:tcW w:w="7403" w:type="dxa"/>
              </w:tcPr>
              <w:p w14:paraId="3DD1FA09"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Board of Appeal</w:t>
                </w:r>
              </w:p>
            </w:tc>
          </w:tr>
          <w:tr w:rsidR="00BC6852" w:rsidRPr="00FF027F" w14:paraId="28161E70" w14:textId="77777777" w:rsidTr="00BC6852">
            <w:trPr>
              <w:trHeight w:val="502"/>
            </w:trPr>
            <w:tc>
              <w:tcPr>
                <w:tcW w:w="1831" w:type="dxa"/>
              </w:tcPr>
              <w:p w14:paraId="1EF8E355"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BoR</w:t>
                </w:r>
              </w:p>
            </w:tc>
            <w:tc>
              <w:tcPr>
                <w:cnfStyle w:val="000100000000" w:firstRow="0" w:lastRow="0" w:firstColumn="0" w:lastColumn="1" w:oddVBand="0" w:evenVBand="0" w:oddHBand="0" w:evenHBand="0" w:firstRowFirstColumn="0" w:firstRowLastColumn="0" w:lastRowFirstColumn="0" w:lastRowLastColumn="0"/>
                <w:tcW w:w="7403" w:type="dxa"/>
              </w:tcPr>
              <w:p w14:paraId="4D35E81A"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Board of Regulators</w:t>
                </w:r>
              </w:p>
            </w:tc>
          </w:tr>
          <w:tr w:rsidR="00BC6852" w:rsidRPr="00FF027F" w14:paraId="3C9436D5" w14:textId="77777777" w:rsidTr="00BC6852">
            <w:trPr>
              <w:trHeight w:val="496"/>
            </w:trPr>
            <w:tc>
              <w:tcPr>
                <w:tcW w:w="1831" w:type="dxa"/>
              </w:tcPr>
              <w:p w14:paraId="739A853A"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CBA</w:t>
                </w:r>
              </w:p>
            </w:tc>
            <w:tc>
              <w:tcPr>
                <w:cnfStyle w:val="000100000000" w:firstRow="0" w:lastRow="0" w:firstColumn="0" w:lastColumn="1" w:oddVBand="0" w:evenVBand="0" w:oddHBand="0" w:evenHBand="0" w:firstRowFirstColumn="0" w:firstRowLastColumn="0" w:lastRowFirstColumn="0" w:lastRowLastColumn="0"/>
                <w:tcW w:w="7403" w:type="dxa"/>
              </w:tcPr>
              <w:p w14:paraId="09F5FA69"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Cost Benefit Analysis</w:t>
                </w:r>
              </w:p>
            </w:tc>
          </w:tr>
          <w:tr w:rsidR="00CB1B39" w:rsidRPr="00FF027F" w14:paraId="07769E83" w14:textId="77777777" w:rsidTr="00BC6852">
            <w:trPr>
              <w:trHeight w:val="496"/>
            </w:trPr>
            <w:tc>
              <w:tcPr>
                <w:tcW w:w="1831" w:type="dxa"/>
              </w:tcPr>
              <w:p w14:paraId="1D08550F" w14:textId="77777777" w:rsidR="00CB1B39" w:rsidRPr="00FF027F" w:rsidRDefault="00CB1B39" w:rsidP="00BC6852">
                <w:pPr>
                  <w:rPr>
                    <w:rFonts w:ascii="Arial" w:hAnsi="Arial" w:cs="Arial"/>
                    <w:sz w:val="22"/>
                    <w:szCs w:val="22"/>
                    <w:lang w:val="en-GB"/>
                  </w:rPr>
                </w:pPr>
                <w:r w:rsidRPr="00FF027F">
                  <w:rPr>
                    <w:rFonts w:ascii="Arial" w:hAnsi="Arial" w:cs="Arial"/>
                    <w:sz w:val="22"/>
                    <w:szCs w:val="22"/>
                    <w:lang w:val="en-GB"/>
                  </w:rPr>
                  <w:t>CBCA</w:t>
                </w:r>
              </w:p>
            </w:tc>
            <w:tc>
              <w:tcPr>
                <w:cnfStyle w:val="000100000000" w:firstRow="0" w:lastRow="0" w:firstColumn="0" w:lastColumn="1" w:oddVBand="0" w:evenVBand="0" w:oddHBand="0" w:evenHBand="0" w:firstRowFirstColumn="0" w:firstRowLastColumn="0" w:lastRowFirstColumn="0" w:lastRowLastColumn="0"/>
                <w:tcW w:w="7403" w:type="dxa"/>
              </w:tcPr>
              <w:p w14:paraId="63B3E575" w14:textId="77777777" w:rsidR="00CB1B39" w:rsidRPr="00FF027F" w:rsidRDefault="00CB1B39" w:rsidP="00BC6852">
                <w:pPr>
                  <w:rPr>
                    <w:rFonts w:ascii="Arial" w:hAnsi="Arial" w:cs="Arial"/>
                    <w:b w:val="0"/>
                    <w:sz w:val="22"/>
                    <w:szCs w:val="22"/>
                    <w:lang w:val="en-GB"/>
                  </w:rPr>
                </w:pPr>
                <w:r w:rsidRPr="00FF027F">
                  <w:rPr>
                    <w:rFonts w:ascii="Arial" w:hAnsi="Arial" w:cs="Arial"/>
                    <w:b w:val="0"/>
                    <w:sz w:val="22"/>
                    <w:szCs w:val="22"/>
                    <w:lang w:val="en-GB"/>
                  </w:rPr>
                  <w:t>Cross-Border Cost Allocation</w:t>
                </w:r>
              </w:p>
            </w:tc>
          </w:tr>
          <w:tr w:rsidR="00BC6852" w:rsidRPr="00FF027F" w14:paraId="1B8D8AAF" w14:textId="77777777" w:rsidTr="00BC6852">
            <w:trPr>
              <w:trHeight w:val="496"/>
            </w:trPr>
            <w:tc>
              <w:tcPr>
                <w:tcW w:w="1831" w:type="dxa"/>
              </w:tcPr>
              <w:p w14:paraId="6CABB55E"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CEER</w:t>
                </w:r>
              </w:p>
            </w:tc>
            <w:tc>
              <w:tcPr>
                <w:cnfStyle w:val="000100000000" w:firstRow="0" w:lastRow="0" w:firstColumn="0" w:lastColumn="1" w:oddVBand="0" w:evenVBand="0" w:oddHBand="0" w:evenHBand="0" w:firstRowFirstColumn="0" w:firstRowLastColumn="0" w:lastRowFirstColumn="0" w:lastRowLastColumn="0"/>
                <w:tcW w:w="7403" w:type="dxa"/>
              </w:tcPr>
              <w:p w14:paraId="1259D6AE"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Council of European Energy Regulators</w:t>
                </w:r>
              </w:p>
            </w:tc>
          </w:tr>
          <w:tr w:rsidR="008D7681" w:rsidRPr="00FF027F" w14:paraId="4DB20D22" w14:textId="77777777" w:rsidTr="00BC6852">
            <w:trPr>
              <w:trHeight w:val="496"/>
            </w:trPr>
            <w:tc>
              <w:tcPr>
                <w:tcW w:w="1831" w:type="dxa"/>
              </w:tcPr>
              <w:p w14:paraId="29E91019" w14:textId="716B6928" w:rsidR="008D7681" w:rsidRPr="00FF027F" w:rsidRDefault="008D7681" w:rsidP="00BC6852">
                <w:pPr>
                  <w:rPr>
                    <w:rFonts w:ascii="Arial" w:hAnsi="Arial" w:cs="Arial"/>
                    <w:sz w:val="22"/>
                    <w:szCs w:val="22"/>
                    <w:lang w:val="en-GB"/>
                  </w:rPr>
                </w:pPr>
                <w:r w:rsidRPr="00FF027F">
                  <w:rPr>
                    <w:rFonts w:ascii="Arial" w:hAnsi="Arial" w:cs="Arial"/>
                    <w:sz w:val="22"/>
                    <w:szCs w:val="22"/>
                    <w:lang w:val="en-GB"/>
                  </w:rPr>
                  <w:t>CEREMP</w:t>
                </w:r>
              </w:p>
            </w:tc>
            <w:tc>
              <w:tcPr>
                <w:cnfStyle w:val="000100000000" w:firstRow="0" w:lastRow="0" w:firstColumn="0" w:lastColumn="1" w:oddVBand="0" w:evenVBand="0" w:oddHBand="0" w:evenHBand="0" w:firstRowFirstColumn="0" w:firstRowLastColumn="0" w:lastRowFirstColumn="0" w:lastRowLastColumn="0"/>
                <w:tcW w:w="7403" w:type="dxa"/>
              </w:tcPr>
              <w:p w14:paraId="6D1B5C55" w14:textId="3D3042AB" w:rsidR="008D7681" w:rsidRPr="00FF027F" w:rsidRDefault="008D7681" w:rsidP="00BC6852">
                <w:pPr>
                  <w:rPr>
                    <w:rFonts w:ascii="Arial" w:hAnsi="Arial" w:cs="Arial"/>
                    <w:b w:val="0"/>
                    <w:sz w:val="22"/>
                    <w:szCs w:val="22"/>
                    <w:lang w:val="en-GB"/>
                  </w:rPr>
                </w:pPr>
                <w:r w:rsidRPr="00FF027F">
                  <w:rPr>
                    <w:rFonts w:ascii="Arial" w:hAnsi="Arial" w:cs="Arial"/>
                    <w:b w:val="0"/>
                    <w:sz w:val="22"/>
                    <w:szCs w:val="22"/>
                    <w:lang w:val="en-GB"/>
                  </w:rPr>
                  <w:t>Centralised European Register of Energy Market Participants</w:t>
                </w:r>
              </w:p>
            </w:tc>
          </w:tr>
          <w:tr w:rsidR="00BC6852" w:rsidRPr="00FF027F" w14:paraId="14836343" w14:textId="77777777" w:rsidTr="00BC6852">
            <w:trPr>
              <w:trHeight w:val="496"/>
            </w:trPr>
            <w:tc>
              <w:tcPr>
                <w:tcW w:w="1831" w:type="dxa"/>
              </w:tcPr>
              <w:p w14:paraId="200E1B44"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CMP</w:t>
                </w:r>
              </w:p>
            </w:tc>
            <w:tc>
              <w:tcPr>
                <w:cnfStyle w:val="000100000000" w:firstRow="0" w:lastRow="0" w:firstColumn="0" w:lastColumn="1" w:oddVBand="0" w:evenVBand="0" w:oddHBand="0" w:evenHBand="0" w:firstRowFirstColumn="0" w:firstRowLastColumn="0" w:lastRowFirstColumn="0" w:lastRowLastColumn="0"/>
                <w:tcW w:w="7403" w:type="dxa"/>
              </w:tcPr>
              <w:p w14:paraId="5838C250"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Congestion Management Procedures</w:t>
                </w:r>
              </w:p>
            </w:tc>
          </w:tr>
          <w:tr w:rsidR="00BC6852" w:rsidRPr="00FF027F" w14:paraId="7E6009C9" w14:textId="77777777" w:rsidTr="00BC6852">
            <w:trPr>
              <w:trHeight w:val="496"/>
            </w:trPr>
            <w:tc>
              <w:tcPr>
                <w:tcW w:w="1831" w:type="dxa"/>
              </w:tcPr>
              <w:p w14:paraId="0F83BFE9"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Dir</w:t>
                </w:r>
              </w:p>
            </w:tc>
            <w:tc>
              <w:tcPr>
                <w:cnfStyle w:val="000100000000" w:firstRow="0" w:lastRow="0" w:firstColumn="0" w:lastColumn="1" w:oddVBand="0" w:evenVBand="0" w:oddHBand="0" w:evenHBand="0" w:firstRowFirstColumn="0" w:firstRowLastColumn="0" w:lastRowFirstColumn="0" w:lastRowLastColumn="0"/>
                <w:tcW w:w="7403" w:type="dxa"/>
              </w:tcPr>
              <w:p w14:paraId="4C65F475"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Directive</w:t>
                </w:r>
              </w:p>
            </w:tc>
          </w:tr>
          <w:tr w:rsidR="007E2793" w:rsidRPr="00FF027F" w14:paraId="454084A5" w14:textId="77777777" w:rsidTr="00BC6852">
            <w:trPr>
              <w:trHeight w:val="502"/>
            </w:trPr>
            <w:tc>
              <w:tcPr>
                <w:tcW w:w="1831" w:type="dxa"/>
              </w:tcPr>
              <w:p w14:paraId="456469B1" w14:textId="77777777" w:rsidR="007E2793" w:rsidRPr="00FF027F" w:rsidRDefault="007E2793" w:rsidP="00BC6852">
                <w:pPr>
                  <w:rPr>
                    <w:rFonts w:ascii="Arial" w:hAnsi="Arial" w:cs="Arial"/>
                    <w:sz w:val="22"/>
                    <w:szCs w:val="22"/>
                    <w:lang w:val="en-GB"/>
                  </w:rPr>
                </w:pPr>
                <w:r w:rsidRPr="00FF027F">
                  <w:rPr>
                    <w:rFonts w:ascii="Arial" w:hAnsi="Arial" w:cs="Arial"/>
                    <w:sz w:val="22"/>
                    <w:szCs w:val="22"/>
                    <w:lang w:val="en-GB"/>
                  </w:rPr>
                  <w:t>DMO</w:t>
                </w:r>
              </w:p>
            </w:tc>
            <w:tc>
              <w:tcPr>
                <w:cnfStyle w:val="000100000000" w:firstRow="0" w:lastRow="0" w:firstColumn="0" w:lastColumn="1" w:oddVBand="0" w:evenVBand="0" w:oddHBand="0" w:evenHBand="0" w:firstRowFirstColumn="0" w:firstRowLastColumn="0" w:lastRowFirstColumn="0" w:lastRowLastColumn="0"/>
                <w:tcW w:w="7403" w:type="dxa"/>
              </w:tcPr>
              <w:p w14:paraId="383786F0" w14:textId="77777777" w:rsidR="007E2793" w:rsidRPr="00FF027F" w:rsidRDefault="007E2793" w:rsidP="007E2793">
                <w:pPr>
                  <w:rPr>
                    <w:rFonts w:ascii="Arial" w:hAnsi="Arial" w:cs="Arial"/>
                    <w:b w:val="0"/>
                    <w:sz w:val="22"/>
                    <w:szCs w:val="22"/>
                    <w:lang w:val="en-GB"/>
                  </w:rPr>
                </w:pPr>
                <w:r w:rsidRPr="00FF027F">
                  <w:rPr>
                    <w:rFonts w:ascii="Arial" w:hAnsi="Arial" w:cs="Arial"/>
                    <w:b w:val="0"/>
                    <w:sz w:val="22"/>
                    <w:szCs w:val="22"/>
                    <w:lang w:val="en-GB"/>
                  </w:rPr>
                  <w:t>Department of Market Oversight</w:t>
                </w:r>
              </w:p>
            </w:tc>
          </w:tr>
          <w:tr w:rsidR="007E2793" w:rsidRPr="00FF027F" w14:paraId="11CDADF3" w14:textId="77777777" w:rsidTr="00BC6852">
            <w:trPr>
              <w:trHeight w:val="502"/>
            </w:trPr>
            <w:tc>
              <w:tcPr>
                <w:tcW w:w="1831" w:type="dxa"/>
              </w:tcPr>
              <w:p w14:paraId="572D9784" w14:textId="77777777" w:rsidR="007E2793" w:rsidRPr="00FF027F" w:rsidRDefault="007E2793" w:rsidP="007E2793">
                <w:pPr>
                  <w:rPr>
                    <w:rFonts w:ascii="Arial" w:hAnsi="Arial" w:cs="Arial"/>
                    <w:sz w:val="22"/>
                    <w:szCs w:val="22"/>
                    <w:lang w:val="en-GB"/>
                  </w:rPr>
                </w:pPr>
                <w:r w:rsidRPr="00FF027F">
                  <w:rPr>
                    <w:rFonts w:ascii="Arial" w:hAnsi="Arial" w:cs="Arial"/>
                    <w:sz w:val="22"/>
                    <w:szCs w:val="22"/>
                    <w:lang w:val="en-GB"/>
                  </w:rPr>
                  <w:t>DAS</w:t>
                </w:r>
              </w:p>
            </w:tc>
            <w:tc>
              <w:tcPr>
                <w:cnfStyle w:val="000100000000" w:firstRow="0" w:lastRow="0" w:firstColumn="0" w:lastColumn="1" w:oddVBand="0" w:evenVBand="0" w:oddHBand="0" w:evenHBand="0" w:firstRowFirstColumn="0" w:firstRowLastColumn="0" w:lastRowFirstColumn="0" w:lastRowLastColumn="0"/>
                <w:tcW w:w="7403" w:type="dxa"/>
              </w:tcPr>
              <w:p w14:paraId="0B1A7A2C" w14:textId="77777777" w:rsidR="007E2793" w:rsidRPr="00FF027F" w:rsidRDefault="007E2793" w:rsidP="00536CB3">
                <w:pPr>
                  <w:rPr>
                    <w:rFonts w:ascii="Arial" w:hAnsi="Arial" w:cs="Arial"/>
                    <w:b w:val="0"/>
                    <w:sz w:val="22"/>
                    <w:szCs w:val="22"/>
                    <w:lang w:val="en-GB"/>
                  </w:rPr>
                </w:pPr>
                <w:r w:rsidRPr="00FF027F">
                  <w:rPr>
                    <w:rFonts w:ascii="Arial" w:hAnsi="Arial" w:cs="Arial"/>
                    <w:b w:val="0"/>
                    <w:sz w:val="22"/>
                    <w:szCs w:val="22"/>
                    <w:lang w:val="en-GB"/>
                  </w:rPr>
                  <w:t xml:space="preserve">Department of Analysis and Surveillance </w:t>
                </w:r>
              </w:p>
            </w:tc>
          </w:tr>
          <w:tr w:rsidR="00BC6852" w:rsidRPr="00FF027F" w14:paraId="780C6B83" w14:textId="77777777" w:rsidTr="00BC6852">
            <w:trPr>
              <w:trHeight w:val="502"/>
            </w:trPr>
            <w:tc>
              <w:tcPr>
                <w:tcW w:w="1831" w:type="dxa"/>
              </w:tcPr>
              <w:p w14:paraId="1A96ED17"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EC</w:t>
                </w:r>
              </w:p>
            </w:tc>
            <w:tc>
              <w:tcPr>
                <w:cnfStyle w:val="000100000000" w:firstRow="0" w:lastRow="0" w:firstColumn="0" w:lastColumn="1" w:oddVBand="0" w:evenVBand="0" w:oddHBand="0" w:evenHBand="0" w:firstRowFirstColumn="0" w:firstRowLastColumn="0" w:lastRowFirstColumn="0" w:lastRowLastColumn="0"/>
                <w:tcW w:w="7403" w:type="dxa"/>
              </w:tcPr>
              <w:p w14:paraId="2B124C78"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European Commission</w:t>
                </w:r>
              </w:p>
            </w:tc>
          </w:tr>
          <w:tr w:rsidR="00596DE6" w:rsidRPr="00FF027F" w14:paraId="3A34B2F4" w14:textId="77777777" w:rsidTr="00BC6852">
            <w:trPr>
              <w:trHeight w:val="496"/>
            </w:trPr>
            <w:tc>
              <w:tcPr>
                <w:tcW w:w="1831" w:type="dxa"/>
              </w:tcPr>
              <w:p w14:paraId="1F0579FF" w14:textId="12C21B73" w:rsidR="00596DE6" w:rsidRPr="00FF027F" w:rsidRDefault="00596DE6" w:rsidP="00BC6852">
                <w:pPr>
                  <w:rPr>
                    <w:rFonts w:ascii="Arial" w:hAnsi="Arial" w:cs="Arial"/>
                    <w:sz w:val="22"/>
                    <w:szCs w:val="22"/>
                    <w:lang w:val="en-GB"/>
                  </w:rPr>
                </w:pPr>
                <w:r w:rsidRPr="00FF027F">
                  <w:rPr>
                    <w:rFonts w:ascii="Arial" w:hAnsi="Arial" w:cs="Arial"/>
                    <w:sz w:val="22"/>
                    <w:szCs w:val="22"/>
                    <w:lang w:val="en-GB"/>
                  </w:rPr>
                  <w:t>EnC</w:t>
                </w:r>
              </w:p>
            </w:tc>
            <w:tc>
              <w:tcPr>
                <w:cnfStyle w:val="000100000000" w:firstRow="0" w:lastRow="0" w:firstColumn="0" w:lastColumn="1" w:oddVBand="0" w:evenVBand="0" w:oddHBand="0" w:evenHBand="0" w:firstRowFirstColumn="0" w:firstRowLastColumn="0" w:lastRowFirstColumn="0" w:lastRowLastColumn="0"/>
                <w:tcW w:w="7403" w:type="dxa"/>
              </w:tcPr>
              <w:p w14:paraId="3025EE53" w14:textId="2C11DCDC" w:rsidR="00596DE6" w:rsidRPr="00FF027F" w:rsidRDefault="00596DE6" w:rsidP="00BC6852">
                <w:pPr>
                  <w:rPr>
                    <w:rFonts w:ascii="Arial" w:hAnsi="Arial" w:cs="Arial"/>
                    <w:b w:val="0"/>
                    <w:sz w:val="22"/>
                    <w:szCs w:val="22"/>
                    <w:lang w:val="en-GB"/>
                  </w:rPr>
                </w:pPr>
                <w:r w:rsidRPr="00FF027F">
                  <w:rPr>
                    <w:rFonts w:ascii="Arial" w:hAnsi="Arial" w:cs="Arial"/>
                    <w:b w:val="0"/>
                    <w:sz w:val="22"/>
                    <w:szCs w:val="22"/>
                    <w:lang w:val="en-GB"/>
                  </w:rPr>
                  <w:t>Energy Community</w:t>
                </w:r>
              </w:p>
            </w:tc>
          </w:tr>
          <w:tr w:rsidR="00596DE6" w:rsidRPr="00FF027F" w14:paraId="40A7DC1F" w14:textId="77777777" w:rsidTr="00BC6852">
            <w:trPr>
              <w:trHeight w:val="496"/>
            </w:trPr>
            <w:tc>
              <w:tcPr>
                <w:tcW w:w="1831" w:type="dxa"/>
              </w:tcPr>
              <w:p w14:paraId="00F10901" w14:textId="0046B9CF" w:rsidR="00596DE6" w:rsidRPr="00FF027F" w:rsidRDefault="00596DE6" w:rsidP="00BC6852">
                <w:pPr>
                  <w:rPr>
                    <w:rFonts w:ascii="Arial" w:hAnsi="Arial" w:cs="Arial"/>
                    <w:sz w:val="22"/>
                    <w:szCs w:val="22"/>
                    <w:lang w:val="en-GB"/>
                  </w:rPr>
                </w:pPr>
                <w:r w:rsidRPr="00FF027F">
                  <w:rPr>
                    <w:rFonts w:ascii="Arial" w:hAnsi="Arial" w:cs="Arial"/>
                    <w:sz w:val="22"/>
                    <w:szCs w:val="22"/>
                    <w:lang w:val="en-GB"/>
                  </w:rPr>
                  <w:t>ECRB</w:t>
                </w:r>
              </w:p>
            </w:tc>
            <w:tc>
              <w:tcPr>
                <w:cnfStyle w:val="000100000000" w:firstRow="0" w:lastRow="0" w:firstColumn="0" w:lastColumn="1" w:oddVBand="0" w:evenVBand="0" w:oddHBand="0" w:evenHBand="0" w:firstRowFirstColumn="0" w:firstRowLastColumn="0" w:lastRowFirstColumn="0" w:lastRowLastColumn="0"/>
                <w:tcW w:w="7403" w:type="dxa"/>
              </w:tcPr>
              <w:p w14:paraId="39F32A3B" w14:textId="703C5668" w:rsidR="00596DE6" w:rsidRPr="00FF027F" w:rsidRDefault="00596DE6" w:rsidP="00BC6852">
                <w:pPr>
                  <w:rPr>
                    <w:rFonts w:ascii="Arial" w:hAnsi="Arial" w:cs="Arial"/>
                    <w:b w:val="0"/>
                    <w:sz w:val="22"/>
                    <w:szCs w:val="22"/>
                    <w:lang w:val="en-GB"/>
                  </w:rPr>
                </w:pPr>
                <w:r w:rsidRPr="00FF027F">
                  <w:rPr>
                    <w:rFonts w:ascii="Arial" w:hAnsi="Arial" w:cs="Arial"/>
                    <w:b w:val="0"/>
                    <w:sz w:val="22"/>
                    <w:szCs w:val="22"/>
                    <w:lang w:val="en-GB"/>
                  </w:rPr>
                  <w:t>Energy Community Regulatory Board</w:t>
                </w:r>
              </w:p>
            </w:tc>
          </w:tr>
          <w:tr w:rsidR="00BC6852" w:rsidRPr="00FF027F" w14:paraId="6F18D740" w14:textId="77777777" w:rsidTr="00BC6852">
            <w:trPr>
              <w:trHeight w:val="496"/>
            </w:trPr>
            <w:tc>
              <w:tcPr>
                <w:tcW w:w="1831" w:type="dxa"/>
              </w:tcPr>
              <w:p w14:paraId="5424870F"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ENTSO-E</w:t>
                </w:r>
              </w:p>
            </w:tc>
            <w:tc>
              <w:tcPr>
                <w:cnfStyle w:val="000100000000" w:firstRow="0" w:lastRow="0" w:firstColumn="0" w:lastColumn="1" w:oddVBand="0" w:evenVBand="0" w:oddHBand="0" w:evenHBand="0" w:firstRowFirstColumn="0" w:firstRowLastColumn="0" w:lastRowFirstColumn="0" w:lastRowLastColumn="0"/>
                <w:tcW w:w="7403" w:type="dxa"/>
              </w:tcPr>
              <w:p w14:paraId="185E275D"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European Network of Transmission System Operators for Electricity</w:t>
                </w:r>
              </w:p>
            </w:tc>
          </w:tr>
          <w:tr w:rsidR="00BC6852" w:rsidRPr="00FF027F" w14:paraId="13D1F2FC" w14:textId="77777777" w:rsidTr="00BC6852">
            <w:trPr>
              <w:trHeight w:val="496"/>
            </w:trPr>
            <w:tc>
              <w:tcPr>
                <w:tcW w:w="1831" w:type="dxa"/>
              </w:tcPr>
              <w:p w14:paraId="2706A27F"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ENTSOG</w:t>
                </w:r>
              </w:p>
            </w:tc>
            <w:tc>
              <w:tcPr>
                <w:cnfStyle w:val="000100000000" w:firstRow="0" w:lastRow="0" w:firstColumn="0" w:lastColumn="1" w:oddVBand="0" w:evenVBand="0" w:oddHBand="0" w:evenHBand="0" w:firstRowFirstColumn="0" w:firstRowLastColumn="0" w:lastRowFirstColumn="0" w:lastRowLastColumn="0"/>
                <w:tcW w:w="7403" w:type="dxa"/>
              </w:tcPr>
              <w:p w14:paraId="44949982"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European Network of Transmission System Operators for Gas</w:t>
                </w:r>
              </w:p>
            </w:tc>
          </w:tr>
          <w:tr w:rsidR="00BC6852" w:rsidRPr="00FF027F" w14:paraId="0700C608" w14:textId="77777777" w:rsidTr="00BC6852">
            <w:trPr>
              <w:trHeight w:val="496"/>
            </w:trPr>
            <w:tc>
              <w:tcPr>
                <w:tcW w:w="1831" w:type="dxa"/>
              </w:tcPr>
              <w:p w14:paraId="3B455A7D"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ERGEG</w:t>
                </w:r>
              </w:p>
            </w:tc>
            <w:tc>
              <w:tcPr>
                <w:cnfStyle w:val="000100000000" w:firstRow="0" w:lastRow="0" w:firstColumn="0" w:lastColumn="1" w:oddVBand="0" w:evenVBand="0" w:oddHBand="0" w:evenHBand="0" w:firstRowFirstColumn="0" w:firstRowLastColumn="0" w:lastRowFirstColumn="0" w:lastRowLastColumn="0"/>
                <w:tcW w:w="7403" w:type="dxa"/>
              </w:tcPr>
              <w:p w14:paraId="6EAD3CC2"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European Regulators' Group for Electricity and Gas</w:t>
                </w:r>
              </w:p>
            </w:tc>
          </w:tr>
          <w:tr w:rsidR="00BC6852" w:rsidRPr="00FF027F" w14:paraId="780D4611" w14:textId="77777777" w:rsidTr="00BC6852">
            <w:trPr>
              <w:trHeight w:val="496"/>
            </w:trPr>
            <w:tc>
              <w:tcPr>
                <w:tcW w:w="1831" w:type="dxa"/>
              </w:tcPr>
              <w:p w14:paraId="43B9D595"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ERI</w:t>
                </w:r>
              </w:p>
            </w:tc>
            <w:tc>
              <w:tcPr>
                <w:cnfStyle w:val="000100000000" w:firstRow="0" w:lastRow="0" w:firstColumn="0" w:lastColumn="1" w:oddVBand="0" w:evenVBand="0" w:oddHBand="0" w:evenHBand="0" w:firstRowFirstColumn="0" w:firstRowLastColumn="0" w:lastRowFirstColumn="0" w:lastRowLastColumn="0"/>
                <w:tcW w:w="7403" w:type="dxa"/>
              </w:tcPr>
              <w:p w14:paraId="4B438334"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Electricity Regional Initiative</w:t>
                </w:r>
              </w:p>
            </w:tc>
          </w:tr>
          <w:tr w:rsidR="00BC6852" w:rsidRPr="00FF027F" w14:paraId="4B5DBA3C" w14:textId="77777777" w:rsidTr="00BC6852">
            <w:trPr>
              <w:trHeight w:val="496"/>
            </w:trPr>
            <w:tc>
              <w:tcPr>
                <w:tcW w:w="1831" w:type="dxa"/>
              </w:tcPr>
              <w:p w14:paraId="3045F4C2"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ESMA</w:t>
                </w:r>
              </w:p>
            </w:tc>
            <w:tc>
              <w:tcPr>
                <w:cnfStyle w:val="000100000000" w:firstRow="0" w:lastRow="0" w:firstColumn="0" w:lastColumn="1" w:oddVBand="0" w:evenVBand="0" w:oddHBand="0" w:evenHBand="0" w:firstRowFirstColumn="0" w:firstRowLastColumn="0" w:lastRowFirstColumn="0" w:lastRowLastColumn="0"/>
                <w:tcW w:w="7403" w:type="dxa"/>
              </w:tcPr>
              <w:p w14:paraId="06CB969D"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European Securities and Markets Authority</w:t>
                </w:r>
              </w:p>
            </w:tc>
          </w:tr>
          <w:tr w:rsidR="00BC6852" w:rsidRPr="00FF027F" w14:paraId="0AFC62D3" w14:textId="77777777" w:rsidTr="00BC6852">
            <w:trPr>
              <w:trHeight w:val="597"/>
            </w:trPr>
            <w:tc>
              <w:tcPr>
                <w:tcW w:w="1831" w:type="dxa"/>
              </w:tcPr>
              <w:p w14:paraId="65BE6849"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FERC</w:t>
                </w:r>
              </w:p>
            </w:tc>
            <w:tc>
              <w:tcPr>
                <w:cnfStyle w:val="000100000000" w:firstRow="0" w:lastRow="0" w:firstColumn="0" w:lastColumn="1" w:oddVBand="0" w:evenVBand="0" w:oddHBand="0" w:evenHBand="0" w:firstRowFirstColumn="0" w:firstRowLastColumn="0" w:lastRowFirstColumn="0" w:lastRowLastColumn="0"/>
                <w:tcW w:w="7403" w:type="dxa"/>
              </w:tcPr>
              <w:p w14:paraId="54B3A637"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Federal Energy Regulatory Commission</w:t>
                </w:r>
              </w:p>
            </w:tc>
          </w:tr>
          <w:tr w:rsidR="009B6DEF" w:rsidRPr="00FF027F" w14:paraId="7CD0C096" w14:textId="77777777" w:rsidTr="00BC6852">
            <w:trPr>
              <w:trHeight w:val="597"/>
            </w:trPr>
            <w:tc>
              <w:tcPr>
                <w:tcW w:w="1831" w:type="dxa"/>
              </w:tcPr>
              <w:p w14:paraId="0F680023" w14:textId="77777777" w:rsidR="009B6DEF" w:rsidRPr="00FF027F" w:rsidRDefault="009B6DEF" w:rsidP="00BC6852">
                <w:pPr>
                  <w:rPr>
                    <w:rFonts w:ascii="Arial" w:hAnsi="Arial" w:cs="Arial"/>
                    <w:sz w:val="22"/>
                    <w:szCs w:val="22"/>
                    <w:lang w:val="en-GB"/>
                  </w:rPr>
                </w:pPr>
                <w:r w:rsidRPr="00FF027F">
                  <w:rPr>
                    <w:rFonts w:ascii="Arial" w:hAnsi="Arial" w:cs="Arial"/>
                    <w:sz w:val="22"/>
                    <w:szCs w:val="22"/>
                    <w:lang w:val="en-GB"/>
                  </w:rPr>
                  <w:t>FG</w:t>
                </w:r>
              </w:p>
            </w:tc>
            <w:tc>
              <w:tcPr>
                <w:cnfStyle w:val="000100000000" w:firstRow="0" w:lastRow="0" w:firstColumn="0" w:lastColumn="1" w:oddVBand="0" w:evenVBand="0" w:oddHBand="0" w:evenHBand="0" w:firstRowFirstColumn="0" w:firstRowLastColumn="0" w:lastRowFirstColumn="0" w:lastRowLastColumn="0"/>
                <w:tcW w:w="7403" w:type="dxa"/>
              </w:tcPr>
              <w:p w14:paraId="23D9FD22" w14:textId="77777777" w:rsidR="009B6DEF" w:rsidRPr="00FF027F" w:rsidRDefault="009B6DEF" w:rsidP="00BC6852">
                <w:pPr>
                  <w:rPr>
                    <w:rFonts w:ascii="Arial" w:hAnsi="Arial" w:cs="Arial"/>
                    <w:b w:val="0"/>
                    <w:sz w:val="22"/>
                    <w:szCs w:val="22"/>
                    <w:lang w:val="en-GB"/>
                  </w:rPr>
                </w:pPr>
                <w:r w:rsidRPr="00FF027F">
                  <w:rPr>
                    <w:rFonts w:ascii="Arial" w:hAnsi="Arial" w:cs="Arial"/>
                    <w:b w:val="0"/>
                    <w:sz w:val="22"/>
                    <w:szCs w:val="22"/>
                    <w:lang w:val="en-GB"/>
                  </w:rPr>
                  <w:t>Framework Guideline</w:t>
                </w:r>
              </w:p>
            </w:tc>
          </w:tr>
          <w:tr w:rsidR="00BC6852" w:rsidRPr="00FF027F" w14:paraId="54127385" w14:textId="77777777" w:rsidTr="00BC6852">
            <w:trPr>
              <w:trHeight w:val="597"/>
            </w:trPr>
            <w:tc>
              <w:tcPr>
                <w:tcW w:w="1831" w:type="dxa"/>
              </w:tcPr>
              <w:p w14:paraId="6F794661"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FTE</w:t>
                </w:r>
              </w:p>
            </w:tc>
            <w:tc>
              <w:tcPr>
                <w:cnfStyle w:val="000100000000" w:firstRow="0" w:lastRow="0" w:firstColumn="0" w:lastColumn="1" w:oddVBand="0" w:evenVBand="0" w:oddHBand="0" w:evenHBand="0" w:firstRowFirstColumn="0" w:firstRowLastColumn="0" w:lastRowFirstColumn="0" w:lastRowLastColumn="0"/>
                <w:tcW w:w="7403" w:type="dxa"/>
              </w:tcPr>
              <w:p w14:paraId="1A8DFC3D"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Full Time Equivalent</w:t>
                </w:r>
              </w:p>
            </w:tc>
          </w:tr>
          <w:tr w:rsidR="00BC6852" w:rsidRPr="00FF027F" w14:paraId="56EBF0C5" w14:textId="77777777" w:rsidTr="00BC6852">
            <w:trPr>
              <w:trHeight w:val="597"/>
            </w:trPr>
            <w:tc>
              <w:tcPr>
                <w:tcW w:w="1831" w:type="dxa"/>
              </w:tcPr>
              <w:p w14:paraId="62E69A78"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GRI</w:t>
                </w:r>
              </w:p>
            </w:tc>
            <w:tc>
              <w:tcPr>
                <w:cnfStyle w:val="000100000000" w:firstRow="0" w:lastRow="0" w:firstColumn="0" w:lastColumn="1" w:oddVBand="0" w:evenVBand="0" w:oddHBand="0" w:evenHBand="0" w:firstRowFirstColumn="0" w:firstRowLastColumn="0" w:lastRowFirstColumn="0" w:lastRowLastColumn="0"/>
                <w:tcW w:w="7403" w:type="dxa"/>
              </w:tcPr>
              <w:p w14:paraId="43C0CFAD"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Gas Regional Initiative</w:t>
                </w:r>
              </w:p>
            </w:tc>
          </w:tr>
          <w:tr w:rsidR="00BC6852" w:rsidRPr="00FF027F" w14:paraId="677153E8" w14:textId="77777777" w:rsidTr="00BC6852">
            <w:trPr>
              <w:trHeight w:val="502"/>
            </w:trPr>
            <w:tc>
              <w:tcPr>
                <w:tcW w:w="1831" w:type="dxa"/>
              </w:tcPr>
              <w:p w14:paraId="34809600"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HVDC</w:t>
                </w:r>
              </w:p>
            </w:tc>
            <w:tc>
              <w:tcPr>
                <w:cnfStyle w:val="000100000000" w:firstRow="0" w:lastRow="0" w:firstColumn="0" w:lastColumn="1" w:oddVBand="0" w:evenVBand="0" w:oddHBand="0" w:evenHBand="0" w:firstRowFirstColumn="0" w:firstRowLastColumn="0" w:lastRowFirstColumn="0" w:lastRowLastColumn="0"/>
                <w:tcW w:w="7403" w:type="dxa"/>
              </w:tcPr>
              <w:p w14:paraId="44074F13"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High Voltage Direct Current</w:t>
                </w:r>
              </w:p>
            </w:tc>
          </w:tr>
          <w:tr w:rsidR="00BC6852" w:rsidRPr="00FF027F" w14:paraId="2588180F" w14:textId="77777777" w:rsidTr="00BC6852">
            <w:trPr>
              <w:trHeight w:val="597"/>
            </w:trPr>
            <w:tc>
              <w:tcPr>
                <w:tcW w:w="1831" w:type="dxa"/>
              </w:tcPr>
              <w:p w14:paraId="01ACDA7B" w14:textId="77777777" w:rsidR="00BC6852" w:rsidRPr="00FF027F" w:rsidRDefault="00BC6852" w:rsidP="00BC6852">
                <w:pPr>
                  <w:rPr>
                    <w:rFonts w:ascii="Arial" w:hAnsi="Arial" w:cs="Arial"/>
                    <w:sz w:val="22"/>
                    <w:szCs w:val="22"/>
                    <w:lang w:val="en-GB"/>
                  </w:rPr>
                </w:pPr>
                <w:r w:rsidRPr="00FF027F">
                  <w:rPr>
                    <w:rFonts w:ascii="Arial" w:hAnsi="Arial" w:cs="Arial"/>
                    <w:sz w:val="22"/>
                    <w:szCs w:val="22"/>
                    <w:lang w:val="en-GB"/>
                  </w:rPr>
                  <w:t>IEM</w:t>
                </w:r>
              </w:p>
            </w:tc>
            <w:tc>
              <w:tcPr>
                <w:cnfStyle w:val="000100000000" w:firstRow="0" w:lastRow="0" w:firstColumn="0" w:lastColumn="1" w:oddVBand="0" w:evenVBand="0" w:oddHBand="0" w:evenHBand="0" w:firstRowFirstColumn="0" w:firstRowLastColumn="0" w:lastRowFirstColumn="0" w:lastRowLastColumn="0"/>
                <w:tcW w:w="7403" w:type="dxa"/>
              </w:tcPr>
              <w:p w14:paraId="5F464313" w14:textId="77777777" w:rsidR="00BC6852" w:rsidRPr="00FF027F" w:rsidRDefault="00BC6852" w:rsidP="00BC6852">
                <w:pPr>
                  <w:rPr>
                    <w:rFonts w:ascii="Arial" w:hAnsi="Arial" w:cs="Arial"/>
                    <w:b w:val="0"/>
                    <w:sz w:val="22"/>
                    <w:szCs w:val="22"/>
                    <w:lang w:val="en-GB"/>
                  </w:rPr>
                </w:pPr>
                <w:r w:rsidRPr="00FF027F">
                  <w:rPr>
                    <w:rFonts w:ascii="Arial" w:hAnsi="Arial" w:cs="Arial"/>
                    <w:b w:val="0"/>
                    <w:sz w:val="22"/>
                    <w:szCs w:val="22"/>
                    <w:lang w:val="en-GB"/>
                  </w:rPr>
                  <w:t>Internal Energy Market</w:t>
                </w:r>
              </w:p>
            </w:tc>
          </w:tr>
          <w:tr w:rsidR="00E126AD" w:rsidRPr="00FF027F" w14:paraId="61DEEFE1" w14:textId="77777777" w:rsidTr="00BC6852">
            <w:trPr>
              <w:trHeight w:val="597"/>
            </w:trPr>
            <w:tc>
              <w:tcPr>
                <w:tcW w:w="1831" w:type="dxa"/>
              </w:tcPr>
              <w:p w14:paraId="778BF918" w14:textId="2F032F9B"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INEA</w:t>
                </w:r>
              </w:p>
            </w:tc>
            <w:tc>
              <w:tcPr>
                <w:cnfStyle w:val="000100000000" w:firstRow="0" w:lastRow="0" w:firstColumn="0" w:lastColumn="1" w:oddVBand="0" w:evenVBand="0" w:oddHBand="0" w:evenHBand="0" w:firstRowFirstColumn="0" w:firstRowLastColumn="0" w:lastRowFirstColumn="0" w:lastRowLastColumn="0"/>
                <w:tcW w:w="7403" w:type="dxa"/>
              </w:tcPr>
              <w:p w14:paraId="4FE01052" w14:textId="1691D48B" w:rsidR="00E126AD" w:rsidRPr="00FF027F" w:rsidRDefault="00E126AD" w:rsidP="00E126AD">
                <w:pPr>
                  <w:rPr>
                    <w:rFonts w:ascii="Arial" w:hAnsi="Arial" w:cs="Arial"/>
                    <w:lang w:val="en-GB"/>
                  </w:rPr>
                </w:pPr>
                <w:r w:rsidRPr="00FF027F">
                  <w:rPr>
                    <w:rFonts w:ascii="Arial" w:hAnsi="Arial" w:cs="Arial"/>
                    <w:b w:val="0"/>
                    <w:sz w:val="22"/>
                    <w:szCs w:val="22"/>
                    <w:lang w:val="en-GB"/>
                  </w:rPr>
                  <w:t>Innovation and Networks Executive Agency</w:t>
                </w:r>
              </w:p>
            </w:tc>
          </w:tr>
          <w:tr w:rsidR="008F5D02" w:rsidRPr="00FF027F" w14:paraId="1991F29D" w14:textId="77777777" w:rsidTr="00BC6852">
            <w:trPr>
              <w:trHeight w:val="496"/>
            </w:trPr>
            <w:tc>
              <w:tcPr>
                <w:tcW w:w="1831" w:type="dxa"/>
              </w:tcPr>
              <w:p w14:paraId="39AC1617" w14:textId="0F153CCA" w:rsidR="008F5D02" w:rsidRPr="00FF027F" w:rsidRDefault="008F5D02" w:rsidP="00BC6852">
                <w:pPr>
                  <w:rPr>
                    <w:rFonts w:ascii="Arial" w:hAnsi="Arial" w:cs="Arial"/>
                    <w:sz w:val="22"/>
                    <w:szCs w:val="22"/>
                    <w:lang w:val="en-GB"/>
                  </w:rPr>
                </w:pPr>
                <w:r w:rsidRPr="00FF027F">
                  <w:rPr>
                    <w:rFonts w:ascii="Arial" w:hAnsi="Arial" w:cs="Arial"/>
                    <w:sz w:val="22"/>
                    <w:szCs w:val="22"/>
                    <w:lang w:val="en-GB"/>
                  </w:rPr>
                  <w:t>ITC</w:t>
                </w:r>
              </w:p>
            </w:tc>
            <w:tc>
              <w:tcPr>
                <w:cnfStyle w:val="000100000000" w:firstRow="0" w:lastRow="0" w:firstColumn="0" w:lastColumn="1" w:oddVBand="0" w:evenVBand="0" w:oddHBand="0" w:evenHBand="0" w:firstRowFirstColumn="0" w:firstRowLastColumn="0" w:lastRowFirstColumn="0" w:lastRowLastColumn="0"/>
                <w:tcW w:w="7403" w:type="dxa"/>
              </w:tcPr>
              <w:p w14:paraId="19D849BF" w14:textId="5B7814AD" w:rsidR="008F5D02" w:rsidRPr="00FF027F" w:rsidRDefault="008F5D02" w:rsidP="008F5D02">
                <w:pPr>
                  <w:rPr>
                    <w:rFonts w:ascii="Arial" w:hAnsi="Arial" w:cs="Arial"/>
                    <w:b w:val="0"/>
                    <w:sz w:val="22"/>
                    <w:szCs w:val="22"/>
                    <w:lang w:val="en-GB"/>
                  </w:rPr>
                </w:pPr>
                <w:r w:rsidRPr="00FF027F">
                  <w:rPr>
                    <w:rFonts w:ascii="Arial" w:hAnsi="Arial" w:cs="Arial"/>
                    <w:b w:val="0"/>
                    <w:sz w:val="22"/>
                    <w:szCs w:val="22"/>
                    <w:lang w:val="en-GB"/>
                  </w:rPr>
                  <w:t>Inter-TSO Compensation</w:t>
                </w:r>
              </w:p>
            </w:tc>
          </w:tr>
          <w:tr w:rsidR="00E126AD" w:rsidRPr="00FF027F" w14:paraId="7D6CAF8B" w14:textId="77777777" w:rsidTr="00BC6852">
            <w:trPr>
              <w:trHeight w:val="496"/>
            </w:trPr>
            <w:tc>
              <w:tcPr>
                <w:tcW w:w="1831" w:type="dxa"/>
              </w:tcPr>
              <w:p w14:paraId="710FADFF"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MiFID</w:t>
                </w:r>
              </w:p>
            </w:tc>
            <w:tc>
              <w:tcPr>
                <w:cnfStyle w:val="000100000000" w:firstRow="0" w:lastRow="0" w:firstColumn="0" w:lastColumn="1" w:oddVBand="0" w:evenVBand="0" w:oddHBand="0" w:evenHBand="0" w:firstRowFirstColumn="0" w:firstRowLastColumn="0" w:lastRowFirstColumn="0" w:lastRowLastColumn="0"/>
                <w:tcW w:w="7403" w:type="dxa"/>
              </w:tcPr>
              <w:p w14:paraId="0192F279"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Markets in Financial Instruments Directive</w:t>
                </w:r>
              </w:p>
            </w:tc>
          </w:tr>
          <w:tr w:rsidR="00E126AD" w:rsidRPr="00FF027F" w14:paraId="01E0F1DF" w14:textId="77777777" w:rsidTr="00BC6852">
            <w:trPr>
              <w:trHeight w:val="496"/>
            </w:trPr>
            <w:tc>
              <w:tcPr>
                <w:tcW w:w="1831" w:type="dxa"/>
              </w:tcPr>
              <w:p w14:paraId="4D97726A"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MMR</w:t>
                </w:r>
              </w:p>
            </w:tc>
            <w:tc>
              <w:tcPr>
                <w:cnfStyle w:val="000100000000" w:firstRow="0" w:lastRow="0" w:firstColumn="0" w:lastColumn="1" w:oddVBand="0" w:evenVBand="0" w:oddHBand="0" w:evenHBand="0" w:firstRowFirstColumn="0" w:firstRowLastColumn="0" w:lastRowFirstColumn="0" w:lastRowLastColumn="0"/>
                <w:tcW w:w="7403" w:type="dxa"/>
              </w:tcPr>
              <w:p w14:paraId="460D28BF"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Market Monitoring Report</w:t>
                </w:r>
              </w:p>
            </w:tc>
          </w:tr>
          <w:tr w:rsidR="00E126AD" w:rsidRPr="00FF027F" w14:paraId="3F396F2B" w14:textId="77777777" w:rsidTr="00BC6852">
            <w:trPr>
              <w:trHeight w:val="496"/>
            </w:trPr>
            <w:tc>
              <w:tcPr>
                <w:tcW w:w="1831" w:type="dxa"/>
              </w:tcPr>
              <w:p w14:paraId="2DAB9A41"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MoU</w:t>
                </w:r>
              </w:p>
            </w:tc>
            <w:tc>
              <w:tcPr>
                <w:cnfStyle w:val="000100000000" w:firstRow="0" w:lastRow="0" w:firstColumn="0" w:lastColumn="1" w:oddVBand="0" w:evenVBand="0" w:oddHBand="0" w:evenHBand="0" w:firstRowFirstColumn="0" w:firstRowLastColumn="0" w:lastRowFirstColumn="0" w:lastRowLastColumn="0"/>
                <w:tcW w:w="7403" w:type="dxa"/>
              </w:tcPr>
              <w:p w14:paraId="2B4989D5"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Memorandum of Understanding</w:t>
                </w:r>
              </w:p>
            </w:tc>
          </w:tr>
          <w:tr w:rsidR="00E126AD" w:rsidRPr="00FF027F" w:rsidDel="005D21F8" w14:paraId="6BD3957E" w14:textId="77777777" w:rsidTr="00BC6852">
            <w:trPr>
              <w:trHeight w:val="496"/>
            </w:trPr>
            <w:tc>
              <w:tcPr>
                <w:tcW w:w="1831" w:type="dxa"/>
              </w:tcPr>
              <w:p w14:paraId="196AA6B4"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lastRenderedPageBreak/>
                  <w:t>MS</w:t>
                </w:r>
              </w:p>
            </w:tc>
            <w:tc>
              <w:tcPr>
                <w:cnfStyle w:val="000100000000" w:firstRow="0" w:lastRow="0" w:firstColumn="0" w:lastColumn="1" w:oddVBand="0" w:evenVBand="0" w:oddHBand="0" w:evenHBand="0" w:firstRowFirstColumn="0" w:firstRowLastColumn="0" w:lastRowFirstColumn="0" w:lastRowLastColumn="0"/>
                <w:tcW w:w="7403" w:type="dxa"/>
              </w:tcPr>
              <w:p w14:paraId="2B8A1851" w14:textId="77777777" w:rsidR="00E126AD" w:rsidRPr="00FF027F" w:rsidDel="005D21F8" w:rsidRDefault="00E126AD" w:rsidP="00BC6852">
                <w:pPr>
                  <w:rPr>
                    <w:rFonts w:ascii="Arial" w:hAnsi="Arial" w:cs="Arial"/>
                    <w:b w:val="0"/>
                    <w:sz w:val="22"/>
                    <w:szCs w:val="22"/>
                    <w:lang w:val="en-GB"/>
                  </w:rPr>
                </w:pPr>
                <w:r w:rsidRPr="00FF027F">
                  <w:rPr>
                    <w:rFonts w:ascii="Arial" w:hAnsi="Arial" w:cs="Arial"/>
                    <w:b w:val="0"/>
                    <w:sz w:val="22"/>
                    <w:szCs w:val="22"/>
                    <w:lang w:val="en-GB"/>
                  </w:rPr>
                  <w:t>Member State</w:t>
                </w:r>
              </w:p>
            </w:tc>
          </w:tr>
          <w:tr w:rsidR="00E126AD" w:rsidRPr="00FF027F" w14:paraId="7799CFB2" w14:textId="77777777" w:rsidTr="00BC6852">
            <w:trPr>
              <w:trHeight w:val="496"/>
            </w:trPr>
            <w:tc>
              <w:tcPr>
                <w:tcW w:w="1831" w:type="dxa"/>
              </w:tcPr>
              <w:p w14:paraId="2F1AFA36"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MSPP</w:t>
                </w:r>
              </w:p>
            </w:tc>
            <w:tc>
              <w:tcPr>
                <w:cnfStyle w:val="000100000000" w:firstRow="0" w:lastRow="0" w:firstColumn="0" w:lastColumn="1" w:oddVBand="0" w:evenVBand="0" w:oddHBand="0" w:evenHBand="0" w:firstRowFirstColumn="0" w:firstRowLastColumn="0" w:lastRowFirstColumn="0" w:lastRowLastColumn="0"/>
                <w:tcW w:w="7403" w:type="dxa"/>
              </w:tcPr>
              <w:p w14:paraId="38FDB1C6"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 xml:space="preserve">Multi-annual Staff Policy Plan </w:t>
                </w:r>
              </w:p>
            </w:tc>
          </w:tr>
          <w:tr w:rsidR="00E126AD" w:rsidRPr="00FF027F" w14:paraId="46014901" w14:textId="77777777" w:rsidTr="00BC6852">
            <w:trPr>
              <w:trHeight w:val="502"/>
            </w:trPr>
            <w:tc>
              <w:tcPr>
                <w:tcW w:w="1831" w:type="dxa"/>
              </w:tcPr>
              <w:p w14:paraId="62C1C68A"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NC</w:t>
                </w:r>
              </w:p>
            </w:tc>
            <w:tc>
              <w:tcPr>
                <w:cnfStyle w:val="000100000000" w:firstRow="0" w:lastRow="0" w:firstColumn="0" w:lastColumn="1" w:oddVBand="0" w:evenVBand="0" w:oddHBand="0" w:evenHBand="0" w:firstRowFirstColumn="0" w:firstRowLastColumn="0" w:lastRowFirstColumn="0" w:lastRowLastColumn="0"/>
                <w:tcW w:w="7403" w:type="dxa"/>
              </w:tcPr>
              <w:p w14:paraId="3EEA851C"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Network Code</w:t>
                </w:r>
              </w:p>
            </w:tc>
          </w:tr>
          <w:tr w:rsidR="00E126AD" w:rsidRPr="00FF027F" w14:paraId="21BFBE86" w14:textId="77777777" w:rsidTr="00BC6852">
            <w:trPr>
              <w:trHeight w:val="502"/>
            </w:trPr>
            <w:tc>
              <w:tcPr>
                <w:tcW w:w="1831" w:type="dxa"/>
              </w:tcPr>
              <w:p w14:paraId="3A5A904B"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NDP</w:t>
                </w:r>
              </w:p>
            </w:tc>
            <w:tc>
              <w:tcPr>
                <w:cnfStyle w:val="000100000000" w:firstRow="0" w:lastRow="0" w:firstColumn="0" w:lastColumn="1" w:oddVBand="0" w:evenVBand="0" w:oddHBand="0" w:evenHBand="0" w:firstRowFirstColumn="0" w:firstRowLastColumn="0" w:lastRowFirstColumn="0" w:lastRowLastColumn="0"/>
                <w:tcW w:w="7403" w:type="dxa"/>
              </w:tcPr>
              <w:p w14:paraId="3F5E5A6C"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Network Development Plan</w:t>
                </w:r>
              </w:p>
            </w:tc>
          </w:tr>
          <w:tr w:rsidR="00E126AD" w:rsidRPr="00FF027F" w14:paraId="7572244C" w14:textId="77777777" w:rsidTr="00BC6852">
            <w:trPr>
              <w:trHeight w:val="496"/>
            </w:trPr>
            <w:tc>
              <w:tcPr>
                <w:tcW w:w="1831" w:type="dxa"/>
              </w:tcPr>
              <w:p w14:paraId="53FCD3A0"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NRA</w:t>
                </w:r>
              </w:p>
            </w:tc>
            <w:tc>
              <w:tcPr>
                <w:cnfStyle w:val="000100000000" w:firstRow="0" w:lastRow="0" w:firstColumn="0" w:lastColumn="1" w:oddVBand="0" w:evenVBand="0" w:oddHBand="0" w:evenHBand="0" w:firstRowFirstColumn="0" w:firstRowLastColumn="0" w:lastRowFirstColumn="0" w:lastRowLastColumn="0"/>
                <w:tcW w:w="7403" w:type="dxa"/>
              </w:tcPr>
              <w:p w14:paraId="254F7CC4"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National Regulatory Authority</w:t>
                </w:r>
              </w:p>
            </w:tc>
          </w:tr>
          <w:tr w:rsidR="00E126AD" w:rsidRPr="00FF027F" w14:paraId="32282414" w14:textId="77777777" w:rsidTr="00BC6852">
            <w:trPr>
              <w:trHeight w:val="502"/>
            </w:trPr>
            <w:tc>
              <w:tcPr>
                <w:tcW w:w="1831" w:type="dxa"/>
              </w:tcPr>
              <w:p w14:paraId="36E7612F"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PCI</w:t>
                </w:r>
              </w:p>
            </w:tc>
            <w:tc>
              <w:tcPr>
                <w:cnfStyle w:val="000100000000" w:firstRow="0" w:lastRow="0" w:firstColumn="0" w:lastColumn="1" w:oddVBand="0" w:evenVBand="0" w:oddHBand="0" w:evenHBand="0" w:firstRowFirstColumn="0" w:firstRowLastColumn="0" w:lastRowFirstColumn="0" w:lastRowLastColumn="0"/>
                <w:tcW w:w="7403" w:type="dxa"/>
              </w:tcPr>
              <w:p w14:paraId="65881F5D"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Project of Common Interest</w:t>
                </w:r>
              </w:p>
            </w:tc>
          </w:tr>
          <w:tr w:rsidR="00E126AD" w:rsidRPr="00FF027F" w14:paraId="0B008A32" w14:textId="77777777" w:rsidTr="00BC6852">
            <w:trPr>
              <w:trHeight w:val="502"/>
            </w:trPr>
            <w:tc>
              <w:tcPr>
                <w:tcW w:w="1831" w:type="dxa"/>
              </w:tcPr>
              <w:p w14:paraId="48FCDF51"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Reg</w:t>
                </w:r>
              </w:p>
            </w:tc>
            <w:tc>
              <w:tcPr>
                <w:cnfStyle w:val="000100000000" w:firstRow="0" w:lastRow="0" w:firstColumn="0" w:lastColumn="1" w:oddVBand="0" w:evenVBand="0" w:oddHBand="0" w:evenHBand="0" w:firstRowFirstColumn="0" w:firstRowLastColumn="0" w:lastRowFirstColumn="0" w:lastRowLastColumn="0"/>
                <w:tcW w:w="7403" w:type="dxa"/>
              </w:tcPr>
              <w:p w14:paraId="28100E47"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Regulation</w:t>
                </w:r>
              </w:p>
            </w:tc>
          </w:tr>
          <w:tr w:rsidR="00E126AD" w:rsidRPr="00FF027F" w14:paraId="277D3438" w14:textId="77777777" w:rsidTr="00BC6852">
            <w:trPr>
              <w:trHeight w:val="597"/>
            </w:trPr>
            <w:tc>
              <w:tcPr>
                <w:tcW w:w="1831" w:type="dxa"/>
              </w:tcPr>
              <w:p w14:paraId="2EC24FD2"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REMIT</w:t>
                </w:r>
              </w:p>
            </w:tc>
            <w:tc>
              <w:tcPr>
                <w:cnfStyle w:val="000100000000" w:firstRow="0" w:lastRow="0" w:firstColumn="0" w:lastColumn="1" w:oddVBand="0" w:evenVBand="0" w:oddHBand="0" w:evenHBand="0" w:firstRowFirstColumn="0" w:firstRowLastColumn="0" w:lastRowFirstColumn="0" w:lastRowLastColumn="0"/>
                <w:tcW w:w="7403" w:type="dxa"/>
              </w:tcPr>
              <w:p w14:paraId="6F7CF2D8"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Regulation for Energy Market Integrity and Transparency</w:t>
                </w:r>
              </w:p>
            </w:tc>
          </w:tr>
          <w:tr w:rsidR="00E126AD" w:rsidRPr="00FF027F" w14:paraId="4A555363" w14:textId="77777777" w:rsidTr="00BC6852">
            <w:trPr>
              <w:trHeight w:val="496"/>
            </w:trPr>
            <w:tc>
              <w:tcPr>
                <w:tcW w:w="1831" w:type="dxa"/>
              </w:tcPr>
              <w:p w14:paraId="0949039E"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SMARTS</w:t>
                </w:r>
              </w:p>
            </w:tc>
            <w:tc>
              <w:tcPr>
                <w:cnfStyle w:val="000100000000" w:firstRow="0" w:lastRow="0" w:firstColumn="0" w:lastColumn="1" w:oddVBand="0" w:evenVBand="0" w:oddHBand="0" w:evenHBand="0" w:firstRowFirstColumn="0" w:firstRowLastColumn="0" w:lastRowFirstColumn="0" w:lastRowLastColumn="0"/>
                <w:tcW w:w="7403" w:type="dxa"/>
              </w:tcPr>
              <w:p w14:paraId="511C6B83" w14:textId="0EB31098" w:rsidR="00E126AD" w:rsidRPr="00FF027F" w:rsidRDefault="00E126AD" w:rsidP="00EA5656">
                <w:pPr>
                  <w:rPr>
                    <w:rFonts w:ascii="Arial" w:hAnsi="Arial" w:cs="Arial"/>
                    <w:b w:val="0"/>
                    <w:sz w:val="22"/>
                    <w:szCs w:val="22"/>
                    <w:lang w:val="en-GB"/>
                  </w:rPr>
                </w:pPr>
                <w:r w:rsidRPr="00FF027F">
                  <w:rPr>
                    <w:rFonts w:ascii="Arial" w:hAnsi="Arial" w:cs="Arial"/>
                    <w:b w:val="0"/>
                    <w:sz w:val="22"/>
                    <w:szCs w:val="22"/>
                    <w:lang w:val="en-GB"/>
                  </w:rPr>
                  <w:t>Market monitoring software</w:t>
                </w:r>
              </w:p>
            </w:tc>
          </w:tr>
          <w:tr w:rsidR="00E126AD" w:rsidRPr="00FF027F" w14:paraId="73227CB0" w14:textId="77777777" w:rsidTr="00BC6852">
            <w:trPr>
              <w:trHeight w:val="496"/>
            </w:trPr>
            <w:tc>
              <w:tcPr>
                <w:tcW w:w="1831" w:type="dxa"/>
              </w:tcPr>
              <w:p w14:paraId="466CCBCA"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SNE</w:t>
                </w:r>
              </w:p>
            </w:tc>
            <w:tc>
              <w:tcPr>
                <w:cnfStyle w:val="000100000000" w:firstRow="0" w:lastRow="0" w:firstColumn="0" w:lastColumn="1" w:oddVBand="0" w:evenVBand="0" w:oddHBand="0" w:evenHBand="0" w:firstRowFirstColumn="0" w:firstRowLastColumn="0" w:lastRowFirstColumn="0" w:lastRowLastColumn="0"/>
                <w:tcW w:w="7403" w:type="dxa"/>
              </w:tcPr>
              <w:p w14:paraId="56D2E185"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Seconded National Expert</w:t>
                </w:r>
              </w:p>
            </w:tc>
          </w:tr>
          <w:tr w:rsidR="00E126AD" w:rsidRPr="00FF027F" w14:paraId="392C8E57" w14:textId="77777777" w:rsidTr="00BC6852">
            <w:trPr>
              <w:trHeight w:val="615"/>
            </w:trPr>
            <w:tc>
              <w:tcPr>
                <w:tcW w:w="1831" w:type="dxa"/>
              </w:tcPr>
              <w:p w14:paraId="0D164FD2"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TEN-E</w:t>
                </w:r>
              </w:p>
            </w:tc>
            <w:tc>
              <w:tcPr>
                <w:cnfStyle w:val="000100000000" w:firstRow="0" w:lastRow="0" w:firstColumn="0" w:lastColumn="1" w:oddVBand="0" w:evenVBand="0" w:oddHBand="0" w:evenHBand="0" w:firstRowFirstColumn="0" w:firstRowLastColumn="0" w:lastRowFirstColumn="0" w:lastRowLastColumn="0"/>
                <w:tcW w:w="7403" w:type="dxa"/>
              </w:tcPr>
              <w:p w14:paraId="2C00E3B6"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Trans-European Energy Network</w:t>
                </w:r>
              </w:p>
            </w:tc>
          </w:tr>
          <w:tr w:rsidR="00E126AD" w:rsidRPr="00FF027F" w14:paraId="616424D0" w14:textId="77777777" w:rsidTr="00BC6852">
            <w:trPr>
              <w:trHeight w:val="615"/>
            </w:trPr>
            <w:tc>
              <w:tcPr>
                <w:tcW w:w="1831" w:type="dxa"/>
              </w:tcPr>
              <w:p w14:paraId="155D2007" w14:textId="77777777" w:rsidR="00E126AD" w:rsidRPr="00FF027F" w:rsidRDefault="00E126AD" w:rsidP="00BC6852">
                <w:pPr>
                  <w:rPr>
                    <w:rFonts w:ascii="Arial" w:hAnsi="Arial" w:cs="Arial"/>
                    <w:sz w:val="22"/>
                    <w:szCs w:val="22"/>
                    <w:lang w:val="en-GB"/>
                  </w:rPr>
                </w:pPr>
                <w:r w:rsidRPr="00FF027F">
                  <w:rPr>
                    <w:rFonts w:ascii="Arial" w:hAnsi="Arial" w:cs="Arial"/>
                    <w:sz w:val="22"/>
                    <w:szCs w:val="22"/>
                    <w:lang w:val="en-GB"/>
                  </w:rPr>
                  <w:t>TF</w:t>
                </w:r>
              </w:p>
            </w:tc>
            <w:tc>
              <w:tcPr>
                <w:cnfStyle w:val="000100000000" w:firstRow="0" w:lastRow="0" w:firstColumn="0" w:lastColumn="1" w:oddVBand="0" w:evenVBand="0" w:oddHBand="0" w:evenHBand="0" w:firstRowFirstColumn="0" w:firstRowLastColumn="0" w:lastRowFirstColumn="0" w:lastRowLastColumn="0"/>
                <w:tcW w:w="7403" w:type="dxa"/>
              </w:tcPr>
              <w:p w14:paraId="30A2675D"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Task Force</w:t>
                </w:r>
              </w:p>
            </w:tc>
          </w:tr>
          <w:tr w:rsidR="00E126AD" w:rsidRPr="00FF027F" w14:paraId="2E3927F1" w14:textId="77777777" w:rsidTr="00BC6852">
            <w:trPr>
              <w:trHeight w:val="615"/>
            </w:trPr>
            <w:tc>
              <w:tcPr>
                <w:tcW w:w="1831" w:type="dxa"/>
              </w:tcPr>
              <w:p w14:paraId="59E52B15" w14:textId="77777777" w:rsidR="00E126AD" w:rsidRPr="00FF027F" w:rsidRDefault="00E126AD" w:rsidP="00BC6852">
                <w:pPr>
                  <w:keepLines w:val="0"/>
                  <w:tabs>
                    <w:tab w:val="clear" w:pos="1985"/>
                    <w:tab w:val="clear" w:pos="5103"/>
                  </w:tabs>
                  <w:jc w:val="left"/>
                  <w:rPr>
                    <w:rFonts w:ascii="Arial" w:hAnsi="Arial" w:cs="Arial"/>
                    <w:bCs/>
                    <w:sz w:val="22"/>
                    <w:szCs w:val="22"/>
                    <w:lang w:val="en-GB"/>
                  </w:rPr>
                </w:pPr>
                <w:r w:rsidRPr="00FF027F">
                  <w:rPr>
                    <w:rFonts w:ascii="Arial" w:hAnsi="Arial" w:cs="Arial"/>
                    <w:sz w:val="22"/>
                    <w:szCs w:val="22"/>
                    <w:lang w:val="en-GB"/>
                  </w:rPr>
                  <w:t>TSO</w:t>
                </w:r>
              </w:p>
            </w:tc>
            <w:tc>
              <w:tcPr>
                <w:cnfStyle w:val="000100000000" w:firstRow="0" w:lastRow="0" w:firstColumn="0" w:lastColumn="1" w:oddVBand="0" w:evenVBand="0" w:oddHBand="0" w:evenHBand="0" w:firstRowFirstColumn="0" w:firstRowLastColumn="0" w:lastRowFirstColumn="0" w:lastRowLastColumn="0"/>
                <w:tcW w:w="7403" w:type="dxa"/>
              </w:tcPr>
              <w:p w14:paraId="47B2B792"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Transmission System Operator</w:t>
                </w:r>
              </w:p>
            </w:tc>
          </w:tr>
          <w:tr w:rsidR="00E126AD" w:rsidRPr="00FF027F" w14:paraId="7E63CB47" w14:textId="77777777" w:rsidTr="00BC6852">
            <w:trPr>
              <w:cnfStyle w:val="010000000000" w:firstRow="0" w:lastRow="1" w:firstColumn="0" w:lastColumn="0" w:oddVBand="0" w:evenVBand="0" w:oddHBand="0" w:evenHBand="0" w:firstRowFirstColumn="0" w:firstRowLastColumn="0" w:lastRowFirstColumn="0" w:lastRowLastColumn="0"/>
              <w:trHeight w:val="615"/>
            </w:trPr>
            <w:tc>
              <w:tcPr>
                <w:tcW w:w="1831" w:type="dxa"/>
              </w:tcPr>
              <w:p w14:paraId="61BE2277"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TYNDP</w:t>
                </w:r>
              </w:p>
            </w:tc>
            <w:tc>
              <w:tcPr>
                <w:cnfStyle w:val="000100000000" w:firstRow="0" w:lastRow="0" w:firstColumn="0" w:lastColumn="1" w:oddVBand="0" w:evenVBand="0" w:oddHBand="0" w:evenHBand="0" w:firstRowFirstColumn="0" w:firstRowLastColumn="0" w:lastRowFirstColumn="0" w:lastRowLastColumn="0"/>
                <w:tcW w:w="7403" w:type="dxa"/>
              </w:tcPr>
              <w:p w14:paraId="563D07DF" w14:textId="77777777" w:rsidR="00E126AD" w:rsidRPr="00FF027F" w:rsidRDefault="00E126AD" w:rsidP="00BC6852">
                <w:pPr>
                  <w:rPr>
                    <w:rFonts w:ascii="Arial" w:hAnsi="Arial" w:cs="Arial"/>
                    <w:b w:val="0"/>
                    <w:sz w:val="22"/>
                    <w:szCs w:val="22"/>
                    <w:lang w:val="en-GB"/>
                  </w:rPr>
                </w:pPr>
                <w:r w:rsidRPr="00FF027F">
                  <w:rPr>
                    <w:rFonts w:ascii="Arial" w:hAnsi="Arial" w:cs="Arial"/>
                    <w:b w:val="0"/>
                    <w:sz w:val="22"/>
                    <w:szCs w:val="22"/>
                    <w:lang w:val="en-GB"/>
                  </w:rPr>
                  <w:t>Ten Year Network Development Plan</w:t>
                </w:r>
              </w:p>
            </w:tc>
          </w:tr>
        </w:tbl>
        <w:p w14:paraId="4AB771C7" w14:textId="77777777" w:rsidR="006D42BD" w:rsidRPr="00FF027F" w:rsidRDefault="006D42BD" w:rsidP="00756F59">
          <w:pPr>
            <w:pStyle w:val="Heading1"/>
            <w:numPr>
              <w:ilvl w:val="0"/>
              <w:numId w:val="0"/>
            </w:numPr>
            <w:ind w:left="90"/>
          </w:pPr>
        </w:p>
        <w:p w14:paraId="34CA1376" w14:textId="77777777" w:rsidR="006D42BD" w:rsidRPr="00FF027F" w:rsidRDefault="006D42BD" w:rsidP="006D42BD">
          <w:pPr>
            <w:rPr>
              <w:lang w:val="en-GB" w:eastAsia="en-GB"/>
            </w:rPr>
          </w:pPr>
        </w:p>
        <w:p w14:paraId="36D13C0D" w14:textId="77777777" w:rsidR="006D42BD" w:rsidRPr="00FF027F" w:rsidRDefault="006D42BD">
          <w:pPr>
            <w:rPr>
              <w:rFonts w:ascii="Verdana" w:eastAsia="Times New Roman" w:hAnsi="Verdana" w:cs="Times New Roman Bold"/>
              <w:b/>
              <w:bCs/>
              <w:caps/>
              <w:color w:val="004494"/>
              <w:sz w:val="32"/>
              <w:szCs w:val="44"/>
              <w:lang w:val="en-GB" w:eastAsia="en-GB"/>
            </w:rPr>
          </w:pPr>
          <w:r w:rsidRPr="00FF027F">
            <w:rPr>
              <w:lang w:val="en-GB"/>
            </w:rPr>
            <w:br w:type="page"/>
          </w:r>
        </w:p>
        <w:p w14:paraId="557A57C1" w14:textId="7A94BADA" w:rsidR="00A626B4" w:rsidRPr="00FF027F" w:rsidRDefault="009C6091" w:rsidP="00756F59">
          <w:pPr>
            <w:pStyle w:val="Heading1"/>
            <w:numPr>
              <w:ilvl w:val="0"/>
              <w:numId w:val="0"/>
            </w:numPr>
            <w:ind w:left="90"/>
          </w:pPr>
          <w:bookmarkStart w:id="7" w:name="_Toc396913732"/>
          <w:r w:rsidRPr="00FF027F">
            <w:lastRenderedPageBreak/>
            <w:t>mission statement</w:t>
          </w:r>
          <w:bookmarkEnd w:id="4"/>
          <w:bookmarkEnd w:id="5"/>
          <w:bookmarkEnd w:id="7"/>
          <w:r w:rsidR="00BC6852" w:rsidRPr="00FF027F">
            <w:t xml:space="preserve"> </w:t>
          </w:r>
          <w:r w:rsidR="00A626B4" w:rsidRPr="00FF027F">
            <w:t xml:space="preserve"> </w:t>
          </w:r>
        </w:p>
        <w:p w14:paraId="518575C8" w14:textId="6177013D" w:rsidR="00F12D15" w:rsidRPr="00FF027F" w:rsidRDefault="00EC066D" w:rsidP="00F12D15">
          <w:pPr>
            <w:autoSpaceDE w:val="0"/>
            <w:autoSpaceDN w:val="0"/>
            <w:adjustRightInd w:val="0"/>
            <w:spacing w:before="360" w:after="240" w:line="360" w:lineRule="auto"/>
            <w:jc w:val="both"/>
            <w:rPr>
              <w:rFonts w:ascii="Arial" w:hAnsi="Arial" w:cs="Arial"/>
              <w:color w:val="000000"/>
              <w:lang w:val="en-GB"/>
            </w:rPr>
          </w:pPr>
          <w:r w:rsidRPr="00FF027F">
            <w:rPr>
              <w:rFonts w:ascii="Arial" w:hAnsi="Arial" w:cs="Arial"/>
              <w:color w:val="000000"/>
              <w:lang w:val="en-GB"/>
            </w:rPr>
            <w:t>The mission of the Agency for the Cooperation of Energy Regulators (the “Agency”),</w:t>
          </w:r>
          <w:r w:rsidR="00D62896" w:rsidRPr="00FF027F">
            <w:rPr>
              <w:rFonts w:ascii="Arial" w:hAnsi="Arial" w:cs="Arial"/>
              <w:color w:val="000000"/>
              <w:lang w:val="en-GB"/>
            </w:rPr>
            <w:t xml:space="preserve"> a European Union agency,</w:t>
          </w:r>
          <w:r w:rsidRPr="00FF027F">
            <w:rPr>
              <w:rFonts w:ascii="Arial" w:hAnsi="Arial" w:cs="Arial"/>
              <w:color w:val="000000"/>
              <w:lang w:val="en-GB"/>
            </w:rPr>
            <w:t xml:space="preserve"> as defined in Regulation (EC) No 713/2009</w:t>
          </w:r>
          <w:r w:rsidR="00B508EC" w:rsidRPr="00FF027F">
            <w:rPr>
              <w:rStyle w:val="FootnoteReference"/>
              <w:rFonts w:cs="Arial"/>
              <w:b w:val="0"/>
              <w:lang w:val="en-GB"/>
            </w:rPr>
            <w:footnoteReference w:id="2"/>
          </w:r>
          <w:r w:rsidRPr="00FF027F">
            <w:rPr>
              <w:rFonts w:ascii="Arial" w:hAnsi="Arial" w:cs="Arial"/>
              <w:color w:val="000000"/>
              <w:lang w:val="en-GB"/>
            </w:rPr>
            <w:t xml:space="preserve">, is to assist the National Regulatory Authorities for energy (NRAs) in exercising, at European Union (EU) level, the regulatory tasks performed in the Member States </w:t>
          </w:r>
          <w:r w:rsidR="00621B6D" w:rsidRPr="00FF027F">
            <w:rPr>
              <w:rFonts w:ascii="Arial" w:hAnsi="Arial" w:cs="Arial"/>
              <w:color w:val="000000"/>
              <w:lang w:val="en-GB"/>
            </w:rPr>
            <w:t xml:space="preserve">(MSs) </w:t>
          </w:r>
          <w:r w:rsidRPr="00FF027F">
            <w:rPr>
              <w:rFonts w:ascii="Arial" w:hAnsi="Arial" w:cs="Arial"/>
              <w:color w:val="000000"/>
              <w:lang w:val="en-GB"/>
            </w:rPr>
            <w:t>and, where necessa</w:t>
          </w:r>
          <w:r w:rsidR="00F12D15" w:rsidRPr="00FF027F">
            <w:rPr>
              <w:rFonts w:ascii="Arial" w:hAnsi="Arial" w:cs="Arial"/>
              <w:color w:val="000000"/>
              <w:lang w:val="en-GB"/>
            </w:rPr>
            <w:t>ry, to coordinate their actions, particularly on cross-border issues or on issues which, whils</w:t>
          </w:r>
          <w:r w:rsidR="00ED6957" w:rsidRPr="00FF027F">
            <w:rPr>
              <w:rFonts w:ascii="Arial" w:hAnsi="Arial" w:cs="Arial"/>
              <w:color w:val="000000"/>
              <w:lang w:val="en-GB"/>
            </w:rPr>
            <w:t>t national, have a wider impact</w:t>
          </w:r>
          <w:r w:rsidR="00F12D15" w:rsidRPr="00FF027F">
            <w:rPr>
              <w:rFonts w:ascii="Arial" w:hAnsi="Arial" w:cs="Arial"/>
              <w:color w:val="000000"/>
              <w:lang w:val="en-GB"/>
            </w:rPr>
            <w:t xml:space="preserve">. </w:t>
          </w:r>
          <w:r w:rsidR="00C6296C" w:rsidRPr="00FF027F">
            <w:rPr>
              <w:rFonts w:ascii="Arial" w:hAnsi="Arial" w:cs="Arial"/>
              <w:color w:val="000000"/>
              <w:lang w:val="en-GB"/>
            </w:rPr>
            <w:t xml:space="preserve">The Agency was therefore established to fill the regulatory gap at EU level (beyond and across national borders) and to contribute towards the effective functioning of the Internal Energy Market in electricity and natural gas. </w:t>
          </w:r>
        </w:p>
        <w:p w14:paraId="08045E5D" w14:textId="77777777" w:rsidR="00F12D15" w:rsidRPr="00FF027F" w:rsidRDefault="00ED6957" w:rsidP="00ED6957">
          <w:pPr>
            <w:autoSpaceDE w:val="0"/>
            <w:autoSpaceDN w:val="0"/>
            <w:adjustRightInd w:val="0"/>
            <w:spacing w:before="360" w:after="240" w:line="360" w:lineRule="auto"/>
            <w:jc w:val="both"/>
            <w:rPr>
              <w:rFonts w:ascii="Arial" w:hAnsi="Arial" w:cs="Arial"/>
              <w:color w:val="000000"/>
              <w:lang w:val="en-GB"/>
            </w:rPr>
          </w:pPr>
          <w:r w:rsidRPr="00FF027F">
            <w:rPr>
              <w:rFonts w:ascii="Arial" w:hAnsi="Arial" w:cs="Arial"/>
              <w:color w:val="000000"/>
              <w:lang w:val="en-GB"/>
            </w:rPr>
            <w:t xml:space="preserve">ACER plays a central role </w:t>
          </w:r>
          <w:r w:rsidR="00C6296C" w:rsidRPr="00FF027F">
            <w:rPr>
              <w:rFonts w:ascii="Arial" w:hAnsi="Arial" w:cs="Arial"/>
              <w:color w:val="000000"/>
              <w:lang w:val="en-GB"/>
            </w:rPr>
            <w:t xml:space="preserve">in </w:t>
          </w:r>
          <w:r w:rsidRPr="00FF027F">
            <w:rPr>
              <w:rFonts w:ascii="Arial" w:hAnsi="Arial" w:cs="Arial"/>
              <w:color w:val="000000"/>
              <w:lang w:val="en-GB"/>
            </w:rPr>
            <w:t xml:space="preserve">the development of EU-wide network and market rules with a view to enhance competition. </w:t>
          </w:r>
          <w:r w:rsidR="00584BB6" w:rsidRPr="00FF027F">
            <w:rPr>
              <w:rFonts w:ascii="Arial" w:hAnsi="Arial" w:cs="Arial"/>
              <w:color w:val="000000"/>
              <w:lang w:val="en-GB"/>
            </w:rPr>
            <w:t xml:space="preserve">It also has a general advisory role vis-à-vis the European Institutions as regards regulatory issues. The Agency </w:t>
          </w:r>
          <w:r w:rsidRPr="00FF027F">
            <w:rPr>
              <w:rFonts w:ascii="Arial" w:hAnsi="Arial" w:cs="Arial"/>
              <w:color w:val="000000"/>
              <w:lang w:val="en-GB"/>
            </w:rPr>
            <w:t xml:space="preserve">coordinates regional and cross-regional initiatives </w:t>
          </w:r>
          <w:r w:rsidR="00751E79" w:rsidRPr="00FF027F">
            <w:rPr>
              <w:rFonts w:ascii="Arial" w:hAnsi="Arial" w:cs="Arial"/>
              <w:color w:val="000000"/>
              <w:lang w:val="en-GB"/>
            </w:rPr>
            <w:t xml:space="preserve">to promote </w:t>
          </w:r>
          <w:r w:rsidRPr="00FF027F">
            <w:rPr>
              <w:rFonts w:ascii="Arial" w:hAnsi="Arial" w:cs="Arial"/>
              <w:color w:val="000000"/>
              <w:lang w:val="en-GB"/>
            </w:rPr>
            <w:t xml:space="preserve">market integration. It monitors the work of European networks of transmission system operators (ENTSOs) and notably </w:t>
          </w:r>
          <w:r w:rsidR="00751E79" w:rsidRPr="00FF027F">
            <w:rPr>
              <w:rFonts w:ascii="Arial" w:hAnsi="Arial" w:cs="Arial"/>
              <w:color w:val="000000"/>
              <w:lang w:val="en-GB"/>
            </w:rPr>
            <w:t xml:space="preserve">the preparation and the implementation of </w:t>
          </w:r>
          <w:r w:rsidRPr="00FF027F">
            <w:rPr>
              <w:rFonts w:ascii="Arial" w:hAnsi="Arial" w:cs="Arial"/>
              <w:color w:val="000000"/>
              <w:lang w:val="en-GB"/>
            </w:rPr>
            <w:t xml:space="preserve">their EU-wide network development plans. </w:t>
          </w:r>
          <w:r w:rsidR="00C6296C" w:rsidRPr="00FF027F">
            <w:rPr>
              <w:rFonts w:ascii="Arial" w:hAnsi="Arial" w:cs="Arial"/>
              <w:color w:val="000000"/>
              <w:lang w:val="en-GB"/>
            </w:rPr>
            <w:t>I</w:t>
          </w:r>
          <w:r w:rsidRPr="00FF027F">
            <w:rPr>
              <w:rFonts w:ascii="Arial" w:hAnsi="Arial" w:cs="Arial"/>
              <w:color w:val="000000"/>
              <w:lang w:val="en-GB"/>
            </w:rPr>
            <w:t xml:space="preserve">t </w:t>
          </w:r>
          <w:r w:rsidR="00C6296C" w:rsidRPr="00FF027F">
            <w:rPr>
              <w:rFonts w:ascii="Arial" w:hAnsi="Arial" w:cs="Arial"/>
              <w:color w:val="000000"/>
              <w:lang w:val="en-GB"/>
            </w:rPr>
            <w:t xml:space="preserve">also </w:t>
          </w:r>
          <w:r w:rsidRPr="00FF027F">
            <w:rPr>
              <w:rFonts w:ascii="Arial" w:hAnsi="Arial" w:cs="Arial"/>
              <w:color w:val="000000"/>
              <w:lang w:val="en-GB"/>
            </w:rPr>
            <w:t xml:space="preserve">monitors the functioning of gas and </w:t>
          </w:r>
          <w:r w:rsidR="00C6296C" w:rsidRPr="00FF027F">
            <w:rPr>
              <w:rFonts w:ascii="Arial" w:hAnsi="Arial" w:cs="Arial"/>
              <w:color w:val="000000"/>
              <w:lang w:val="en-GB"/>
            </w:rPr>
            <w:t>electricity markets in general</w:t>
          </w:r>
          <w:r w:rsidRPr="00FF027F">
            <w:rPr>
              <w:rFonts w:ascii="Arial" w:hAnsi="Arial" w:cs="Arial"/>
              <w:color w:val="000000"/>
              <w:lang w:val="en-GB"/>
            </w:rPr>
            <w:t>.</w:t>
          </w:r>
          <w:r w:rsidR="00C6296C" w:rsidRPr="00FF027F">
            <w:rPr>
              <w:rFonts w:ascii="Arial" w:hAnsi="Arial" w:cs="Arial"/>
              <w:color w:val="000000"/>
              <w:lang w:val="en-GB"/>
            </w:rPr>
            <w:t xml:space="preserve"> </w:t>
          </w:r>
        </w:p>
        <w:p w14:paraId="2AA4CE0F" w14:textId="77777777" w:rsidR="00C6296C" w:rsidRPr="00FF027F" w:rsidRDefault="00C6296C" w:rsidP="00C6296C">
          <w:pPr>
            <w:autoSpaceDE w:val="0"/>
            <w:autoSpaceDN w:val="0"/>
            <w:adjustRightInd w:val="0"/>
            <w:spacing w:before="360" w:after="240" w:line="360" w:lineRule="auto"/>
            <w:jc w:val="both"/>
            <w:rPr>
              <w:rFonts w:ascii="Arial" w:hAnsi="Arial" w:cs="Arial"/>
              <w:color w:val="000000"/>
              <w:lang w:val="en-GB"/>
            </w:rPr>
          </w:pPr>
          <w:r w:rsidRPr="00FF027F">
            <w:rPr>
              <w:rFonts w:ascii="Arial" w:hAnsi="Arial" w:cs="Arial"/>
              <w:color w:val="000000"/>
              <w:lang w:val="en-GB"/>
            </w:rPr>
            <w:t xml:space="preserve">The Regulation on wholesale energy market integrity and transparency (REMIT) which established rules prohibiting abusive practices affecting wholesale energy markets, extended the Agency’s responsibilities to the monitoring (at European level) of wholesale energy markets in close collaboration with national regulatory authorities. </w:t>
          </w:r>
        </w:p>
        <w:p w14:paraId="0F81D8BD" w14:textId="29F4B2F5" w:rsidR="00C6296C" w:rsidRPr="00FF027F" w:rsidRDefault="00C6296C" w:rsidP="00C6296C">
          <w:pPr>
            <w:autoSpaceDE w:val="0"/>
            <w:autoSpaceDN w:val="0"/>
            <w:adjustRightInd w:val="0"/>
            <w:spacing w:before="360" w:after="240" w:line="360" w:lineRule="auto"/>
            <w:jc w:val="both"/>
            <w:rPr>
              <w:rFonts w:ascii="Arial" w:hAnsi="Arial" w:cs="Arial"/>
              <w:color w:val="000000"/>
              <w:lang w:val="en-GB"/>
            </w:rPr>
          </w:pPr>
          <w:r w:rsidRPr="00FF027F">
            <w:rPr>
              <w:rFonts w:ascii="Arial" w:hAnsi="Arial" w:cs="Arial"/>
              <w:color w:val="000000"/>
              <w:lang w:val="en-GB"/>
            </w:rPr>
            <w:t xml:space="preserve">The Regulation on Guidelines for trans-European energy infrastructure (“TEN-E Regulation”), which lays down guidelines for the timely development of priority energy infrastructure in specified corridors and areas, expanded the Agency’s responsibilities in the energy network planning area, by involving the Agency in the process for the selection of Projects of Common Interest </w:t>
          </w:r>
          <w:r w:rsidR="00872699" w:rsidRPr="00FF027F">
            <w:rPr>
              <w:rFonts w:ascii="Arial" w:hAnsi="Arial" w:cs="Arial"/>
              <w:color w:val="000000"/>
              <w:lang w:val="en-GB"/>
            </w:rPr>
            <w:t xml:space="preserve">(PCIs) </w:t>
          </w:r>
          <w:r w:rsidRPr="00FF027F">
            <w:rPr>
              <w:rFonts w:ascii="Arial" w:hAnsi="Arial" w:cs="Arial"/>
              <w:color w:val="000000"/>
              <w:lang w:val="en-GB"/>
            </w:rPr>
            <w:t>and their regulatory treatment.</w:t>
          </w:r>
        </w:p>
        <w:p w14:paraId="0364827C" w14:textId="21F98581" w:rsidR="00F12D15" w:rsidRPr="00FF027F" w:rsidRDefault="00F12D15" w:rsidP="00931837">
          <w:pPr>
            <w:autoSpaceDE w:val="0"/>
            <w:autoSpaceDN w:val="0"/>
            <w:adjustRightInd w:val="0"/>
            <w:spacing w:before="360" w:after="240" w:line="360" w:lineRule="auto"/>
            <w:jc w:val="both"/>
            <w:rPr>
              <w:rFonts w:ascii="Arial" w:hAnsi="Arial" w:cs="Arial"/>
              <w:color w:val="000000"/>
              <w:lang w:val="en-GB"/>
            </w:rPr>
          </w:pPr>
          <w:r w:rsidRPr="00FF027F">
            <w:rPr>
              <w:rFonts w:ascii="Arial" w:hAnsi="Arial" w:cs="Arial"/>
              <w:color w:val="000000"/>
              <w:lang w:val="en-GB"/>
            </w:rPr>
            <w:t>In summary, the Agency has been assigned tasks and responsibilities by the Third Package – Directive 2009/72/EC (the “Electricity Directive"), Directive 2009/73/EC (the “Gas Directive"), Regulation (EC) No 713/2009 (the “Agency Regulation"), Regulation (EC) No 714/2009 (the “Electricity Regulation") and Regulation (EC) No 715/2009 (the “Gas Regulation")</w:t>
          </w:r>
          <w:r w:rsidR="00805781" w:rsidRPr="00FF027F">
            <w:rPr>
              <w:rFonts w:ascii="Arial" w:hAnsi="Arial" w:cs="Arial"/>
              <w:color w:val="000000"/>
              <w:lang w:val="en-GB"/>
            </w:rPr>
            <w:t xml:space="preserve"> –,</w:t>
          </w:r>
          <w:r w:rsidRPr="00FF027F">
            <w:rPr>
              <w:rFonts w:ascii="Arial" w:hAnsi="Arial" w:cs="Arial"/>
              <w:color w:val="000000"/>
              <w:lang w:val="en-GB"/>
            </w:rPr>
            <w:t xml:space="preserve"> REMIT, Regulation (EU) 994/2010 on security of gas supply, Commission Regulation (EU) 838/2010 on the inter-TSO compensation mechanism (the “ITC Regulation”) and the TEN-E Regulation. An overview of these tasks and responsibilities, and their legal bases, is presented in </w:t>
          </w:r>
          <w:r w:rsidRPr="00FF027F">
            <w:rPr>
              <w:rFonts w:ascii="Arial" w:hAnsi="Arial" w:cs="Arial"/>
              <w:lang w:val="en-GB"/>
            </w:rPr>
            <w:t>Annex X.</w:t>
          </w:r>
        </w:p>
        <w:p w14:paraId="138EC8F7" w14:textId="77777777" w:rsidR="00994630" w:rsidRDefault="00994630">
          <w:pPr>
            <w:rPr>
              <w:rFonts w:ascii="Verdana" w:eastAsia="Times New Roman" w:hAnsi="Verdana" w:cs="Times New Roman Bold"/>
              <w:b/>
              <w:bCs/>
              <w:caps/>
              <w:color w:val="004494"/>
              <w:sz w:val="40"/>
              <w:szCs w:val="40"/>
              <w:lang w:val="en-GB" w:eastAsia="en-GB"/>
            </w:rPr>
          </w:pPr>
          <w:bookmarkStart w:id="8" w:name="_Toc358640707"/>
          <w:bookmarkStart w:id="9" w:name="_Toc358640920"/>
          <w:r>
            <w:rPr>
              <w:sz w:val="40"/>
              <w:szCs w:val="40"/>
            </w:rPr>
            <w:br w:type="page"/>
          </w:r>
        </w:p>
        <w:p w14:paraId="41EE8EE3" w14:textId="4E9DB753" w:rsidR="00756F59" w:rsidRPr="00FF027F" w:rsidRDefault="00756F59" w:rsidP="00756F59">
          <w:pPr>
            <w:pStyle w:val="Heading1"/>
            <w:numPr>
              <w:ilvl w:val="0"/>
              <w:numId w:val="0"/>
            </w:numPr>
            <w:ind w:left="90"/>
          </w:pPr>
          <w:bookmarkStart w:id="10" w:name="_Toc396913733"/>
          <w:r w:rsidRPr="00FF027F">
            <w:rPr>
              <w:sz w:val="40"/>
              <w:szCs w:val="40"/>
            </w:rPr>
            <w:lastRenderedPageBreak/>
            <w:t xml:space="preserve">section </w:t>
          </w:r>
          <w:r w:rsidR="00F12A80" w:rsidRPr="00FF027F">
            <w:rPr>
              <w:sz w:val="40"/>
              <w:szCs w:val="40"/>
            </w:rPr>
            <w:t>I</w:t>
          </w:r>
          <w:r w:rsidRPr="00FF027F">
            <w:t xml:space="preserve"> </w:t>
          </w:r>
          <w:r w:rsidR="00E877A9" w:rsidRPr="00FF027F">
            <w:t>– General context</w:t>
          </w:r>
          <w:bookmarkEnd w:id="10"/>
        </w:p>
        <w:p w14:paraId="77EC6B02" w14:textId="77777777" w:rsidR="00A626B4" w:rsidRPr="00FF027F" w:rsidRDefault="009C6091" w:rsidP="00756F59">
          <w:pPr>
            <w:pStyle w:val="Heading1"/>
            <w:numPr>
              <w:ilvl w:val="0"/>
              <w:numId w:val="0"/>
            </w:numPr>
            <w:ind w:left="90"/>
          </w:pPr>
          <w:bookmarkStart w:id="11" w:name="_Toc396913734"/>
          <w:r w:rsidRPr="00FF027F">
            <w:rPr>
              <w:rStyle w:val="Heading2Char"/>
              <w:b/>
            </w:rPr>
            <w:t>STRATEGIC AIMS</w:t>
          </w:r>
          <w:bookmarkEnd w:id="8"/>
          <w:bookmarkEnd w:id="9"/>
          <w:bookmarkEnd w:id="11"/>
          <w:r w:rsidR="00BC6852" w:rsidRPr="00FF027F">
            <w:t xml:space="preserve"> </w:t>
          </w:r>
        </w:p>
        <w:p w14:paraId="7087C8A8" w14:textId="77777777" w:rsidR="00C52A6C" w:rsidRPr="00FF027F" w:rsidRDefault="00C52A6C" w:rsidP="00251DC0">
          <w:pPr>
            <w:spacing w:before="360" w:after="240" w:line="360" w:lineRule="auto"/>
            <w:jc w:val="both"/>
            <w:rPr>
              <w:rFonts w:ascii="Arial" w:hAnsi="Arial" w:cs="Arial"/>
              <w:b/>
              <w:lang w:val="en-GB" w:eastAsia="en-GB"/>
            </w:rPr>
          </w:pPr>
          <w:r w:rsidRPr="00FF027F">
            <w:rPr>
              <w:rFonts w:ascii="Arial" w:hAnsi="Arial" w:cs="Arial"/>
              <w:b/>
              <w:lang w:val="en-GB" w:eastAsia="en-GB"/>
            </w:rPr>
            <w:t>Background</w:t>
          </w:r>
        </w:p>
        <w:p w14:paraId="71F7C6C9" w14:textId="5573C47F" w:rsidR="00C52A6C" w:rsidRPr="00FF027F" w:rsidRDefault="00C52A6C" w:rsidP="00251DC0">
          <w:pPr>
            <w:spacing w:before="360" w:after="240" w:line="360" w:lineRule="auto"/>
            <w:jc w:val="both"/>
            <w:rPr>
              <w:rFonts w:ascii="Arial" w:hAnsi="Arial" w:cs="Arial"/>
              <w:lang w:val="en-GB" w:eastAsia="en-GB"/>
            </w:rPr>
          </w:pPr>
          <w:r w:rsidRPr="00FF027F">
            <w:rPr>
              <w:rFonts w:ascii="Arial" w:hAnsi="Arial" w:cs="Arial"/>
              <w:lang w:val="en-GB" w:eastAsia="en-GB"/>
            </w:rPr>
            <w:t xml:space="preserve">The Agency was established as part of the new institutional framework defined by the Third Package to support the completion of the Internal Energy Market and to fill the regulatory gap emerging in this process due to the national competences of NRAs. Therefore, in its initial period, the Agency focused its effort on tasks related to the development of common market and network operation rules - through the preparation of Framework Guidelines and, later on, the evaluation of the </w:t>
          </w:r>
          <w:r w:rsidR="00805781" w:rsidRPr="00FF027F">
            <w:rPr>
              <w:rFonts w:ascii="Arial" w:hAnsi="Arial" w:cs="Arial"/>
              <w:lang w:val="en-GB" w:eastAsia="en-GB"/>
            </w:rPr>
            <w:t>N</w:t>
          </w:r>
          <w:r w:rsidRPr="00FF027F">
            <w:rPr>
              <w:rFonts w:ascii="Arial" w:hAnsi="Arial" w:cs="Arial"/>
              <w:lang w:val="en-GB" w:eastAsia="en-GB"/>
            </w:rPr>
            <w:t xml:space="preserve">etwork </w:t>
          </w:r>
          <w:r w:rsidR="00805781" w:rsidRPr="00FF027F">
            <w:rPr>
              <w:rFonts w:ascii="Arial" w:hAnsi="Arial" w:cs="Arial"/>
              <w:lang w:val="en-GB" w:eastAsia="en-GB"/>
            </w:rPr>
            <w:t>C</w:t>
          </w:r>
          <w:r w:rsidRPr="00FF027F">
            <w:rPr>
              <w:rFonts w:ascii="Arial" w:hAnsi="Arial" w:cs="Arial"/>
              <w:lang w:val="en-GB" w:eastAsia="en-GB"/>
            </w:rPr>
            <w:t>odes drafted by the ENTSOs - and to the planning of the development of European energy networks - with its opinions on the TYNDPs. At the same time, the Agency took over from ERGEG</w:t>
          </w:r>
          <w:r w:rsidR="00872699" w:rsidRPr="00FF027F">
            <w:rPr>
              <w:rStyle w:val="FootnoteReference"/>
              <w:rFonts w:cs="Arial"/>
              <w:lang w:val="en-GB" w:eastAsia="en-GB"/>
            </w:rPr>
            <w:footnoteReference w:id="3"/>
          </w:r>
          <w:r w:rsidRPr="00FF027F">
            <w:rPr>
              <w:rFonts w:ascii="Arial" w:hAnsi="Arial" w:cs="Arial"/>
              <w:lang w:val="en-GB" w:eastAsia="en-GB"/>
            </w:rPr>
            <w:t xml:space="preserve"> the coordination and support of the Electricity and Gas Regional Initiatives</w:t>
          </w:r>
          <w:r w:rsidR="00805781" w:rsidRPr="00FF027F">
            <w:rPr>
              <w:rFonts w:ascii="Arial" w:hAnsi="Arial" w:cs="Arial"/>
              <w:lang w:val="en-GB" w:eastAsia="en-GB"/>
            </w:rPr>
            <w:t xml:space="preserve"> (ERI and GRI)</w:t>
          </w:r>
          <w:r w:rsidRPr="00FF027F">
            <w:rPr>
              <w:rFonts w:ascii="Arial" w:hAnsi="Arial" w:cs="Arial"/>
              <w:lang w:val="en-GB" w:eastAsia="en-GB"/>
            </w:rPr>
            <w:t xml:space="preserve">, a voluntary process launched by European energy regulators in 2006 and involving all energy sector stakeholders, aimed at developing pilot projects at regional level for speeding up the integration of energy markets and, later on, for promoting the early implementation of the provisions to be contained in the </w:t>
          </w:r>
          <w:r w:rsidR="00805781" w:rsidRPr="00FF027F">
            <w:rPr>
              <w:rFonts w:ascii="Arial" w:hAnsi="Arial" w:cs="Arial"/>
              <w:lang w:val="en-GB" w:eastAsia="en-GB"/>
            </w:rPr>
            <w:t>N</w:t>
          </w:r>
          <w:r w:rsidRPr="00FF027F">
            <w:rPr>
              <w:rFonts w:ascii="Arial" w:hAnsi="Arial" w:cs="Arial"/>
              <w:lang w:val="en-GB" w:eastAsia="en-GB"/>
            </w:rPr>
            <w:t xml:space="preserve">etwork </w:t>
          </w:r>
          <w:r w:rsidR="00805781" w:rsidRPr="00FF027F">
            <w:rPr>
              <w:rFonts w:ascii="Arial" w:hAnsi="Arial" w:cs="Arial"/>
              <w:lang w:val="en-GB" w:eastAsia="en-GB"/>
            </w:rPr>
            <w:t>C</w:t>
          </w:r>
          <w:r w:rsidRPr="00FF027F">
            <w:rPr>
              <w:rFonts w:ascii="Arial" w:hAnsi="Arial" w:cs="Arial"/>
              <w:lang w:val="en-GB" w:eastAsia="en-GB"/>
            </w:rPr>
            <w:t xml:space="preserve">odes. In 2012 the Agency started its Internal Energy Market monitoring activities and published its first Market Monitoring Report. </w:t>
          </w:r>
        </w:p>
        <w:p w14:paraId="0109CCF1" w14:textId="55462064" w:rsidR="00C52A6C" w:rsidRPr="00FF027F" w:rsidRDefault="00C52A6C" w:rsidP="00251DC0">
          <w:pPr>
            <w:spacing w:before="360" w:after="240" w:line="360" w:lineRule="auto"/>
            <w:jc w:val="both"/>
            <w:rPr>
              <w:rFonts w:ascii="Arial" w:hAnsi="Arial" w:cs="Arial"/>
              <w:lang w:val="en-GB" w:eastAsia="en-GB"/>
            </w:rPr>
          </w:pPr>
          <w:r w:rsidRPr="00FF027F">
            <w:rPr>
              <w:rFonts w:ascii="Arial" w:hAnsi="Arial" w:cs="Arial"/>
              <w:lang w:val="en-GB" w:eastAsia="en-GB"/>
            </w:rPr>
            <w:t>New important responsibilities were assigned to the Agency at the end of 2011 by REMIT. REMIT aims at increasing transparency of wholesale energy markets and to promote their integrity by establishing a new, sector-specific monitoring framework to detect market manipulation and insider trading, thus deterring market abusive behaviour. In this respect, the Agency was tasked with collecting trade and fundamental data related to all wholesale energy market transactions, irrespective of where they are concluded (on organised markets, through other trading venues or over the counter) and of the type of product traded (for physical delivery or financial settlement) and with conducting an initial assessment and analysis of these transactions to identify suspicious events which are then notified to NRAs, responsible for investigations and enforcement. The monitoring framework introduced by REMIT, for its geographical and product scope, is unprecedented worldwide and its implementation poses a formidable challenge for the Agency, NRAs, market participants - which will have to report trade data - and other stakeholders - responsible for reporting fundamental data. The Agency started the implementation of REMIT even before the Regulation was adopted. This activity continued in 2012 and 2013, and is continuing in 2014. The go-live of the new monitoring framework</w:t>
          </w:r>
          <w:r w:rsidR="00805781" w:rsidRPr="00FF027F">
            <w:rPr>
              <w:rFonts w:ascii="Arial" w:hAnsi="Arial" w:cs="Arial"/>
              <w:lang w:val="en-GB" w:eastAsia="en-GB"/>
            </w:rPr>
            <w:t xml:space="preserve"> with its reporting obligations</w:t>
          </w:r>
          <w:r w:rsidRPr="00FF027F">
            <w:rPr>
              <w:rFonts w:ascii="Arial" w:hAnsi="Arial" w:cs="Arial"/>
              <w:lang w:val="en-GB" w:eastAsia="en-GB"/>
            </w:rPr>
            <w:t>, whose timeline depends on the adoption of Implementing Acts by the European Commission, is expected in spring 2015. At that point, the Agency will have the information available effectively and efficiently to detect instances of suspect market manipulation and trading based on inside information. Whether the Agency will be able to actually do it will depend on the availability of the required additional expertise and resources, in an area - wholesale energy market monitoring - which is very different from the original focus of the Agency’s activities (according to the Third Package).</w:t>
          </w:r>
        </w:p>
        <w:p w14:paraId="79EF24CB" w14:textId="19204661" w:rsidR="00C52A6C" w:rsidRPr="00FF027F" w:rsidRDefault="00C52A6C" w:rsidP="00251DC0">
          <w:pPr>
            <w:spacing w:before="360" w:after="240" w:line="360" w:lineRule="auto"/>
            <w:jc w:val="both"/>
            <w:rPr>
              <w:rFonts w:ascii="Arial" w:hAnsi="Arial" w:cs="Arial"/>
              <w:lang w:val="en-GB" w:eastAsia="en-GB"/>
            </w:rPr>
          </w:pPr>
          <w:r w:rsidRPr="00FF027F">
            <w:rPr>
              <w:rFonts w:ascii="Arial" w:hAnsi="Arial" w:cs="Arial"/>
              <w:lang w:val="en-GB" w:eastAsia="en-GB"/>
            </w:rPr>
            <w:t xml:space="preserve">Finally, in 2013, the </w:t>
          </w:r>
          <w:r w:rsidR="00872699" w:rsidRPr="00FF027F">
            <w:rPr>
              <w:rFonts w:ascii="Arial" w:hAnsi="Arial" w:cs="Arial"/>
              <w:lang w:val="en-GB" w:eastAsia="en-GB"/>
            </w:rPr>
            <w:t xml:space="preserve">TEN-E </w:t>
          </w:r>
          <w:r w:rsidRPr="00FF027F">
            <w:rPr>
              <w:rFonts w:ascii="Arial" w:hAnsi="Arial" w:cs="Arial"/>
              <w:lang w:val="en-GB" w:eastAsia="en-GB"/>
            </w:rPr>
            <w:t>Regulation introduced a new framework for the development of critical energy infrastructure – PCIs</w:t>
          </w:r>
          <w:r w:rsidR="00872699" w:rsidRPr="00FF027F">
            <w:rPr>
              <w:rFonts w:ascii="Arial" w:hAnsi="Arial" w:cs="Arial"/>
              <w:lang w:val="en-GB" w:eastAsia="en-GB"/>
            </w:rPr>
            <w:t xml:space="preserve"> –</w:t>
          </w:r>
          <w:r w:rsidRPr="00FF027F">
            <w:rPr>
              <w:rFonts w:ascii="Arial" w:hAnsi="Arial" w:cs="Arial"/>
              <w:lang w:val="en-GB" w:eastAsia="en-GB"/>
            </w:rPr>
            <w:t xml:space="preserve">, foreseeing a role for the Agency in the process for identifying PCIs and in assisting NRAs in dealing with investment requests – including for cross-border cost allocation </w:t>
          </w:r>
          <w:r w:rsidR="00805781" w:rsidRPr="00FF027F">
            <w:rPr>
              <w:rFonts w:ascii="Arial" w:hAnsi="Arial" w:cs="Arial"/>
              <w:lang w:val="en-GB" w:eastAsia="en-GB"/>
            </w:rPr>
            <w:t>–</w:t>
          </w:r>
          <w:r w:rsidRPr="00FF027F">
            <w:rPr>
              <w:rFonts w:ascii="Arial" w:hAnsi="Arial" w:cs="Arial"/>
              <w:lang w:val="en-GB" w:eastAsia="en-GB"/>
            </w:rPr>
            <w:t xml:space="preserve"> submitted by PCI promoters. While the new tasks assigned to the Agency by the TEN-E Regulation are in an area – energy network development planning </w:t>
          </w:r>
          <w:r w:rsidR="00805781" w:rsidRPr="00FF027F">
            <w:rPr>
              <w:rFonts w:ascii="Arial" w:hAnsi="Arial" w:cs="Arial"/>
              <w:lang w:val="en-GB" w:eastAsia="en-GB"/>
            </w:rPr>
            <w:t>–</w:t>
          </w:r>
          <w:r w:rsidRPr="00FF027F">
            <w:rPr>
              <w:rFonts w:ascii="Arial" w:hAnsi="Arial" w:cs="Arial"/>
              <w:lang w:val="en-GB" w:eastAsia="en-GB"/>
            </w:rPr>
            <w:t xml:space="preserve"> on which the Agency had already been working on the basis of the provisions of the Third Package (e.g. the opinions on the TYNDPs), these </w:t>
          </w:r>
          <w:r w:rsidR="00805781" w:rsidRPr="00FF027F">
            <w:rPr>
              <w:rFonts w:ascii="Arial" w:hAnsi="Arial" w:cs="Arial"/>
              <w:lang w:val="en-GB" w:eastAsia="en-GB"/>
            </w:rPr>
            <w:t xml:space="preserve">new </w:t>
          </w:r>
          <w:r w:rsidRPr="00FF027F">
            <w:rPr>
              <w:rFonts w:ascii="Arial" w:hAnsi="Arial" w:cs="Arial"/>
              <w:lang w:val="en-GB" w:eastAsia="en-GB"/>
            </w:rPr>
            <w:t>tasks ha</w:t>
          </w:r>
          <w:r w:rsidR="00805781" w:rsidRPr="00FF027F">
            <w:rPr>
              <w:rFonts w:ascii="Arial" w:hAnsi="Arial" w:cs="Arial"/>
              <w:lang w:val="en-GB" w:eastAsia="en-GB"/>
            </w:rPr>
            <w:t>ve</w:t>
          </w:r>
          <w:r w:rsidRPr="00FF027F">
            <w:rPr>
              <w:rFonts w:ascii="Arial" w:hAnsi="Arial" w:cs="Arial"/>
              <w:lang w:val="en-GB" w:eastAsia="en-GB"/>
            </w:rPr>
            <w:t xml:space="preserve"> added substantially to the workload of the Agency.</w:t>
          </w:r>
        </w:p>
        <w:p w14:paraId="0FB7FB7B" w14:textId="0638A848" w:rsidR="00C52A6C" w:rsidRPr="00FF027F" w:rsidRDefault="00C52A6C" w:rsidP="00251DC0">
          <w:pPr>
            <w:spacing w:before="360" w:after="240" w:line="360" w:lineRule="auto"/>
            <w:jc w:val="both"/>
            <w:rPr>
              <w:rFonts w:ascii="Arial" w:hAnsi="Arial" w:cs="Arial"/>
              <w:lang w:val="en-GB" w:eastAsia="en-GB"/>
            </w:rPr>
          </w:pPr>
          <w:r w:rsidRPr="00FF027F">
            <w:rPr>
              <w:rFonts w:ascii="Arial" w:hAnsi="Arial" w:cs="Arial"/>
              <w:lang w:val="en-GB" w:eastAsia="en-GB"/>
            </w:rPr>
            <w:t>This brief description of the developments in the legislative mandate of the Agency since its establishment – which has focused on the main pieces of relevant legislation – illustrates, on the one hand, the most important components of the current mission of the Agency and, on the other, how this mission has been “unexpectedly” and significantly expanded over the last three years.</w:t>
          </w:r>
        </w:p>
        <w:p w14:paraId="040F10A2" w14:textId="5EF74EF8" w:rsidR="00C52A6C" w:rsidRPr="00FF027F" w:rsidRDefault="00C52A6C" w:rsidP="00994630">
          <w:pPr>
            <w:spacing w:before="240" w:after="120" w:line="360" w:lineRule="auto"/>
            <w:jc w:val="both"/>
            <w:rPr>
              <w:rFonts w:ascii="Arial" w:hAnsi="Arial" w:cs="Arial"/>
              <w:lang w:val="en-GB" w:eastAsia="en-GB"/>
            </w:rPr>
          </w:pPr>
          <w:r w:rsidRPr="00FF027F">
            <w:rPr>
              <w:rFonts w:ascii="Arial" w:hAnsi="Arial" w:cs="Arial"/>
              <w:lang w:val="en-GB" w:eastAsia="en-GB"/>
            </w:rPr>
            <w:t xml:space="preserve">Adding to this, the Agency, </w:t>
          </w:r>
          <w:r w:rsidR="007474CA">
            <w:rPr>
              <w:rFonts w:ascii="Arial" w:hAnsi="Arial" w:cs="Arial"/>
              <w:lang w:val="en-GB" w:eastAsia="en-GB"/>
            </w:rPr>
            <w:t xml:space="preserve">in cooperation with the </w:t>
          </w:r>
          <w:r w:rsidR="007474CA" w:rsidRPr="00FF027F">
            <w:rPr>
              <w:rFonts w:ascii="Arial" w:hAnsi="Arial" w:cs="Arial"/>
              <w:lang w:val="en-GB"/>
            </w:rPr>
            <w:t>Council of European Energy Regulators</w:t>
          </w:r>
          <w:r w:rsidR="007474CA">
            <w:rPr>
              <w:rFonts w:ascii="Arial" w:hAnsi="Arial" w:cs="Arial"/>
              <w:lang w:val="en-GB" w:eastAsia="en-GB"/>
            </w:rPr>
            <w:t xml:space="preserve"> (CEER), </w:t>
          </w:r>
          <w:r w:rsidRPr="00FF027F">
            <w:rPr>
              <w:rFonts w:ascii="Arial" w:hAnsi="Arial" w:cs="Arial"/>
              <w:lang w:val="en-GB" w:eastAsia="en-GB"/>
            </w:rPr>
            <w:t xml:space="preserve">at the end of last year, launched </w:t>
          </w:r>
          <w:r w:rsidR="002157B6">
            <w:rPr>
              <w:rFonts w:ascii="Arial" w:hAnsi="Arial" w:cs="Arial"/>
              <w:lang w:val="en-GB" w:eastAsia="en-GB"/>
            </w:rPr>
            <w:t xml:space="preserve">an </w:t>
          </w:r>
          <w:r w:rsidRPr="00FF027F">
            <w:rPr>
              <w:rFonts w:ascii="Arial" w:hAnsi="Arial" w:cs="Arial"/>
              <w:lang w:val="en-GB" w:eastAsia="en-GB"/>
            </w:rPr>
            <w:t>initiative</w:t>
          </w:r>
          <w:r w:rsidR="002157B6">
            <w:rPr>
              <w:rFonts w:ascii="Arial" w:hAnsi="Arial" w:cs="Arial"/>
              <w:lang w:val="en-GB" w:eastAsia="en-GB"/>
            </w:rPr>
            <w:t xml:space="preserve"> to </w:t>
          </w:r>
          <w:r w:rsidRPr="00FF027F">
            <w:rPr>
              <w:rFonts w:ascii="Arial" w:hAnsi="Arial" w:cs="Arial"/>
              <w:lang w:val="en-GB" w:eastAsia="en-GB"/>
            </w:rPr>
            <w:t xml:space="preserve">identify trends in the energy sector over the next </w:t>
          </w:r>
          <w:r w:rsidR="005C1575" w:rsidRPr="00FF027F">
            <w:rPr>
              <w:rFonts w:ascii="Arial" w:hAnsi="Arial" w:cs="Arial"/>
              <w:lang w:val="en-GB" w:eastAsia="en-GB"/>
            </w:rPr>
            <w:t>ten</w:t>
          </w:r>
          <w:r w:rsidRPr="00FF027F">
            <w:rPr>
              <w:rFonts w:ascii="Arial" w:hAnsi="Arial" w:cs="Arial"/>
              <w:lang w:val="en-GB" w:eastAsia="en-GB"/>
            </w:rPr>
            <w:t xml:space="preserve"> years and their regulatory implications. For example in the Consultation Document published on 29 April 2014, the Agency refers to the future greater penetration of renewable-based generation in the electricity sector and the likely requirement for more flexibility in the electricity and gas systems to accommodate such penetration. The </w:t>
          </w:r>
          <w:r w:rsidR="002157B6">
            <w:rPr>
              <w:rFonts w:ascii="Arial" w:hAnsi="Arial" w:cs="Arial"/>
              <w:lang w:val="en-GB" w:eastAsia="en-GB"/>
            </w:rPr>
            <w:t xml:space="preserve">results of the </w:t>
          </w:r>
          <w:r w:rsidRPr="00FF027F">
            <w:rPr>
              <w:rFonts w:ascii="Arial" w:hAnsi="Arial" w:cs="Arial"/>
              <w:lang w:val="en-GB" w:eastAsia="en-GB"/>
            </w:rPr>
            <w:t xml:space="preserve">initiative </w:t>
          </w:r>
          <w:r w:rsidR="004938AD">
            <w:rPr>
              <w:rFonts w:ascii="Arial" w:hAnsi="Arial" w:cs="Arial"/>
              <w:lang w:val="en-GB" w:eastAsia="en-GB"/>
            </w:rPr>
            <w:t xml:space="preserve">are to be </w:t>
          </w:r>
          <w:r w:rsidR="002157B6">
            <w:rPr>
              <w:rFonts w:ascii="Arial" w:hAnsi="Arial" w:cs="Arial"/>
              <w:lang w:val="en-GB" w:eastAsia="en-GB"/>
            </w:rPr>
            <w:t xml:space="preserve">presented </w:t>
          </w:r>
          <w:r w:rsidR="00FC47C0">
            <w:rPr>
              <w:rFonts w:ascii="Arial" w:hAnsi="Arial" w:cs="Arial"/>
              <w:lang w:val="en-GB" w:eastAsia="en-GB"/>
            </w:rPr>
            <w:t>in the</w:t>
          </w:r>
          <w:r w:rsidR="002157B6">
            <w:rPr>
              <w:rFonts w:ascii="Arial" w:hAnsi="Arial" w:cs="Arial"/>
              <w:lang w:val="en-GB" w:eastAsia="en-GB"/>
            </w:rPr>
            <w:t xml:space="preserve"> </w:t>
          </w:r>
          <w:r w:rsidR="002157B6" w:rsidRPr="002157B6">
            <w:rPr>
              <w:rFonts w:ascii="Arial" w:hAnsi="Arial" w:cs="Arial"/>
              <w:lang w:val="en-GB" w:eastAsia="en-GB"/>
            </w:rPr>
            <w:t>Conclusions Paper “Energy Regulation: A Bridge to 2025”</w:t>
          </w:r>
          <w:r w:rsidR="00FC47C0">
            <w:rPr>
              <w:rFonts w:ascii="Arial" w:hAnsi="Arial" w:cs="Arial"/>
              <w:lang w:val="en-GB" w:eastAsia="en-GB"/>
            </w:rPr>
            <w:t xml:space="preserve"> </w:t>
          </w:r>
          <w:r w:rsidRPr="00FF027F">
            <w:rPr>
              <w:rFonts w:ascii="Arial" w:hAnsi="Arial" w:cs="Arial"/>
              <w:lang w:val="en-GB" w:eastAsia="en-GB"/>
            </w:rPr>
            <w:t>in September 2014.</w:t>
          </w:r>
        </w:p>
        <w:p w14:paraId="325934EC" w14:textId="77777777" w:rsidR="00C52A6C" w:rsidRPr="00FF027F" w:rsidRDefault="00C52A6C" w:rsidP="00994630">
          <w:pPr>
            <w:spacing w:before="240" w:after="120" w:line="360" w:lineRule="auto"/>
            <w:jc w:val="both"/>
            <w:rPr>
              <w:rFonts w:ascii="Arial" w:hAnsi="Arial" w:cs="Arial"/>
              <w:b/>
              <w:lang w:val="en-GB" w:eastAsia="en-GB"/>
            </w:rPr>
          </w:pPr>
          <w:r w:rsidRPr="00FF027F">
            <w:rPr>
              <w:rFonts w:ascii="Arial" w:hAnsi="Arial" w:cs="Arial"/>
              <w:b/>
              <w:lang w:val="en-GB" w:eastAsia="en-GB"/>
            </w:rPr>
            <w:t>A challenging future</w:t>
          </w:r>
        </w:p>
        <w:p w14:paraId="235017E7" w14:textId="42CEB21F" w:rsidR="00C52A6C" w:rsidRPr="00FF027F" w:rsidRDefault="00C52A6C" w:rsidP="00994630">
          <w:pPr>
            <w:spacing w:before="240" w:after="120" w:line="360" w:lineRule="auto"/>
            <w:jc w:val="both"/>
            <w:rPr>
              <w:rFonts w:ascii="Arial" w:hAnsi="Arial" w:cs="Arial"/>
              <w:lang w:val="en-GB" w:eastAsia="en-GB"/>
            </w:rPr>
          </w:pPr>
          <w:r w:rsidRPr="00FF027F">
            <w:rPr>
              <w:rFonts w:ascii="Arial" w:hAnsi="Arial" w:cs="Arial"/>
              <w:lang w:val="en-GB" w:eastAsia="en-GB"/>
            </w:rPr>
            <w:t xml:space="preserve">While the current legislative framework and the first three years of its activity may indicate the areas in which the Agency will be called to operate in the future, there is no guarantee that the Agency’s mandate will not be </w:t>
          </w:r>
          <w:r w:rsidR="00805781" w:rsidRPr="00FF027F">
            <w:rPr>
              <w:rFonts w:ascii="Arial" w:hAnsi="Arial" w:cs="Arial"/>
              <w:lang w:val="en-GB" w:eastAsia="en-GB"/>
            </w:rPr>
            <w:t xml:space="preserve">again </w:t>
          </w:r>
          <w:r w:rsidRPr="00FF027F">
            <w:rPr>
              <w:rFonts w:ascii="Arial" w:hAnsi="Arial" w:cs="Arial"/>
              <w:lang w:val="en-GB" w:eastAsia="en-GB"/>
            </w:rPr>
            <w:t>further expanded, or otherwise modified</w:t>
          </w:r>
          <w:r w:rsidR="00D67B82" w:rsidRPr="00FF027F">
            <w:rPr>
              <w:rFonts w:ascii="Arial" w:hAnsi="Arial" w:cs="Arial"/>
              <w:lang w:val="en-GB" w:eastAsia="en-GB"/>
            </w:rPr>
            <w:t>,</w:t>
          </w:r>
          <w:r w:rsidRPr="00FF027F">
            <w:rPr>
              <w:rFonts w:ascii="Arial" w:hAnsi="Arial" w:cs="Arial"/>
              <w:lang w:val="en-GB" w:eastAsia="en-GB"/>
            </w:rPr>
            <w:t xml:space="preserve"> in the years to come, including in relation to the new challenges which the energy sector will face - and which the Agency itself is currently exploring through the </w:t>
          </w:r>
          <w:r w:rsidR="006336F6">
            <w:rPr>
              <w:rFonts w:ascii="Arial" w:hAnsi="Arial" w:cs="Arial"/>
              <w:lang w:val="en-GB" w:eastAsia="en-GB"/>
            </w:rPr>
            <w:t xml:space="preserve">Paper </w:t>
          </w:r>
          <w:r w:rsidRPr="00FF027F">
            <w:rPr>
              <w:rFonts w:ascii="Arial" w:hAnsi="Arial" w:cs="Arial"/>
              <w:lang w:val="en-GB" w:eastAsia="en-GB"/>
            </w:rPr>
            <w:t>“</w:t>
          </w:r>
          <w:r w:rsidR="006336F6">
            <w:rPr>
              <w:rFonts w:ascii="Arial" w:hAnsi="Arial" w:cs="Arial"/>
              <w:lang w:val="en-GB" w:eastAsia="en-GB"/>
            </w:rPr>
            <w:t xml:space="preserve">Energy Regulation: A </w:t>
          </w:r>
          <w:r w:rsidRPr="00FF027F">
            <w:rPr>
              <w:rFonts w:ascii="Arial" w:hAnsi="Arial" w:cs="Arial"/>
              <w:lang w:val="en-GB" w:eastAsia="en-GB"/>
            </w:rPr>
            <w:t>Bridge to 2025”.</w:t>
          </w:r>
        </w:p>
        <w:p w14:paraId="0A4875A7" w14:textId="0E9426EE" w:rsidR="00C52A6C" w:rsidRPr="00FF027F" w:rsidRDefault="00C52A6C" w:rsidP="00251DC0">
          <w:pPr>
            <w:spacing w:before="360" w:after="240" w:line="360" w:lineRule="auto"/>
            <w:jc w:val="both"/>
            <w:rPr>
              <w:rFonts w:ascii="Arial" w:hAnsi="Arial" w:cs="Arial"/>
              <w:lang w:val="en-GB" w:eastAsia="en-GB"/>
            </w:rPr>
          </w:pPr>
          <w:r w:rsidRPr="00FF027F">
            <w:rPr>
              <w:rFonts w:ascii="Arial" w:hAnsi="Arial" w:cs="Arial"/>
              <w:lang w:val="en-GB" w:eastAsia="en-GB"/>
            </w:rPr>
            <w:t xml:space="preserve">In particular, the Agency has demonstrated the validity of its role as an effective instrument for </w:t>
          </w:r>
          <w:r w:rsidR="00FC47C0">
            <w:rPr>
              <w:rFonts w:ascii="Arial" w:hAnsi="Arial" w:cs="Arial"/>
              <w:lang w:val="en-GB" w:eastAsia="en-GB"/>
            </w:rPr>
            <w:t xml:space="preserve">developing </w:t>
          </w:r>
          <w:r w:rsidRPr="00FF027F">
            <w:rPr>
              <w:rFonts w:ascii="Arial" w:hAnsi="Arial" w:cs="Arial"/>
              <w:lang w:val="en-GB" w:eastAsia="en-GB"/>
            </w:rPr>
            <w:t xml:space="preserve">a European dimension in the cooperation among NRAs and to make this cooperation </w:t>
          </w:r>
          <w:r w:rsidR="00FC47C0">
            <w:rPr>
              <w:rFonts w:ascii="Arial" w:hAnsi="Arial" w:cs="Arial"/>
              <w:lang w:val="en-GB" w:eastAsia="en-GB"/>
            </w:rPr>
            <w:t xml:space="preserve">even </w:t>
          </w:r>
          <w:r w:rsidRPr="00FF027F">
            <w:rPr>
              <w:rFonts w:ascii="Arial" w:hAnsi="Arial" w:cs="Arial"/>
              <w:lang w:val="en-GB" w:eastAsia="en-GB"/>
            </w:rPr>
            <w:t>more robust and effective. This successful experience may attract additional tasks to the Agency.</w:t>
          </w:r>
        </w:p>
        <w:p w14:paraId="6EE9BDA0" w14:textId="5807EBDB" w:rsidR="00C52A6C" w:rsidRPr="00FF027F" w:rsidRDefault="00C52A6C" w:rsidP="00251DC0">
          <w:pPr>
            <w:spacing w:before="360" w:after="240" w:line="360" w:lineRule="auto"/>
            <w:jc w:val="both"/>
            <w:rPr>
              <w:rFonts w:ascii="Arial" w:hAnsi="Arial" w:cs="Arial"/>
              <w:lang w:val="en-GB" w:eastAsia="en-GB"/>
            </w:rPr>
          </w:pPr>
          <w:r w:rsidRPr="00FF027F">
            <w:rPr>
              <w:rFonts w:ascii="Arial" w:hAnsi="Arial" w:cs="Arial"/>
              <w:lang w:val="en-GB" w:eastAsia="en-GB"/>
            </w:rPr>
            <w:t xml:space="preserve">Therefore, any multiannual outlook turns out to be challenging </w:t>
          </w:r>
          <w:r w:rsidR="00D67B82" w:rsidRPr="00FF027F">
            <w:rPr>
              <w:rFonts w:ascii="Arial" w:hAnsi="Arial" w:cs="Arial"/>
              <w:lang w:val="en-GB" w:eastAsia="en-GB"/>
            </w:rPr>
            <w:t xml:space="preserve">to describe </w:t>
          </w:r>
          <w:r w:rsidRPr="00FF027F">
            <w:rPr>
              <w:rFonts w:ascii="Arial" w:hAnsi="Arial" w:cs="Arial"/>
              <w:lang w:val="en-GB" w:eastAsia="en-GB"/>
            </w:rPr>
            <w:t>in at least two respects: first because of the complexity of some of the activities entrusted onto the Agency, often unprecedented, which may project some uncertainty as to the exact shape of the Agency’s action; secondly because the Agency may be called to perform tasks in new areas, something which is difficult to predict at the moment.</w:t>
          </w:r>
        </w:p>
        <w:p w14:paraId="1D73621C" w14:textId="7FF4401B" w:rsidR="00C52A6C" w:rsidRPr="00FF027F" w:rsidRDefault="00C52A6C" w:rsidP="00251DC0">
          <w:pPr>
            <w:spacing w:before="360" w:after="240" w:line="360" w:lineRule="auto"/>
            <w:jc w:val="both"/>
            <w:rPr>
              <w:rFonts w:ascii="Arial" w:hAnsi="Arial" w:cs="Arial"/>
              <w:lang w:val="en-GB" w:eastAsia="en-GB"/>
            </w:rPr>
          </w:pPr>
          <w:r w:rsidRPr="00FF027F">
            <w:rPr>
              <w:rFonts w:ascii="Arial" w:hAnsi="Arial" w:cs="Arial"/>
              <w:lang w:val="en-GB" w:eastAsia="en-GB"/>
            </w:rPr>
            <w:t xml:space="preserve">This said, it seems likely that over the next three years the Agency will focus its activities at least on the following four main </w:t>
          </w:r>
          <w:r w:rsidR="00805781" w:rsidRPr="00FF027F">
            <w:rPr>
              <w:rFonts w:ascii="Arial" w:hAnsi="Arial" w:cs="Arial"/>
              <w:lang w:val="en-GB" w:eastAsia="en-GB"/>
            </w:rPr>
            <w:t>areas</w:t>
          </w:r>
          <w:r w:rsidRPr="00FF027F">
            <w:rPr>
              <w:rFonts w:ascii="Arial" w:hAnsi="Arial" w:cs="Arial"/>
              <w:lang w:val="en-GB" w:eastAsia="en-GB"/>
            </w:rPr>
            <w:t>, which will already guide the Agency’s work next year:</w:t>
          </w:r>
          <w:r w:rsidR="00D02C52" w:rsidRPr="00FF027F">
            <w:rPr>
              <w:rFonts w:ascii="Arial" w:hAnsi="Arial" w:cs="Arial"/>
              <w:lang w:val="en-GB" w:eastAsia="en-GB"/>
            </w:rPr>
            <w:t xml:space="preserve"> </w:t>
          </w:r>
        </w:p>
        <w:p w14:paraId="3C3584CC" w14:textId="42F01BEE" w:rsidR="00104FEE" w:rsidRPr="00FF027F" w:rsidRDefault="00104FEE" w:rsidP="006D214F">
          <w:pPr>
            <w:pStyle w:val="ListParagraph"/>
            <w:numPr>
              <w:ilvl w:val="0"/>
              <w:numId w:val="55"/>
            </w:numPr>
            <w:spacing w:before="360" w:after="240" w:line="360" w:lineRule="auto"/>
            <w:jc w:val="both"/>
            <w:rPr>
              <w:rFonts w:ascii="Arial" w:hAnsi="Arial" w:cs="Arial"/>
              <w:lang w:val="en-GB" w:eastAsia="en-GB"/>
            </w:rPr>
          </w:pPr>
          <w:r w:rsidRPr="00FF027F">
            <w:rPr>
              <w:rFonts w:ascii="Arial" w:hAnsi="Arial" w:cs="Arial"/>
              <w:lang w:val="en-GB" w:eastAsia="en-GB"/>
            </w:rPr>
            <w:t>The (Post-2014) Completion of the Internal Energy Market</w:t>
          </w:r>
          <w:r w:rsidR="00D67B82" w:rsidRPr="00FF027F">
            <w:rPr>
              <w:rFonts w:ascii="Arial" w:hAnsi="Arial" w:cs="Arial"/>
              <w:lang w:val="en-GB" w:eastAsia="en-GB"/>
            </w:rPr>
            <w:t>;</w:t>
          </w:r>
        </w:p>
        <w:p w14:paraId="185C8131" w14:textId="2BAEAA87" w:rsidR="00104FEE" w:rsidRPr="00FF027F" w:rsidRDefault="00104FEE" w:rsidP="006D214F">
          <w:pPr>
            <w:pStyle w:val="ListParagraph"/>
            <w:numPr>
              <w:ilvl w:val="0"/>
              <w:numId w:val="55"/>
            </w:numPr>
            <w:spacing w:before="360" w:after="240" w:line="360" w:lineRule="auto"/>
            <w:jc w:val="both"/>
            <w:rPr>
              <w:rFonts w:ascii="Arial" w:hAnsi="Arial" w:cs="Arial"/>
              <w:lang w:val="en-GB" w:eastAsia="en-GB"/>
            </w:rPr>
          </w:pPr>
          <w:r w:rsidRPr="00FF027F">
            <w:rPr>
              <w:rFonts w:ascii="Arial" w:hAnsi="Arial" w:cs="Arial"/>
              <w:lang w:val="en-GB" w:eastAsia="en-GB"/>
            </w:rPr>
            <w:t>The Infrastructure Challenge</w:t>
          </w:r>
          <w:r w:rsidR="00D67B82" w:rsidRPr="00FF027F">
            <w:rPr>
              <w:rFonts w:ascii="Arial" w:hAnsi="Arial" w:cs="Arial"/>
              <w:lang w:val="en-GB" w:eastAsia="en-GB"/>
            </w:rPr>
            <w:t>;</w:t>
          </w:r>
        </w:p>
        <w:p w14:paraId="701297E9" w14:textId="66D0D049" w:rsidR="00104FEE" w:rsidRPr="00FF027F" w:rsidRDefault="00104FEE" w:rsidP="006D214F">
          <w:pPr>
            <w:pStyle w:val="ListParagraph"/>
            <w:numPr>
              <w:ilvl w:val="0"/>
              <w:numId w:val="55"/>
            </w:numPr>
            <w:spacing w:before="360" w:after="240" w:line="360" w:lineRule="auto"/>
            <w:jc w:val="both"/>
            <w:rPr>
              <w:rFonts w:ascii="Arial" w:hAnsi="Arial" w:cs="Arial"/>
              <w:lang w:val="en-GB" w:eastAsia="en-GB"/>
            </w:rPr>
          </w:pPr>
          <w:r w:rsidRPr="00FF027F">
            <w:rPr>
              <w:rFonts w:ascii="Arial" w:hAnsi="Arial" w:cs="Arial"/>
              <w:lang w:val="en-GB" w:eastAsia="en-GB"/>
            </w:rPr>
            <w:t>The monitoring of wholesale energy markets</w:t>
          </w:r>
          <w:r w:rsidR="00D67B82" w:rsidRPr="00FF027F">
            <w:rPr>
              <w:rFonts w:ascii="Arial" w:hAnsi="Arial" w:cs="Arial"/>
              <w:lang w:val="en-GB" w:eastAsia="en-GB"/>
            </w:rPr>
            <w:t>;</w:t>
          </w:r>
        </w:p>
        <w:p w14:paraId="049818EB" w14:textId="0CD48696" w:rsidR="00994630" w:rsidRPr="00994630" w:rsidRDefault="00104FEE" w:rsidP="00994630">
          <w:pPr>
            <w:pStyle w:val="ListParagraph"/>
            <w:numPr>
              <w:ilvl w:val="0"/>
              <w:numId w:val="55"/>
            </w:numPr>
            <w:spacing w:before="360" w:after="240" w:line="360" w:lineRule="auto"/>
            <w:jc w:val="both"/>
            <w:rPr>
              <w:rFonts w:ascii="Arial" w:hAnsi="Arial" w:cs="Arial"/>
              <w:lang w:val="en-GB" w:eastAsia="en-GB"/>
            </w:rPr>
          </w:pPr>
          <w:r w:rsidRPr="00FF027F">
            <w:rPr>
              <w:rFonts w:ascii="Arial" w:hAnsi="Arial" w:cs="Arial"/>
              <w:lang w:val="en-GB" w:eastAsia="en-GB"/>
            </w:rPr>
            <w:t>The longer-term regulatory challenges.</w:t>
          </w:r>
          <w:r w:rsidR="00994630" w:rsidRPr="00994630">
            <w:rPr>
              <w:rFonts w:ascii="Arial" w:hAnsi="Arial" w:cs="Arial"/>
              <w:lang w:val="en-GB" w:eastAsia="en-GB"/>
            </w:rPr>
            <w:br w:type="page"/>
          </w:r>
        </w:p>
        <w:p w14:paraId="737B3C91" w14:textId="53764063" w:rsidR="006C1173" w:rsidRPr="00FF027F" w:rsidRDefault="00584BB6" w:rsidP="00426300">
          <w:pPr>
            <w:pStyle w:val="Heading1"/>
            <w:numPr>
              <w:ilvl w:val="0"/>
              <w:numId w:val="0"/>
            </w:numPr>
            <w:ind w:left="90"/>
          </w:pPr>
          <w:bookmarkStart w:id="12" w:name="_Toc396913735"/>
          <w:r w:rsidRPr="00FF027F">
            <w:rPr>
              <w:sz w:val="40"/>
              <w:szCs w:val="40"/>
            </w:rPr>
            <w:lastRenderedPageBreak/>
            <w:t>section II</w:t>
          </w:r>
          <w:r w:rsidRPr="00FF027F">
            <w:t xml:space="preserve"> </w:t>
          </w:r>
          <w:r w:rsidR="00426300" w:rsidRPr="00FF027F">
            <w:t xml:space="preserve">- </w:t>
          </w:r>
          <w:r w:rsidRPr="00FF027F">
            <w:t xml:space="preserve">multiannual </w:t>
          </w:r>
          <w:r w:rsidR="00C66519" w:rsidRPr="00FF027F">
            <w:t>OUTLOOK</w:t>
          </w:r>
          <w:r w:rsidR="00B5640E" w:rsidRPr="00FF027F">
            <w:t xml:space="preserve"> 2015 - 2017</w:t>
          </w:r>
          <w:bookmarkEnd w:id="12"/>
        </w:p>
        <w:p w14:paraId="59CF8D52" w14:textId="77777777" w:rsidR="00B860BA" w:rsidRPr="00FF027F" w:rsidRDefault="00426300" w:rsidP="00A626B4">
          <w:pPr>
            <w:pStyle w:val="Heading1"/>
          </w:pPr>
          <w:bookmarkStart w:id="13" w:name="_Ref391324452"/>
          <w:bookmarkStart w:id="14" w:name="_Toc396913736"/>
          <w:r w:rsidRPr="00FF027F">
            <w:t>multiannual objectives</w:t>
          </w:r>
          <w:bookmarkEnd w:id="13"/>
          <w:bookmarkEnd w:id="14"/>
          <w:r w:rsidR="00F45E33" w:rsidRPr="00FF027F">
            <w:t xml:space="preserve"> </w:t>
          </w:r>
        </w:p>
        <w:p w14:paraId="0AD06F0B" w14:textId="77777777" w:rsidR="00D67B82" w:rsidRPr="00FF027F" w:rsidRDefault="003F5382" w:rsidP="003F5382">
          <w:pPr>
            <w:spacing w:before="360" w:after="240" w:line="360" w:lineRule="auto"/>
            <w:jc w:val="both"/>
            <w:rPr>
              <w:rFonts w:ascii="Arial" w:hAnsi="Arial" w:cs="Arial"/>
              <w:lang w:val="en-GB" w:eastAsia="en-GB"/>
            </w:rPr>
          </w:pPr>
          <w:r w:rsidRPr="00FF027F">
            <w:rPr>
              <w:rFonts w:ascii="Arial" w:hAnsi="Arial" w:cs="Arial"/>
              <w:b/>
              <w:lang w:val="en-GB" w:eastAsia="en-GB"/>
            </w:rPr>
            <w:t>The (Post-2014) Completion of the Internal Energy Market</w:t>
          </w:r>
          <w:r w:rsidRPr="00FF027F">
            <w:rPr>
              <w:rFonts w:ascii="Arial" w:hAnsi="Arial" w:cs="Arial"/>
              <w:lang w:val="en-GB" w:eastAsia="en-GB"/>
            </w:rPr>
            <w:t>. Supporting the integration of the electricity and gas markets in the European Union was the main role assigned to the Agency by its founding Regulation and other provisions in the Third Package.</w:t>
          </w:r>
        </w:p>
        <w:p w14:paraId="151271EB" w14:textId="5A0C41FA" w:rsidR="003F5382" w:rsidRPr="00FF027F" w:rsidRDefault="003F5382" w:rsidP="003F5382">
          <w:pPr>
            <w:spacing w:before="360" w:after="240" w:line="360" w:lineRule="auto"/>
            <w:jc w:val="both"/>
            <w:rPr>
              <w:rFonts w:ascii="Arial" w:hAnsi="Arial" w:cs="Arial"/>
              <w:lang w:val="en-GB" w:eastAsia="en-GB"/>
            </w:rPr>
          </w:pPr>
          <w:r w:rsidRPr="00FF027F">
            <w:rPr>
              <w:rFonts w:ascii="Arial" w:hAnsi="Arial" w:cs="Arial"/>
              <w:lang w:val="en-GB" w:eastAsia="en-GB"/>
            </w:rPr>
            <w:t>In 2011 the Council of the European Union set 2014 as the target date for the completion of the Internal Electricity and Gas Markets. Significant progress has already been achieved, both in terms of the development of the required market and network operation rules and on the ground. Therefore, while by the end of the year it will be possible to claim that the integration of the internal electricity and gas markets has advanced significantly, this process will have to continue beyond this year and the Agency will still have to be engaged and crucially contribute to it. This will</w:t>
          </w:r>
          <w:r w:rsidR="005805CE" w:rsidRPr="00FF027F">
            <w:rPr>
              <w:rFonts w:ascii="Arial" w:hAnsi="Arial" w:cs="Arial"/>
              <w:lang w:val="en-GB" w:eastAsia="en-GB"/>
            </w:rPr>
            <w:t xml:space="preserve"> relate</w:t>
          </w:r>
          <w:r w:rsidRPr="00FF027F">
            <w:rPr>
              <w:rFonts w:ascii="Arial" w:hAnsi="Arial" w:cs="Arial"/>
              <w:lang w:val="en-GB" w:eastAsia="en-GB"/>
            </w:rPr>
            <w:t xml:space="preserve">, on the one hand, to the completion and adoption of those Network Codes currently under development and, on the other hand, to the implementation of the provisions in the </w:t>
          </w:r>
          <w:r w:rsidR="00805781" w:rsidRPr="00FF027F">
            <w:rPr>
              <w:rFonts w:ascii="Arial" w:hAnsi="Arial" w:cs="Arial"/>
              <w:lang w:val="en-GB" w:eastAsia="en-GB"/>
            </w:rPr>
            <w:t xml:space="preserve">adopted </w:t>
          </w:r>
          <w:r w:rsidRPr="00FF027F">
            <w:rPr>
              <w:rFonts w:ascii="Arial" w:hAnsi="Arial" w:cs="Arial"/>
              <w:lang w:val="en-GB" w:eastAsia="en-GB"/>
            </w:rPr>
            <w:t>Network Codes, possibly ahead of their becoming binding. As an ongoing activity, the Agency will continue to monitor developments in the Internal Energy Market, as well as starting the monitoring of the implementation of the Network Codes. These monitoring activities may result in recommendations for amending Network Codes or for other regulatory intervention, which may require the involvement of the Agency.</w:t>
          </w:r>
        </w:p>
        <w:p w14:paraId="7FA90734" w14:textId="35F71AE4" w:rsidR="003F5382" w:rsidRPr="00FF027F" w:rsidRDefault="003F5382" w:rsidP="003F5382">
          <w:pPr>
            <w:spacing w:before="360" w:after="240" w:line="360" w:lineRule="auto"/>
            <w:jc w:val="both"/>
            <w:rPr>
              <w:rFonts w:ascii="Arial" w:hAnsi="Arial" w:cs="Arial"/>
              <w:lang w:val="en-GB" w:eastAsia="en-GB"/>
            </w:rPr>
          </w:pPr>
          <w:r w:rsidRPr="00FF027F">
            <w:rPr>
              <w:rFonts w:ascii="Arial" w:hAnsi="Arial" w:cs="Arial"/>
              <w:b/>
              <w:lang w:val="en-GB" w:eastAsia="en-GB"/>
            </w:rPr>
            <w:t>The Infrastructure Challenge</w:t>
          </w:r>
          <w:r w:rsidRPr="00FF027F">
            <w:rPr>
              <w:rFonts w:ascii="Arial" w:hAnsi="Arial" w:cs="Arial"/>
              <w:lang w:val="en-GB" w:eastAsia="en-GB"/>
            </w:rPr>
            <w:t xml:space="preserve">. As already mentioned, the TEN-E Regulation has introduced a new framework aimed at promoting the development of PCIs, i.e. infrastructure projects which are particularly beneficial in supporting a more integrated European energy market. In 2011 the Council of the European Union set 2015 as the target date for removing “energy islands”, i.e. </w:t>
          </w:r>
          <w:r w:rsidR="00805781" w:rsidRPr="00FF027F">
            <w:rPr>
              <w:rFonts w:ascii="Arial" w:hAnsi="Arial" w:cs="Arial"/>
              <w:lang w:val="en-GB" w:eastAsia="en-GB"/>
            </w:rPr>
            <w:t xml:space="preserve">better connect </w:t>
          </w:r>
          <w:r w:rsidRPr="00FF027F">
            <w:rPr>
              <w:rFonts w:ascii="Arial" w:hAnsi="Arial" w:cs="Arial"/>
              <w:lang w:val="en-GB" w:eastAsia="en-GB"/>
            </w:rPr>
            <w:t>those regions in the European Union whose systems have limited interconnection capacity with the rest of the Union. According to the Third Package, the Agency was already involved in the energy network development project, but the TEN-E Regulation projected this involvement into a completely new dimension. Apart from being required to assess the cost-benefit analysis methodologies developed by the ENTSOs and the consistent application of the criteria for identifying PCIs, the Agency may also be called to take decision on investment requests and cross-border cost allocation submitted by PCI promoters. PCI lists will be adopted every two years. TYNDPs - which are also developed every two years, but at present in different years for the electricity and gas sector - will serve as the basis for the PCI lists. Investment requests may be submitted by promoters of PCIs included in the lists. Therefore, the TYNDP/PCI identification/investment request process will run over two years, repeating itself every two years. The Agency will be crucially involved in all the stages of this process.</w:t>
          </w:r>
        </w:p>
        <w:p w14:paraId="128656FF" w14:textId="189D05E1" w:rsidR="003F5382" w:rsidRPr="00FF027F" w:rsidRDefault="003F5382" w:rsidP="003F5382">
          <w:pPr>
            <w:spacing w:before="360" w:after="240" w:line="360" w:lineRule="auto"/>
            <w:jc w:val="both"/>
            <w:rPr>
              <w:rFonts w:ascii="Arial" w:hAnsi="Arial" w:cs="Arial"/>
              <w:lang w:val="en-GB" w:eastAsia="en-GB"/>
            </w:rPr>
          </w:pPr>
          <w:r w:rsidRPr="00FF027F">
            <w:rPr>
              <w:rFonts w:ascii="Arial" w:hAnsi="Arial" w:cs="Arial"/>
              <w:b/>
              <w:lang w:val="en-GB" w:eastAsia="en-GB"/>
            </w:rPr>
            <w:t>The monitoring of wholesale energy markets</w:t>
          </w:r>
          <w:r w:rsidRPr="00FF027F">
            <w:rPr>
              <w:rFonts w:ascii="Arial" w:hAnsi="Arial" w:cs="Arial"/>
              <w:lang w:val="en-GB" w:eastAsia="en-GB"/>
            </w:rPr>
            <w:t>. A well-functioning pan-European energy market demands that energy is traded according to the highest transparency and integrity standards. REMIT aims at establishing the conditions for this to happen. Therefore its effective implementation constitutes an integral part of the creation of an efficient internal energy market. REMIT introduces a new, unprecedented, sector-specific market monitoring framework to detect market abuse in European wholesale energy markets</w:t>
          </w:r>
          <w:r w:rsidR="00AB2645" w:rsidRPr="00FF027F">
            <w:rPr>
              <w:rFonts w:ascii="Arial" w:hAnsi="Arial" w:cs="Arial"/>
              <w:lang w:val="en-GB" w:eastAsia="en-GB"/>
            </w:rPr>
            <w:t xml:space="preserve">, thus deterring such </w:t>
          </w:r>
          <w:r w:rsidR="00BD709E" w:rsidRPr="00FF027F">
            <w:rPr>
              <w:rFonts w:ascii="Arial" w:hAnsi="Arial" w:cs="Arial"/>
              <w:lang w:val="en-GB" w:eastAsia="en-GB"/>
            </w:rPr>
            <w:t>behaviour</w:t>
          </w:r>
          <w:r w:rsidRPr="00FF027F">
            <w:rPr>
              <w:rFonts w:ascii="Arial" w:hAnsi="Arial" w:cs="Arial"/>
              <w:lang w:val="en-GB" w:eastAsia="en-GB"/>
            </w:rPr>
            <w:t>. REMIT will be fully implemented only once the trade and fundamental data reporting obligation enters into force, which, as already indicated, is expected in the first half of 2015. At that point the Agency will have the information available to effectively and efficiently detect market manipulation and trading based on inside information. The strategy which the Agency will be able to adopt crucially depend</w:t>
          </w:r>
          <w:r w:rsidR="005C1575" w:rsidRPr="00FF027F">
            <w:rPr>
              <w:rFonts w:ascii="Arial" w:hAnsi="Arial" w:cs="Arial"/>
              <w:lang w:val="en-GB" w:eastAsia="en-GB"/>
            </w:rPr>
            <w:t>s</w:t>
          </w:r>
          <w:r w:rsidRPr="00FF027F">
            <w:rPr>
              <w:rFonts w:ascii="Arial" w:hAnsi="Arial" w:cs="Arial"/>
              <w:lang w:val="en-GB" w:eastAsia="en-GB"/>
            </w:rPr>
            <w:t xml:space="preserve"> on the available resources. In particular, given the sheer volume of transactions which will be reported by market participants, the Agency is planning to perform its monitoring functions, consisting in an initial assessment or analysis of the reported transactions, in two stages. The first stage will be based on the automatic screening performed by </w:t>
          </w:r>
          <w:r w:rsidR="00151617" w:rsidRPr="00FF027F">
            <w:rPr>
              <w:rFonts w:ascii="Arial" w:hAnsi="Arial" w:cs="Arial"/>
              <w:lang w:val="en-GB" w:eastAsia="en-GB"/>
            </w:rPr>
            <w:t>purposely</w:t>
          </w:r>
          <w:r w:rsidRPr="00FF027F">
            <w:rPr>
              <w:rFonts w:ascii="Arial" w:hAnsi="Arial" w:cs="Arial"/>
              <w:lang w:val="en-GB" w:eastAsia="en-GB"/>
            </w:rPr>
            <w:t xml:space="preserve">-developed surveillance software. This screening is expected to identify anomalous events on the basis of predefined “alerts”. The second stage will look into these anomalous events to identify those for which market abuse can be suspected and which will be notified to NRAs for investigation. This second stage will focus on market participants’ behaviour and therefore will have inevitably to be conducted by highly qualified experts, whom the Agency does not have at present and would therefore have to be </w:t>
          </w:r>
          <w:r w:rsidR="005C1575" w:rsidRPr="00FF027F">
            <w:rPr>
              <w:rFonts w:ascii="Arial" w:hAnsi="Arial" w:cs="Arial"/>
              <w:lang w:val="en-GB" w:eastAsia="en-GB"/>
            </w:rPr>
            <w:t xml:space="preserve">authorised to </w:t>
          </w:r>
          <w:r w:rsidRPr="00FF027F">
            <w:rPr>
              <w:rFonts w:ascii="Arial" w:hAnsi="Arial" w:cs="Arial"/>
              <w:lang w:val="en-GB" w:eastAsia="en-GB"/>
            </w:rPr>
            <w:t>recruit.</w:t>
          </w:r>
        </w:p>
        <w:p w14:paraId="56850F82" w14:textId="59CA8EF5" w:rsidR="007F313D" w:rsidRDefault="003F5382" w:rsidP="003F5382">
          <w:pPr>
            <w:spacing w:before="360" w:after="240" w:line="360" w:lineRule="auto"/>
            <w:jc w:val="both"/>
            <w:rPr>
              <w:rFonts w:ascii="Arial" w:hAnsi="Arial" w:cs="Arial"/>
              <w:lang w:val="en-GB" w:eastAsia="en-GB"/>
            </w:rPr>
          </w:pPr>
          <w:r w:rsidRPr="00FF027F">
            <w:rPr>
              <w:rFonts w:ascii="Arial" w:hAnsi="Arial" w:cs="Arial"/>
              <w:b/>
              <w:lang w:val="en-GB" w:eastAsia="en-GB"/>
            </w:rPr>
            <w:t>The longer-term regulatory challenges</w:t>
          </w:r>
          <w:r w:rsidRPr="00FF027F">
            <w:rPr>
              <w:rFonts w:ascii="Arial" w:hAnsi="Arial" w:cs="Arial"/>
              <w:lang w:val="en-GB" w:eastAsia="en-GB"/>
            </w:rPr>
            <w:t xml:space="preserve">. </w:t>
          </w:r>
          <w:r w:rsidR="007F313D" w:rsidRPr="007F313D">
            <w:rPr>
              <w:rFonts w:ascii="Arial" w:hAnsi="Arial" w:cs="Arial"/>
              <w:lang w:val="en-GB" w:eastAsia="en-GB"/>
            </w:rPr>
            <w:t xml:space="preserve">The </w:t>
          </w:r>
          <w:r w:rsidR="00A81000">
            <w:rPr>
              <w:rFonts w:ascii="Arial" w:hAnsi="Arial" w:cs="Arial"/>
              <w:lang w:val="en-GB" w:eastAsia="en-GB"/>
            </w:rPr>
            <w:t xml:space="preserve">Conclusions </w:t>
          </w:r>
          <w:r w:rsidR="007F313D" w:rsidRPr="007F313D">
            <w:rPr>
              <w:rFonts w:ascii="Arial" w:hAnsi="Arial" w:cs="Arial"/>
              <w:lang w:val="en-GB" w:eastAsia="en-GB"/>
            </w:rPr>
            <w:t xml:space="preserve">Paper “Energy Regulation: A Bridge to 2025” </w:t>
          </w:r>
          <w:r w:rsidR="004938AD">
            <w:rPr>
              <w:rFonts w:ascii="Arial" w:hAnsi="Arial" w:cs="Arial"/>
              <w:lang w:val="en-GB" w:eastAsia="en-GB"/>
            </w:rPr>
            <w:t xml:space="preserve">issued in September 2014 </w:t>
          </w:r>
          <w:r w:rsidR="007F313D" w:rsidRPr="007F313D">
            <w:rPr>
              <w:rFonts w:ascii="Arial" w:hAnsi="Arial" w:cs="Arial"/>
              <w:lang w:val="en-GB" w:eastAsia="en-GB"/>
            </w:rPr>
            <w:t xml:space="preserve">contains European energy regulators’ conclusions </w:t>
          </w:r>
          <w:r w:rsidR="007F313D">
            <w:rPr>
              <w:rFonts w:ascii="Arial" w:hAnsi="Arial" w:cs="Arial"/>
              <w:lang w:val="en-GB" w:eastAsia="en-GB"/>
            </w:rPr>
            <w:t xml:space="preserve">and </w:t>
          </w:r>
          <w:r w:rsidR="007F313D" w:rsidRPr="007F313D">
            <w:rPr>
              <w:rFonts w:ascii="Arial" w:hAnsi="Arial" w:cs="Arial"/>
              <w:lang w:val="en-GB" w:eastAsia="en-GB"/>
            </w:rPr>
            <w:t xml:space="preserve">on the challenges </w:t>
          </w:r>
          <w:r w:rsidR="007F313D">
            <w:rPr>
              <w:rFonts w:ascii="Arial" w:hAnsi="Arial" w:cs="Arial"/>
              <w:lang w:val="en-GB" w:eastAsia="en-GB"/>
            </w:rPr>
            <w:t xml:space="preserve">in </w:t>
          </w:r>
          <w:r w:rsidR="007F313D" w:rsidRPr="007F313D">
            <w:rPr>
              <w:rFonts w:ascii="Arial" w:hAnsi="Arial" w:cs="Arial"/>
              <w:lang w:val="en-GB" w:eastAsia="en-GB"/>
            </w:rPr>
            <w:t xml:space="preserve">the electricity and gas sectors over the coming decade and </w:t>
          </w:r>
          <w:r w:rsidR="004938AD">
            <w:rPr>
              <w:rFonts w:ascii="Arial" w:hAnsi="Arial" w:cs="Arial"/>
              <w:lang w:val="en-GB" w:eastAsia="en-GB"/>
            </w:rPr>
            <w:t xml:space="preserve">recommendations </w:t>
          </w:r>
          <w:r w:rsidR="007F313D" w:rsidRPr="007F313D">
            <w:rPr>
              <w:rFonts w:ascii="Arial" w:hAnsi="Arial" w:cs="Arial"/>
              <w:lang w:val="en-GB" w:eastAsia="en-GB"/>
            </w:rPr>
            <w:t>on the appropriate regulatory response within the framework of the Europe’s Internal Energy Market</w:t>
          </w:r>
          <w:r w:rsidRPr="00FF027F">
            <w:rPr>
              <w:rFonts w:ascii="Arial" w:hAnsi="Arial" w:cs="Arial"/>
              <w:lang w:val="en-GB" w:eastAsia="en-GB"/>
            </w:rPr>
            <w:t xml:space="preserve">. </w:t>
          </w:r>
        </w:p>
        <w:p w14:paraId="07144853" w14:textId="2BD9890B" w:rsidR="004938AD" w:rsidRDefault="007F313D" w:rsidP="003F5382">
          <w:pPr>
            <w:spacing w:before="360" w:after="240" w:line="360" w:lineRule="auto"/>
            <w:jc w:val="both"/>
            <w:rPr>
              <w:rFonts w:ascii="Arial" w:hAnsi="Arial" w:cs="Arial"/>
              <w:lang w:val="en-GB" w:eastAsia="en-GB"/>
            </w:rPr>
          </w:pPr>
          <w:r w:rsidRPr="007F313D">
            <w:rPr>
              <w:rFonts w:ascii="Arial" w:hAnsi="Arial" w:cs="Arial"/>
              <w:lang w:val="en-GB" w:eastAsia="en-GB"/>
            </w:rPr>
            <w:t xml:space="preserve">The </w:t>
          </w:r>
          <w:r w:rsidR="004938AD">
            <w:rPr>
              <w:rFonts w:ascii="Arial" w:hAnsi="Arial" w:cs="Arial"/>
              <w:lang w:val="en-GB" w:eastAsia="en-GB"/>
            </w:rPr>
            <w:t xml:space="preserve">Conclusions </w:t>
          </w:r>
          <w:r w:rsidRPr="007F313D">
            <w:rPr>
              <w:rFonts w:ascii="Arial" w:hAnsi="Arial" w:cs="Arial"/>
              <w:lang w:val="en-GB" w:eastAsia="en-GB"/>
            </w:rPr>
            <w:t xml:space="preserve">Paper covers a wide range of aspects </w:t>
          </w:r>
          <w:r w:rsidR="00A81000">
            <w:rPr>
              <w:rFonts w:ascii="Arial" w:hAnsi="Arial" w:cs="Arial"/>
              <w:lang w:val="en-GB" w:eastAsia="en-GB"/>
            </w:rPr>
            <w:t>related to</w:t>
          </w:r>
          <w:r w:rsidRPr="007F313D">
            <w:rPr>
              <w:rFonts w:ascii="Arial" w:hAnsi="Arial" w:cs="Arial"/>
              <w:lang w:val="en-GB" w:eastAsia="en-GB"/>
            </w:rPr>
            <w:t>: the gas and electricity sectors, including the changing face of electricity generation in the European Union; the changing role of Distribution System Operators; consumer empowerment and protection</w:t>
          </w:r>
          <w:r w:rsidR="00A81000">
            <w:rPr>
              <w:rFonts w:ascii="Arial" w:hAnsi="Arial" w:cs="Arial"/>
              <w:lang w:val="en-GB" w:eastAsia="en-GB"/>
            </w:rPr>
            <w:t>;</w:t>
          </w:r>
          <w:r w:rsidRPr="007F313D">
            <w:rPr>
              <w:rFonts w:ascii="Arial" w:hAnsi="Arial" w:cs="Arial"/>
              <w:lang w:val="en-GB" w:eastAsia="en-GB"/>
            </w:rPr>
            <w:t xml:space="preserve"> and retail markets. The document also includes a chapter on the governance of the process for the development of the internal European gas and electricity markets.</w:t>
          </w:r>
          <w:r w:rsidR="004938AD">
            <w:rPr>
              <w:rFonts w:ascii="Arial" w:hAnsi="Arial" w:cs="Arial"/>
              <w:lang w:val="en-GB" w:eastAsia="en-GB"/>
            </w:rPr>
            <w:t xml:space="preserve"> </w:t>
          </w:r>
          <w:r w:rsidR="003F5382" w:rsidRPr="00FF027F">
            <w:rPr>
              <w:rFonts w:ascii="Arial" w:hAnsi="Arial" w:cs="Arial"/>
              <w:lang w:val="en-GB" w:eastAsia="en-GB"/>
            </w:rPr>
            <w:t xml:space="preserve">The 2025 time horizon has been chosen to cover a period which is, at the same time, long enough to allow the development of a regulatory strategy, but not too long to keep the degree of uncertainty to a manageable level. </w:t>
          </w:r>
        </w:p>
        <w:p w14:paraId="46C426EA" w14:textId="403F1B1B" w:rsidR="003F5382" w:rsidRPr="00FF027F" w:rsidRDefault="004938AD" w:rsidP="003F5382">
          <w:pPr>
            <w:spacing w:before="360" w:after="240" w:line="360" w:lineRule="auto"/>
            <w:jc w:val="both"/>
            <w:rPr>
              <w:rFonts w:ascii="Arial" w:hAnsi="Arial" w:cs="Arial"/>
              <w:lang w:val="en-GB" w:eastAsia="en-GB"/>
            </w:rPr>
          </w:pPr>
          <w:r>
            <w:rPr>
              <w:rFonts w:ascii="Arial" w:hAnsi="Arial" w:cs="Arial"/>
              <w:lang w:val="en-GB" w:eastAsia="en-GB"/>
            </w:rPr>
            <w:t xml:space="preserve">Linked </w:t>
          </w:r>
          <w:r w:rsidR="003F5382" w:rsidRPr="00FF027F">
            <w:rPr>
              <w:rFonts w:ascii="Arial" w:hAnsi="Arial" w:cs="Arial"/>
              <w:lang w:val="en-GB" w:eastAsia="en-GB"/>
            </w:rPr>
            <w:t xml:space="preserve">to the Bridge initiative and in parallel to it, the Agency is conducting a review of the Electricity and Gas Target Models to assess whether they need to be “augmented” to better meet the challenges which the energy sector will face in the next few years. The </w:t>
          </w:r>
          <w:r w:rsidR="00A81000">
            <w:rPr>
              <w:rFonts w:ascii="Arial" w:hAnsi="Arial" w:cs="Arial"/>
              <w:lang w:val="en-GB" w:eastAsia="en-GB"/>
            </w:rPr>
            <w:t xml:space="preserve">Bridge Conclusions Paper </w:t>
          </w:r>
          <w:r w:rsidR="003F5382" w:rsidRPr="00FF027F">
            <w:rPr>
              <w:rFonts w:ascii="Arial" w:hAnsi="Arial" w:cs="Arial"/>
              <w:lang w:val="en-GB" w:eastAsia="en-GB"/>
            </w:rPr>
            <w:t>formulate</w:t>
          </w:r>
          <w:r w:rsidR="00A81000">
            <w:rPr>
              <w:rFonts w:ascii="Arial" w:hAnsi="Arial" w:cs="Arial"/>
              <w:lang w:val="en-GB" w:eastAsia="en-GB"/>
            </w:rPr>
            <w:t>s</w:t>
          </w:r>
          <w:r w:rsidR="003F5382" w:rsidRPr="00FF027F">
            <w:rPr>
              <w:rFonts w:ascii="Arial" w:hAnsi="Arial" w:cs="Arial"/>
              <w:lang w:val="en-GB" w:eastAsia="en-GB"/>
            </w:rPr>
            <w:t xml:space="preserve"> </w:t>
          </w:r>
          <w:r w:rsidR="004A0685">
            <w:rPr>
              <w:rFonts w:ascii="Arial" w:hAnsi="Arial" w:cs="Arial"/>
              <w:lang w:val="en-GB" w:eastAsia="en-GB"/>
            </w:rPr>
            <w:t xml:space="preserve">recommendations </w:t>
          </w:r>
          <w:r w:rsidR="003F5382" w:rsidRPr="00FF027F">
            <w:rPr>
              <w:rFonts w:ascii="Arial" w:hAnsi="Arial" w:cs="Arial"/>
              <w:lang w:val="en-GB" w:eastAsia="en-GB"/>
            </w:rPr>
            <w:t>for enhancing the energy market design and the regulatory and governance framework</w:t>
          </w:r>
          <w:r w:rsidR="005C1575" w:rsidRPr="00FF027F">
            <w:rPr>
              <w:rFonts w:ascii="Arial" w:hAnsi="Arial" w:cs="Arial"/>
              <w:lang w:val="en-GB" w:eastAsia="en-GB"/>
            </w:rPr>
            <w:t>s</w:t>
          </w:r>
          <w:r w:rsidR="003F5382" w:rsidRPr="00FF027F">
            <w:rPr>
              <w:rFonts w:ascii="Arial" w:hAnsi="Arial" w:cs="Arial"/>
              <w:lang w:val="en-GB" w:eastAsia="en-GB"/>
            </w:rPr>
            <w:t xml:space="preserve">. </w:t>
          </w:r>
          <w:r w:rsidR="00A81000">
            <w:rPr>
              <w:rFonts w:ascii="Arial" w:hAnsi="Arial" w:cs="Arial"/>
              <w:lang w:val="en-GB" w:eastAsia="en-GB"/>
            </w:rPr>
            <w:t>Further marke</w:t>
          </w:r>
          <w:r w:rsidR="002A779F">
            <w:rPr>
              <w:rFonts w:ascii="Arial" w:hAnsi="Arial" w:cs="Arial"/>
              <w:lang w:val="en-GB" w:eastAsia="en-GB"/>
            </w:rPr>
            <w:t>t</w:t>
          </w:r>
          <w:r w:rsidR="00A81000">
            <w:rPr>
              <w:rFonts w:ascii="Arial" w:hAnsi="Arial" w:cs="Arial"/>
              <w:lang w:val="en-GB" w:eastAsia="en-GB"/>
            </w:rPr>
            <w:t xml:space="preserve"> design proposals may result from </w:t>
          </w:r>
          <w:r w:rsidR="00A81000" w:rsidRPr="00FF027F">
            <w:rPr>
              <w:rFonts w:ascii="Arial" w:hAnsi="Arial" w:cs="Arial"/>
              <w:lang w:val="en-GB" w:eastAsia="en-GB"/>
            </w:rPr>
            <w:t>the Target Models review process</w:t>
          </w:r>
          <w:r w:rsidR="00A81000">
            <w:rPr>
              <w:rFonts w:ascii="Arial" w:hAnsi="Arial" w:cs="Arial"/>
              <w:lang w:val="en-GB" w:eastAsia="en-GB"/>
            </w:rPr>
            <w:t>.</w:t>
          </w:r>
          <w:r w:rsidR="00A81000" w:rsidRPr="00FF027F">
            <w:rPr>
              <w:rFonts w:ascii="Arial" w:hAnsi="Arial" w:cs="Arial"/>
              <w:lang w:val="en-GB" w:eastAsia="en-GB"/>
            </w:rPr>
            <w:t xml:space="preserve"> </w:t>
          </w:r>
          <w:r w:rsidR="003F5382" w:rsidRPr="00FF027F">
            <w:rPr>
              <w:rFonts w:ascii="Arial" w:hAnsi="Arial" w:cs="Arial"/>
              <w:lang w:val="en-GB" w:eastAsia="en-GB"/>
            </w:rPr>
            <w:t xml:space="preserve">These </w:t>
          </w:r>
          <w:r w:rsidR="00A81000">
            <w:rPr>
              <w:rFonts w:ascii="Arial" w:hAnsi="Arial" w:cs="Arial"/>
              <w:lang w:val="en-GB" w:eastAsia="en-GB"/>
            </w:rPr>
            <w:t xml:space="preserve">recommendations and </w:t>
          </w:r>
          <w:r w:rsidR="003F5382" w:rsidRPr="00FF027F">
            <w:rPr>
              <w:rFonts w:ascii="Arial" w:hAnsi="Arial" w:cs="Arial"/>
              <w:lang w:val="en-GB" w:eastAsia="en-GB"/>
            </w:rPr>
            <w:t xml:space="preserve">proposals may involve activities or tasks for the Agency, to be included in </w:t>
          </w:r>
          <w:r w:rsidR="004A0685">
            <w:rPr>
              <w:rFonts w:ascii="Arial" w:hAnsi="Arial" w:cs="Arial"/>
              <w:lang w:val="en-GB" w:eastAsia="en-GB"/>
            </w:rPr>
            <w:t xml:space="preserve">future </w:t>
          </w:r>
          <w:r w:rsidR="003F5382" w:rsidRPr="00FF027F">
            <w:rPr>
              <w:rFonts w:ascii="Arial" w:hAnsi="Arial" w:cs="Arial"/>
              <w:lang w:val="en-GB" w:eastAsia="en-GB"/>
            </w:rPr>
            <w:t xml:space="preserve">years’ Work Programmes. In particular, it may well be that a more robust governance framework for the Internal Energy Market </w:t>
          </w:r>
          <w:r w:rsidR="004A0685">
            <w:rPr>
              <w:rFonts w:ascii="Arial" w:hAnsi="Arial" w:cs="Arial"/>
              <w:lang w:val="en-GB" w:eastAsia="en-GB"/>
            </w:rPr>
            <w:t>would</w:t>
          </w:r>
          <w:r w:rsidR="004A0685" w:rsidRPr="00FF027F">
            <w:rPr>
              <w:rFonts w:ascii="Arial" w:hAnsi="Arial" w:cs="Arial"/>
              <w:lang w:val="en-GB" w:eastAsia="en-GB"/>
            </w:rPr>
            <w:t xml:space="preserve"> </w:t>
          </w:r>
          <w:r w:rsidR="003F5382" w:rsidRPr="00FF027F">
            <w:rPr>
              <w:rFonts w:ascii="Arial" w:hAnsi="Arial" w:cs="Arial"/>
              <w:lang w:val="en-GB" w:eastAsia="en-GB"/>
            </w:rPr>
            <w:t>lead to the Agency being assigned greater responsibilities to promote the European regulatory dimension.</w:t>
          </w:r>
          <w:r w:rsidR="00A81000">
            <w:rPr>
              <w:rFonts w:ascii="Arial" w:hAnsi="Arial" w:cs="Arial"/>
              <w:lang w:val="en-GB" w:eastAsia="en-GB"/>
            </w:rPr>
            <w:t xml:space="preserve"> To the extent that any of these activities or task will have to start already in 2015, and are not yet included in this Work Programme, they will be proposed as an amendment to it </w:t>
          </w:r>
          <w:r w:rsidR="002A779F">
            <w:rPr>
              <w:rFonts w:ascii="Arial" w:hAnsi="Arial" w:cs="Arial"/>
              <w:lang w:val="en-GB" w:eastAsia="en-GB"/>
            </w:rPr>
            <w:t xml:space="preserve">in </w:t>
          </w:r>
          <w:r w:rsidR="00A81000">
            <w:rPr>
              <w:rFonts w:ascii="Arial" w:hAnsi="Arial" w:cs="Arial"/>
              <w:lang w:val="en-GB" w:eastAsia="en-GB"/>
            </w:rPr>
            <w:t>early</w:t>
          </w:r>
          <w:r w:rsidR="002A779F">
            <w:rPr>
              <w:rFonts w:ascii="Arial" w:hAnsi="Arial" w:cs="Arial"/>
              <w:lang w:val="en-GB" w:eastAsia="en-GB"/>
            </w:rPr>
            <w:t xml:space="preserve"> 2015</w:t>
          </w:r>
          <w:r w:rsidR="00A81000">
            <w:rPr>
              <w:rFonts w:ascii="Arial" w:hAnsi="Arial" w:cs="Arial"/>
              <w:lang w:val="en-GB" w:eastAsia="en-GB"/>
            </w:rPr>
            <w:t>, having also regard to the budget available to the Agency which should be confirmed by then.</w:t>
          </w:r>
        </w:p>
        <w:p w14:paraId="6E15B446" w14:textId="77777777" w:rsidR="003F5382" w:rsidRPr="00FF027F" w:rsidRDefault="003F5382" w:rsidP="003F5382">
          <w:pPr>
            <w:spacing w:before="360" w:after="240" w:line="360" w:lineRule="auto"/>
            <w:jc w:val="both"/>
            <w:rPr>
              <w:rFonts w:ascii="Arial" w:hAnsi="Arial" w:cs="Arial"/>
              <w:b/>
              <w:lang w:val="en-GB" w:eastAsia="en-GB"/>
            </w:rPr>
          </w:pPr>
          <w:r w:rsidRPr="00FF027F">
            <w:rPr>
              <w:rFonts w:ascii="Arial" w:hAnsi="Arial" w:cs="Arial"/>
              <w:b/>
              <w:lang w:val="en-GB" w:eastAsia="en-GB"/>
            </w:rPr>
            <w:t>Risks and Uncertainties</w:t>
          </w:r>
        </w:p>
        <w:p w14:paraId="51B1D664" w14:textId="77777777" w:rsidR="003F5382" w:rsidRPr="00FF027F" w:rsidRDefault="003F5382" w:rsidP="00273670">
          <w:pPr>
            <w:spacing w:before="240" w:after="240" w:line="360" w:lineRule="auto"/>
            <w:jc w:val="both"/>
            <w:rPr>
              <w:rFonts w:ascii="Arial" w:hAnsi="Arial" w:cs="Arial"/>
              <w:lang w:val="en-GB" w:eastAsia="en-GB"/>
            </w:rPr>
          </w:pPr>
          <w:r w:rsidRPr="00FF027F">
            <w:rPr>
              <w:rFonts w:ascii="Arial" w:hAnsi="Arial" w:cs="Arial"/>
              <w:lang w:val="en-GB" w:eastAsia="en-GB"/>
            </w:rPr>
            <w:t>Apart from the uncertainties related to the future scope of the mission of the Agency, which has already been significantly extended since its establishment and which may be expanded again in the next years, the action of the Agency faces a number of risks, mainly related to its role as a EU institution dedicated to promoting the cooperation among energy Regulators and to the resources available to it.</w:t>
          </w:r>
        </w:p>
        <w:p w14:paraId="2E7AA900" w14:textId="77777777" w:rsidR="003F5382" w:rsidRPr="00FF027F" w:rsidRDefault="003F5382" w:rsidP="003F5382">
          <w:pPr>
            <w:spacing w:before="360" w:after="240" w:line="360" w:lineRule="auto"/>
            <w:jc w:val="both"/>
            <w:rPr>
              <w:rFonts w:ascii="Arial" w:hAnsi="Arial" w:cs="Arial"/>
              <w:lang w:val="en-GB" w:eastAsia="en-GB"/>
            </w:rPr>
          </w:pPr>
          <w:r w:rsidRPr="00FF027F">
            <w:rPr>
              <w:rFonts w:ascii="Arial" w:hAnsi="Arial" w:cs="Arial"/>
              <w:lang w:val="en-GB" w:eastAsia="en-GB"/>
            </w:rPr>
            <w:t>Risks specific to the different areas of activities are identified in the Annual Work Programme section. Here only the more general risks, affecting all the activities of the Agency, are outlined.</w:t>
          </w:r>
        </w:p>
        <w:p w14:paraId="32B22357" w14:textId="203230EF" w:rsidR="003F5382" w:rsidRPr="00FF027F" w:rsidRDefault="003F5382" w:rsidP="003F5382">
          <w:pPr>
            <w:spacing w:before="360" w:after="240" w:line="360" w:lineRule="auto"/>
            <w:jc w:val="both"/>
            <w:rPr>
              <w:rFonts w:ascii="Arial" w:hAnsi="Arial" w:cs="Arial"/>
              <w:lang w:val="en-GB" w:eastAsia="en-GB"/>
            </w:rPr>
          </w:pPr>
          <w:r w:rsidRPr="00FF027F">
            <w:rPr>
              <w:rFonts w:ascii="Arial" w:hAnsi="Arial" w:cs="Arial"/>
              <w:lang w:val="en-GB" w:eastAsia="en-GB"/>
            </w:rPr>
            <w:t xml:space="preserve">First, one of the essential </w:t>
          </w:r>
          <w:r w:rsidR="001E1CCA" w:rsidRPr="00FF027F">
            <w:rPr>
              <w:rFonts w:ascii="Arial" w:hAnsi="Arial" w:cs="Arial"/>
              <w:lang w:val="en-GB" w:eastAsia="en-GB"/>
            </w:rPr>
            <w:t>characteristics</w:t>
          </w:r>
          <w:r w:rsidRPr="00FF027F">
            <w:rPr>
              <w:rFonts w:ascii="Arial" w:hAnsi="Arial" w:cs="Arial"/>
              <w:lang w:val="en-GB" w:eastAsia="en-GB"/>
            </w:rPr>
            <w:t xml:space="preserve"> of the Agency is </w:t>
          </w:r>
          <w:r w:rsidR="001E1CCA" w:rsidRPr="00FF027F">
            <w:rPr>
              <w:rFonts w:ascii="Arial" w:hAnsi="Arial" w:cs="Arial"/>
              <w:lang w:val="en-GB" w:eastAsia="en-GB"/>
            </w:rPr>
            <w:t>the fact that it</w:t>
          </w:r>
          <w:r w:rsidRPr="00FF027F">
            <w:rPr>
              <w:rFonts w:ascii="Arial" w:hAnsi="Arial" w:cs="Arial"/>
              <w:lang w:val="en-GB" w:eastAsia="en-GB"/>
            </w:rPr>
            <w:t xml:space="preserve"> bring</w:t>
          </w:r>
          <w:r w:rsidR="001E1CCA" w:rsidRPr="00FF027F">
            <w:rPr>
              <w:rFonts w:ascii="Arial" w:hAnsi="Arial" w:cs="Arial"/>
              <w:lang w:val="en-GB" w:eastAsia="en-GB"/>
            </w:rPr>
            <w:t>s</w:t>
          </w:r>
          <w:r w:rsidRPr="00FF027F">
            <w:rPr>
              <w:rFonts w:ascii="Arial" w:hAnsi="Arial" w:cs="Arial"/>
              <w:lang w:val="en-GB" w:eastAsia="en-GB"/>
            </w:rPr>
            <w:t xml:space="preserve"> together the expertise and experience of NRAs and complement</w:t>
          </w:r>
          <w:r w:rsidR="001E1CCA" w:rsidRPr="00FF027F">
            <w:rPr>
              <w:rFonts w:ascii="Arial" w:hAnsi="Arial" w:cs="Arial"/>
              <w:lang w:val="en-GB" w:eastAsia="en-GB"/>
            </w:rPr>
            <w:t>s</w:t>
          </w:r>
          <w:r w:rsidRPr="00FF027F">
            <w:rPr>
              <w:rFonts w:ascii="Arial" w:hAnsi="Arial" w:cs="Arial"/>
              <w:lang w:val="en-GB" w:eastAsia="en-GB"/>
            </w:rPr>
            <w:t xml:space="preserve"> </w:t>
          </w:r>
          <w:r w:rsidR="001E1CCA" w:rsidRPr="00FF027F">
            <w:rPr>
              <w:rFonts w:ascii="Arial" w:hAnsi="Arial" w:cs="Arial"/>
              <w:lang w:val="en-GB" w:eastAsia="en-GB"/>
            </w:rPr>
            <w:t>them</w:t>
          </w:r>
          <w:r w:rsidRPr="00FF027F">
            <w:rPr>
              <w:rFonts w:ascii="Arial" w:hAnsi="Arial" w:cs="Arial"/>
              <w:lang w:val="en-GB" w:eastAsia="en-GB"/>
            </w:rPr>
            <w:t xml:space="preserve"> with a European dimension. The cooperation between the Agency and NRAs and between NRAs within the Agency is therefore an essential part of the working method of the Agency. Such cooperation takes place, at technical level, in the Agency’s Working Groups (AWGs), which </w:t>
          </w:r>
          <w:r w:rsidR="001E1CCA" w:rsidRPr="00FF027F">
            <w:rPr>
              <w:rFonts w:ascii="Arial" w:hAnsi="Arial" w:cs="Arial"/>
              <w:lang w:val="en-GB" w:eastAsia="en-GB"/>
            </w:rPr>
            <w:t xml:space="preserve">are composed of </w:t>
          </w:r>
          <w:r w:rsidRPr="00FF027F">
            <w:rPr>
              <w:rFonts w:ascii="Arial" w:hAnsi="Arial" w:cs="Arial"/>
              <w:lang w:val="en-GB" w:eastAsia="en-GB"/>
            </w:rPr>
            <w:t xml:space="preserve">NRAs’ experts and Agency’s staff. However, AWGs are not part of the institutional set-up of the Agency and NRAs contribute to them on a purely voluntary basis. The Agency therefore faces the </w:t>
          </w:r>
          <w:r w:rsidR="004A0685">
            <w:rPr>
              <w:rFonts w:ascii="Arial" w:hAnsi="Arial" w:cs="Arial"/>
              <w:lang w:val="en-GB" w:eastAsia="en-GB"/>
            </w:rPr>
            <w:t xml:space="preserve">possible </w:t>
          </w:r>
          <w:r w:rsidRPr="00FF027F">
            <w:rPr>
              <w:rFonts w:ascii="Arial" w:hAnsi="Arial" w:cs="Arial"/>
              <w:lang w:val="en-GB" w:eastAsia="en-GB"/>
            </w:rPr>
            <w:t xml:space="preserve">risk of a diminished engagement of NRAs in AWGs, possibly due to NRAs facing resource limitations. Apart from </w:t>
          </w:r>
          <w:r w:rsidR="001E1CCA" w:rsidRPr="00FF027F">
            <w:rPr>
              <w:rFonts w:ascii="Arial" w:hAnsi="Arial" w:cs="Arial"/>
              <w:lang w:val="en-GB" w:eastAsia="en-GB"/>
            </w:rPr>
            <w:t>under</w:t>
          </w:r>
          <w:r w:rsidRPr="00FF027F">
            <w:rPr>
              <w:rFonts w:ascii="Arial" w:hAnsi="Arial" w:cs="Arial"/>
              <w:lang w:val="en-GB" w:eastAsia="en-GB"/>
            </w:rPr>
            <w:t xml:space="preserve">mining one of the main tenets of the Agency’s action, a </w:t>
          </w:r>
          <w:r w:rsidR="004A0685">
            <w:rPr>
              <w:rFonts w:ascii="Arial" w:hAnsi="Arial" w:cs="Arial"/>
              <w:lang w:val="en-GB" w:eastAsia="en-GB"/>
            </w:rPr>
            <w:t xml:space="preserve">possible </w:t>
          </w:r>
          <w:r w:rsidRPr="00FF027F">
            <w:rPr>
              <w:rFonts w:ascii="Arial" w:hAnsi="Arial" w:cs="Arial"/>
              <w:lang w:val="en-GB" w:eastAsia="en-GB"/>
            </w:rPr>
            <w:t>reduced engagement of NRAs in AWGs w</w:t>
          </w:r>
          <w:r w:rsidR="004A0685">
            <w:rPr>
              <w:rFonts w:ascii="Arial" w:hAnsi="Arial" w:cs="Arial"/>
              <w:lang w:val="en-GB" w:eastAsia="en-GB"/>
            </w:rPr>
            <w:t>ould</w:t>
          </w:r>
          <w:r w:rsidRPr="00FF027F">
            <w:rPr>
              <w:rFonts w:ascii="Arial" w:hAnsi="Arial" w:cs="Arial"/>
              <w:lang w:val="en-GB" w:eastAsia="en-GB"/>
            </w:rPr>
            <w:t xml:space="preserve"> significantly impair the Agency’s ability to deliver on its mandate.</w:t>
          </w:r>
        </w:p>
        <w:p w14:paraId="77029F3D" w14:textId="69EC17CF" w:rsidR="003F5382" w:rsidRPr="00FF027F" w:rsidRDefault="003F5382" w:rsidP="003F5382">
          <w:pPr>
            <w:spacing w:before="360" w:after="240" w:line="360" w:lineRule="auto"/>
            <w:jc w:val="both"/>
            <w:rPr>
              <w:rFonts w:ascii="Arial" w:hAnsi="Arial" w:cs="Arial"/>
              <w:lang w:val="en-GB" w:eastAsia="en-GB"/>
            </w:rPr>
          </w:pPr>
          <w:r w:rsidRPr="00FF027F">
            <w:rPr>
              <w:rFonts w:ascii="Arial" w:hAnsi="Arial" w:cs="Arial"/>
              <w:lang w:val="en-GB" w:eastAsia="en-GB"/>
            </w:rPr>
            <w:t>Secondly, in many areas, the tasks performed by the Agency are part of processes where other institutions and stakeholders are involved. Therefore, the time at which the Agency is required to contribute to these processes depends on the timing of the other activities included in the same processes and performed</w:t>
          </w:r>
          <w:r w:rsidR="001E1CCA" w:rsidRPr="00FF027F">
            <w:rPr>
              <w:rFonts w:ascii="Arial" w:hAnsi="Arial" w:cs="Arial"/>
              <w:lang w:val="en-GB" w:eastAsia="en-GB"/>
            </w:rPr>
            <w:t xml:space="preserve"> by</w:t>
          </w:r>
          <w:r w:rsidRPr="00FF027F">
            <w:rPr>
              <w:rFonts w:ascii="Arial" w:hAnsi="Arial" w:cs="Arial"/>
              <w:lang w:val="en-GB" w:eastAsia="en-GB"/>
            </w:rPr>
            <w:t xml:space="preserve"> other actors. These interdependencies between the activities of the Agency and those of other institutions and stakeholders, apart from creating uncertainty in the exact timing of the performance of some of the Agency’s activities, may also make the planning of the utilisation of the Agency’s own resources more </w:t>
          </w:r>
          <w:r w:rsidR="001E1CCA" w:rsidRPr="00FF027F">
            <w:rPr>
              <w:rFonts w:ascii="Arial" w:hAnsi="Arial" w:cs="Arial"/>
              <w:lang w:val="en-GB" w:eastAsia="en-GB"/>
            </w:rPr>
            <w:t>difficult</w:t>
          </w:r>
          <w:r w:rsidRPr="00FF027F">
            <w:rPr>
              <w:rFonts w:ascii="Arial" w:hAnsi="Arial" w:cs="Arial"/>
              <w:lang w:val="en-GB" w:eastAsia="en-GB"/>
            </w:rPr>
            <w:t>.</w:t>
          </w:r>
        </w:p>
        <w:p w14:paraId="6672D2E4" w14:textId="2D4E344E" w:rsidR="001C64B1" w:rsidRPr="00FF027F" w:rsidRDefault="003F5382" w:rsidP="003F5382">
          <w:pPr>
            <w:spacing w:before="360" w:after="240" w:line="360" w:lineRule="auto"/>
            <w:jc w:val="both"/>
            <w:rPr>
              <w:rFonts w:ascii="Arial" w:hAnsi="Arial" w:cs="Arial"/>
              <w:lang w:val="en-GB"/>
            </w:rPr>
          </w:pPr>
          <w:r w:rsidRPr="00FF027F">
            <w:rPr>
              <w:rFonts w:ascii="Arial" w:hAnsi="Arial" w:cs="Arial"/>
              <w:lang w:val="en-GB" w:eastAsia="en-GB"/>
            </w:rPr>
            <w:t xml:space="preserve">Finally, since new tasks have been assigned to it, the Agency has been operating with a level of resources far below what would be required to deliver on its mission effectively and in a sustainable manner. For example, the Agency started to implement REMIT before it was able to recruit any additional dedicated staff member, and the same occurred for the implementation of the TEN-E Regulation, which </w:t>
          </w:r>
          <w:r w:rsidR="001C64B1" w:rsidRPr="00FF027F">
            <w:rPr>
              <w:rFonts w:ascii="Arial" w:hAnsi="Arial" w:cs="Arial"/>
              <w:lang w:val="en-GB" w:eastAsia="en-GB"/>
            </w:rPr>
            <w:t>in fact</w:t>
          </w:r>
          <w:r w:rsidRPr="00FF027F">
            <w:rPr>
              <w:rFonts w:ascii="Arial" w:hAnsi="Arial" w:cs="Arial"/>
              <w:lang w:val="en-GB" w:eastAsia="en-GB"/>
            </w:rPr>
            <w:t xml:space="preserve"> started well before the Regulation itself was adopted. In both cases the Agency used the flexibility inherent in young and efficient organisations to redeploy staff temporarily and to ask its staff to sustain an extra-ordinary level of effort</w:t>
          </w:r>
          <w:r w:rsidR="00B5425A">
            <w:rPr>
              <w:rFonts w:ascii="Arial" w:hAnsi="Arial" w:cs="Arial"/>
              <w:lang w:val="en-GB" w:eastAsia="en-GB"/>
            </w:rPr>
            <w:t>, while counting also on the valuable support of NRAs</w:t>
          </w:r>
          <w:r w:rsidRPr="00FF027F">
            <w:rPr>
              <w:rFonts w:ascii="Arial" w:hAnsi="Arial" w:cs="Arial"/>
              <w:lang w:val="en-GB" w:eastAsia="en-GB"/>
            </w:rPr>
            <w:t xml:space="preserve">. It is however obvious that this cannot be a sustainable strategy. In particular, it is not possible to plan the future on the basis that this extra-ordinary effort will be maintained indefinitely. The experience and the better understanding of the scope of the additional tasks assigned to the Agency by REMIT and the TEN-E Regulation have indicated that the additional dedicated resources </w:t>
          </w:r>
          <w:r w:rsidR="005C1575" w:rsidRPr="00FF027F">
            <w:rPr>
              <w:rFonts w:ascii="Arial" w:hAnsi="Arial" w:cs="Arial"/>
              <w:lang w:val="en-GB" w:eastAsia="en-GB"/>
            </w:rPr>
            <w:t xml:space="preserve">already </w:t>
          </w:r>
          <w:r w:rsidRPr="00FF027F">
            <w:rPr>
              <w:rFonts w:ascii="Arial" w:hAnsi="Arial" w:cs="Arial"/>
              <w:lang w:val="en-GB" w:eastAsia="en-GB"/>
            </w:rPr>
            <w:t xml:space="preserve">assigned to the Agency (15 FTEs </w:t>
          </w:r>
          <w:r w:rsidR="001C64B1" w:rsidRPr="00FF027F">
            <w:rPr>
              <w:rFonts w:ascii="Arial" w:hAnsi="Arial" w:cs="Arial"/>
              <w:lang w:val="en-GB" w:eastAsia="en-GB"/>
            </w:rPr>
            <w:t xml:space="preserve">in 2012 and 2013 </w:t>
          </w:r>
          <w:r w:rsidRPr="00FF027F">
            <w:rPr>
              <w:rFonts w:ascii="Arial" w:hAnsi="Arial" w:cs="Arial"/>
              <w:lang w:val="en-GB" w:eastAsia="en-GB"/>
            </w:rPr>
            <w:t>and 5 FTEs</w:t>
          </w:r>
          <w:r w:rsidR="001C64B1" w:rsidRPr="00FF027F">
            <w:rPr>
              <w:rFonts w:ascii="Arial" w:hAnsi="Arial" w:cs="Arial"/>
              <w:lang w:val="en-GB" w:eastAsia="en-GB"/>
            </w:rPr>
            <w:t xml:space="preserve"> in 2014</w:t>
          </w:r>
          <w:r w:rsidRPr="00FF027F">
            <w:rPr>
              <w:rFonts w:ascii="Arial" w:hAnsi="Arial" w:cs="Arial"/>
              <w:lang w:val="en-GB" w:eastAsia="en-GB"/>
            </w:rPr>
            <w:t>, respectively) are greatly insufficient to perform those tasks. If such a situation persists, the Agency will have to identify ways to implement these Regulations compatibly with the available resources, with the risk of a less effective implementation and of the related criticisms, directed to the Agency and, possibly, to the entire EU construct.</w:t>
          </w:r>
          <w:r w:rsidRPr="00FF027F">
            <w:rPr>
              <w:rFonts w:ascii="Arial" w:hAnsi="Arial" w:cs="Arial"/>
              <w:lang w:val="en-GB"/>
            </w:rPr>
            <w:t xml:space="preserve"> </w:t>
          </w:r>
          <w:r w:rsidR="001C64B1" w:rsidRPr="00FF027F">
            <w:rPr>
              <w:rFonts w:ascii="Arial" w:hAnsi="Arial" w:cs="Arial"/>
              <w:lang w:val="en-GB"/>
            </w:rPr>
            <w:t xml:space="preserve">This document, and the Annual Work Programme presenting the specific activities which the Agency is planning to perform next year, have been developed on the assumption that the Agency will be assigned the resources required to effectively deliver on its mission, which were the basis of the estimate of revenue and expenditure for the financial year 2015, adopted by the Administrative Board on 19 March 2014, and which are presented in Section </w:t>
          </w:r>
          <w:r w:rsidR="0042177F" w:rsidRPr="00FF027F">
            <w:rPr>
              <w:rFonts w:ascii="Arial" w:hAnsi="Arial" w:cs="Arial"/>
              <w:lang w:val="en-GB"/>
            </w:rPr>
            <w:t>3.2.</w:t>
          </w:r>
        </w:p>
        <w:p w14:paraId="3CA23962" w14:textId="77777777" w:rsidR="00A626B4" w:rsidRPr="00FF027F" w:rsidRDefault="00A9486B" w:rsidP="00A626B4">
          <w:pPr>
            <w:pStyle w:val="Heading1"/>
          </w:pPr>
          <w:bookmarkStart w:id="15" w:name="_Toc396913737"/>
          <w:r w:rsidRPr="00FF027F">
            <w:t>multiannual programme</w:t>
          </w:r>
          <w:bookmarkEnd w:id="15"/>
          <w:r w:rsidR="00880C7D" w:rsidRPr="00FF027F">
            <w:t xml:space="preserve"> </w:t>
          </w:r>
        </w:p>
        <w:p w14:paraId="5C20F5B1" w14:textId="77777777" w:rsidR="00541065" w:rsidRPr="00FF027F" w:rsidRDefault="00910CEE" w:rsidP="00910CEE">
          <w:pPr>
            <w:pStyle w:val="Heading2"/>
            <w:rPr>
              <w:lang w:eastAsia="en-GB"/>
            </w:rPr>
          </w:pPr>
          <w:bookmarkStart w:id="16" w:name="_Toc396913738"/>
          <w:r w:rsidRPr="00FF027F">
            <w:rPr>
              <w:lang w:eastAsia="en-GB"/>
            </w:rPr>
            <w:t>Introduction</w:t>
          </w:r>
          <w:bookmarkEnd w:id="16"/>
          <w:r w:rsidRPr="00FF027F">
            <w:rPr>
              <w:lang w:eastAsia="en-GB"/>
            </w:rPr>
            <w:t xml:space="preserve"> </w:t>
          </w:r>
        </w:p>
        <w:p w14:paraId="23DAEAF8" w14:textId="4BF837B8" w:rsidR="00393DE2" w:rsidRPr="00FF027F" w:rsidRDefault="00393DE2" w:rsidP="00393DE2">
          <w:pPr>
            <w:pStyle w:val="Heading3"/>
            <w:rPr>
              <w:color w:val="4F81BD" w:themeColor="accent1"/>
              <w:lang w:eastAsia="en-GB"/>
            </w:rPr>
          </w:pPr>
          <w:bookmarkStart w:id="17" w:name="_Toc396913739"/>
          <w:r w:rsidRPr="00FF027F">
            <w:rPr>
              <w:color w:val="4F81BD" w:themeColor="accent1"/>
              <w:lang w:eastAsia="en-GB"/>
            </w:rPr>
            <w:t>Strategic Areas</w:t>
          </w:r>
          <w:bookmarkEnd w:id="17"/>
        </w:p>
        <w:p w14:paraId="0D92BAE6" w14:textId="6F0842BB" w:rsidR="00541065" w:rsidRPr="00FF027F" w:rsidRDefault="00541065" w:rsidP="005069E6">
          <w:pPr>
            <w:spacing w:before="360" w:after="240" w:line="360" w:lineRule="auto"/>
            <w:rPr>
              <w:rFonts w:ascii="Arial" w:hAnsi="Arial" w:cs="Arial"/>
              <w:lang w:val="en-GB" w:eastAsia="en-GB"/>
            </w:rPr>
          </w:pPr>
          <w:r w:rsidRPr="00FF027F">
            <w:rPr>
              <w:rFonts w:ascii="Arial" w:hAnsi="Arial" w:cs="Arial"/>
              <w:lang w:val="en-GB" w:eastAsia="en-GB"/>
            </w:rPr>
            <w:t xml:space="preserve">The Agency’s </w:t>
          </w:r>
          <w:r w:rsidR="00D23F74" w:rsidRPr="00FF027F">
            <w:rPr>
              <w:rFonts w:ascii="Arial" w:hAnsi="Arial" w:cs="Arial"/>
              <w:lang w:val="en-GB" w:eastAsia="en-GB"/>
            </w:rPr>
            <w:t xml:space="preserve">activities </w:t>
          </w:r>
          <w:r w:rsidRPr="00FF027F">
            <w:rPr>
              <w:rFonts w:ascii="Arial" w:hAnsi="Arial" w:cs="Arial"/>
              <w:lang w:val="en-GB" w:eastAsia="en-GB"/>
            </w:rPr>
            <w:t xml:space="preserve">over the next years will </w:t>
          </w:r>
          <w:r w:rsidR="00D23F74" w:rsidRPr="00FF027F">
            <w:rPr>
              <w:rFonts w:ascii="Arial" w:hAnsi="Arial" w:cs="Arial"/>
              <w:lang w:val="en-GB" w:eastAsia="en-GB"/>
            </w:rPr>
            <w:t>focus</w:t>
          </w:r>
          <w:r w:rsidRPr="00FF027F">
            <w:rPr>
              <w:rFonts w:ascii="Arial" w:hAnsi="Arial" w:cs="Arial"/>
              <w:lang w:val="en-GB" w:eastAsia="en-GB"/>
            </w:rPr>
            <w:t xml:space="preserve"> on four strategic areas:</w:t>
          </w:r>
        </w:p>
        <w:p w14:paraId="10030D31" w14:textId="6095129F" w:rsidR="00541065" w:rsidRPr="00FF027F" w:rsidRDefault="00541065" w:rsidP="00273670">
          <w:pPr>
            <w:pStyle w:val="ListParagraph"/>
            <w:numPr>
              <w:ilvl w:val="0"/>
              <w:numId w:val="49"/>
            </w:numPr>
            <w:spacing w:before="240" w:after="240" w:line="360" w:lineRule="auto"/>
            <w:rPr>
              <w:rFonts w:ascii="Arial" w:hAnsi="Arial" w:cs="Arial"/>
              <w:lang w:val="en-GB" w:eastAsia="en-GB"/>
            </w:rPr>
          </w:pPr>
          <w:r w:rsidRPr="00FF027F">
            <w:rPr>
              <w:rFonts w:ascii="Arial" w:hAnsi="Arial" w:cs="Arial"/>
              <w:lang w:val="en-GB" w:eastAsia="en-GB"/>
            </w:rPr>
            <w:t>(Post</w:t>
          </w:r>
          <w:r w:rsidR="005C1575" w:rsidRPr="00FF027F">
            <w:rPr>
              <w:rFonts w:ascii="Arial" w:hAnsi="Arial" w:cs="Arial"/>
              <w:lang w:val="en-GB" w:eastAsia="en-GB"/>
            </w:rPr>
            <w:t>-</w:t>
          </w:r>
          <w:r w:rsidRPr="00FF027F">
            <w:rPr>
              <w:rFonts w:ascii="Arial" w:hAnsi="Arial" w:cs="Arial"/>
              <w:lang w:val="en-GB" w:eastAsia="en-GB"/>
            </w:rPr>
            <w:t>) Completion of the Internal Energy Market</w:t>
          </w:r>
          <w:r w:rsidR="00796FC8" w:rsidRPr="00FF027F">
            <w:rPr>
              <w:rFonts w:ascii="Arial" w:hAnsi="Arial" w:cs="Arial"/>
              <w:lang w:val="en-GB" w:eastAsia="en-GB"/>
            </w:rPr>
            <w:t>;</w:t>
          </w:r>
        </w:p>
        <w:p w14:paraId="35A3F43D" w14:textId="08FDCA37" w:rsidR="00541065" w:rsidRPr="00FF027F" w:rsidRDefault="00541065" w:rsidP="006D214F">
          <w:pPr>
            <w:pStyle w:val="ListParagraph"/>
            <w:numPr>
              <w:ilvl w:val="0"/>
              <w:numId w:val="49"/>
            </w:numPr>
            <w:spacing w:before="360" w:after="240" w:line="360" w:lineRule="auto"/>
            <w:rPr>
              <w:rFonts w:ascii="Arial" w:hAnsi="Arial" w:cs="Arial"/>
              <w:lang w:val="en-GB" w:eastAsia="en-GB"/>
            </w:rPr>
          </w:pPr>
          <w:r w:rsidRPr="00FF027F">
            <w:rPr>
              <w:rFonts w:ascii="Arial" w:hAnsi="Arial" w:cs="Arial"/>
              <w:lang w:val="en-GB" w:eastAsia="en-GB"/>
            </w:rPr>
            <w:t>Wholesale Energy Market Integrity and Transparency</w:t>
          </w:r>
          <w:r w:rsidR="00796FC8" w:rsidRPr="00FF027F">
            <w:rPr>
              <w:rFonts w:ascii="Arial" w:hAnsi="Arial" w:cs="Arial"/>
              <w:lang w:val="en-GB" w:eastAsia="en-GB"/>
            </w:rPr>
            <w:t>;</w:t>
          </w:r>
        </w:p>
        <w:p w14:paraId="57009C6A" w14:textId="0B436152" w:rsidR="00541065" w:rsidRPr="00FF027F" w:rsidRDefault="00541065" w:rsidP="006D214F">
          <w:pPr>
            <w:pStyle w:val="ListParagraph"/>
            <w:numPr>
              <w:ilvl w:val="0"/>
              <w:numId w:val="49"/>
            </w:numPr>
            <w:spacing w:before="360" w:after="240" w:line="360" w:lineRule="auto"/>
            <w:rPr>
              <w:rFonts w:ascii="Arial" w:hAnsi="Arial" w:cs="Arial"/>
              <w:lang w:val="en-GB" w:eastAsia="en-GB"/>
            </w:rPr>
          </w:pPr>
          <w:r w:rsidRPr="00FF027F">
            <w:rPr>
              <w:rFonts w:ascii="Arial" w:hAnsi="Arial" w:cs="Arial"/>
              <w:lang w:val="en-GB" w:eastAsia="en-GB"/>
            </w:rPr>
            <w:t>The Infrastructure Challenge</w:t>
          </w:r>
          <w:r w:rsidR="00796FC8" w:rsidRPr="00FF027F">
            <w:rPr>
              <w:rFonts w:ascii="Arial" w:hAnsi="Arial" w:cs="Arial"/>
              <w:lang w:val="en-GB" w:eastAsia="en-GB"/>
            </w:rPr>
            <w:t>;</w:t>
          </w:r>
        </w:p>
        <w:p w14:paraId="0044FD52" w14:textId="023DD0E8" w:rsidR="00541065" w:rsidRPr="00FF027F" w:rsidRDefault="00541065" w:rsidP="006D214F">
          <w:pPr>
            <w:pStyle w:val="ListParagraph"/>
            <w:numPr>
              <w:ilvl w:val="0"/>
              <w:numId w:val="49"/>
            </w:numPr>
            <w:spacing w:before="360" w:after="240" w:line="360" w:lineRule="auto"/>
            <w:rPr>
              <w:rFonts w:ascii="Arial" w:hAnsi="Arial" w:cs="Arial"/>
              <w:lang w:val="en-GB" w:eastAsia="en-GB"/>
            </w:rPr>
          </w:pPr>
          <w:r w:rsidRPr="00FF027F">
            <w:rPr>
              <w:rFonts w:ascii="Arial" w:hAnsi="Arial" w:cs="Arial"/>
              <w:lang w:val="en-GB" w:eastAsia="en-GB"/>
            </w:rPr>
            <w:t>Future Challenges (including Renewable Energy Sources Integration)</w:t>
          </w:r>
          <w:r w:rsidR="00D81FD2" w:rsidRPr="00FF027F">
            <w:rPr>
              <w:rFonts w:ascii="Arial" w:hAnsi="Arial" w:cs="Arial"/>
              <w:lang w:val="en-GB" w:eastAsia="en-GB"/>
            </w:rPr>
            <w:t>.</w:t>
          </w:r>
        </w:p>
        <w:p w14:paraId="23A85DA5" w14:textId="247CF296" w:rsidR="00541065" w:rsidRPr="00FF027F" w:rsidRDefault="00541065" w:rsidP="005069E6">
          <w:pPr>
            <w:spacing w:before="360" w:after="240" w:line="360" w:lineRule="auto"/>
            <w:jc w:val="both"/>
            <w:rPr>
              <w:rFonts w:ascii="Arial" w:hAnsi="Arial" w:cs="Arial"/>
              <w:lang w:val="en-GB" w:eastAsia="en-GB"/>
            </w:rPr>
          </w:pPr>
          <w:r w:rsidRPr="00FF027F">
            <w:rPr>
              <w:rFonts w:ascii="Arial" w:hAnsi="Arial" w:cs="Arial"/>
              <w:lang w:val="en-GB" w:eastAsia="en-GB"/>
            </w:rPr>
            <w:t xml:space="preserve">Success in achieving </w:t>
          </w:r>
          <w:r w:rsidR="005069E6" w:rsidRPr="00FF027F">
            <w:rPr>
              <w:rFonts w:ascii="Arial" w:hAnsi="Arial" w:cs="Arial"/>
              <w:lang w:val="en-GB" w:eastAsia="en-GB"/>
            </w:rPr>
            <w:t xml:space="preserve">the </w:t>
          </w:r>
          <w:r w:rsidRPr="00FF027F">
            <w:rPr>
              <w:rFonts w:ascii="Arial" w:hAnsi="Arial" w:cs="Arial"/>
              <w:lang w:val="en-GB" w:eastAsia="en-GB"/>
            </w:rPr>
            <w:t xml:space="preserve">objectives in the above areas will depend also on </w:t>
          </w:r>
          <w:r w:rsidR="00796FC8" w:rsidRPr="00FF027F">
            <w:rPr>
              <w:rFonts w:ascii="Arial" w:hAnsi="Arial" w:cs="Arial"/>
              <w:lang w:val="en-GB" w:eastAsia="en-GB"/>
            </w:rPr>
            <w:t>developments in two</w:t>
          </w:r>
          <w:r w:rsidR="005069E6" w:rsidRPr="00FF027F">
            <w:rPr>
              <w:rFonts w:ascii="Arial" w:hAnsi="Arial" w:cs="Arial"/>
              <w:lang w:val="en-GB" w:eastAsia="en-GB"/>
            </w:rPr>
            <w:t xml:space="preserve"> more horizontal areas of work with </w:t>
          </w:r>
          <w:r w:rsidR="00796FC8" w:rsidRPr="00FF027F">
            <w:rPr>
              <w:rFonts w:ascii="Arial" w:hAnsi="Arial" w:cs="Arial"/>
              <w:lang w:val="en-GB" w:eastAsia="en-GB"/>
            </w:rPr>
            <w:t>cross-cutting effects</w:t>
          </w:r>
          <w:r w:rsidR="007E3ABC" w:rsidRPr="00FF027F">
            <w:rPr>
              <w:rFonts w:ascii="Arial" w:hAnsi="Arial" w:cs="Arial"/>
              <w:lang w:val="en-GB" w:eastAsia="en-GB"/>
            </w:rPr>
            <w:t xml:space="preserve"> on the above strategic areas: r</w:t>
          </w:r>
          <w:r w:rsidR="00796FC8" w:rsidRPr="00FF027F">
            <w:rPr>
              <w:rFonts w:ascii="Arial" w:hAnsi="Arial" w:cs="Arial"/>
              <w:lang w:val="en-GB" w:eastAsia="en-GB"/>
            </w:rPr>
            <w:t>egulatory practice and international cooperation.</w:t>
          </w:r>
        </w:p>
        <w:p w14:paraId="79812E1C" w14:textId="68732CF2" w:rsidR="00910CEE" w:rsidRPr="00FF027F" w:rsidRDefault="00910CEE" w:rsidP="00393DE2">
          <w:pPr>
            <w:pStyle w:val="Heading3"/>
            <w:rPr>
              <w:color w:val="4F81BD" w:themeColor="accent1"/>
              <w:lang w:eastAsia="en-GB"/>
            </w:rPr>
          </w:pPr>
          <w:r w:rsidRPr="00FF027F">
            <w:rPr>
              <w:color w:val="4F81BD" w:themeColor="accent1"/>
              <w:lang w:eastAsia="en-GB"/>
            </w:rPr>
            <w:lastRenderedPageBreak/>
            <w:t xml:space="preserve"> </w:t>
          </w:r>
          <w:bookmarkStart w:id="18" w:name="_Toc396913740"/>
          <w:r w:rsidRPr="00FF027F">
            <w:rPr>
              <w:color w:val="4F81BD" w:themeColor="accent1"/>
              <w:lang w:eastAsia="en-GB"/>
            </w:rPr>
            <w:t>The regulatory practice</w:t>
          </w:r>
          <w:bookmarkEnd w:id="18"/>
          <w:r w:rsidR="00393DE2" w:rsidRPr="00FF027F">
            <w:rPr>
              <w:color w:val="4F81BD" w:themeColor="accent1"/>
              <w:lang w:eastAsia="en-GB"/>
            </w:rPr>
            <w:t xml:space="preserve"> </w:t>
          </w:r>
        </w:p>
        <w:p w14:paraId="7F6B673B" w14:textId="3C112EC7" w:rsidR="001964D8" w:rsidRPr="00FF027F" w:rsidRDefault="001964D8" w:rsidP="00393DE2">
          <w:pPr>
            <w:pStyle w:val="Heading4"/>
          </w:pPr>
          <w:bookmarkStart w:id="19" w:name="_Toc358640727"/>
          <w:bookmarkStart w:id="20" w:name="_Toc358640940"/>
          <w:bookmarkStart w:id="21" w:name="_Toc382919624"/>
          <w:r w:rsidRPr="00FF027F">
            <w:t>Institutional Framework</w:t>
          </w:r>
        </w:p>
        <w:p w14:paraId="54A61494" w14:textId="538C07BD" w:rsidR="00910CEE" w:rsidRPr="00FF027F" w:rsidRDefault="00910CEE" w:rsidP="00910CEE">
          <w:pPr>
            <w:spacing w:before="360" w:after="240" w:line="360" w:lineRule="auto"/>
            <w:ind w:firstLine="720"/>
            <w:jc w:val="both"/>
            <w:rPr>
              <w:rFonts w:ascii="Arial" w:hAnsi="Arial" w:cs="Arial"/>
              <w:b/>
              <w:bCs/>
              <w:iCs/>
              <w:lang w:val="en-GB" w:eastAsia="en-GB"/>
            </w:rPr>
          </w:pPr>
          <w:r w:rsidRPr="00FF027F">
            <w:rPr>
              <w:rFonts w:ascii="Arial" w:hAnsi="Arial" w:cs="Arial"/>
              <w:b/>
              <w:bCs/>
              <w:iCs/>
              <w:lang w:val="en-GB" w:eastAsia="en-GB"/>
            </w:rPr>
            <w:t xml:space="preserve">Cooperation with NRAs </w:t>
          </w:r>
          <w:bookmarkEnd w:id="19"/>
          <w:bookmarkEnd w:id="20"/>
          <w:bookmarkEnd w:id="21"/>
        </w:p>
        <w:p w14:paraId="02706263" w14:textId="408C12F2"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bCs/>
              <w:lang w:val="en-GB" w:eastAsia="en-GB"/>
            </w:rPr>
            <w:t>The Agency promotes and facilitates the cooperation of NRAs at Union level and in the exercise of Union-related functions without</w:t>
          </w:r>
          <w:r w:rsidRPr="00FF027F">
            <w:rPr>
              <w:rFonts w:ascii="Arial" w:hAnsi="Arial" w:cs="Arial"/>
              <w:lang w:val="en-GB" w:eastAsia="en-GB"/>
            </w:rPr>
            <w:t xml:space="preserve"> replacing their regulatory functions at national level. </w:t>
          </w:r>
          <w:r w:rsidRPr="00FF027F">
            <w:rPr>
              <w:rFonts w:ascii="Arial" w:hAnsi="Arial" w:cs="Arial"/>
              <w:bCs/>
              <w:lang w:val="en-GB" w:eastAsia="en-GB"/>
            </w:rPr>
            <w:t>It thus fully complements the European mandate of the NRAs (in line with their reinforced independence) and their duty to promote, in close cooperation with each other and the Agency, a competitive, secure and environmentally sustainable internal energy market (under the Third Package).</w:t>
          </w:r>
          <w:r w:rsidRPr="00FF027F">
            <w:rPr>
              <w:rFonts w:ascii="Arial" w:hAnsi="Arial" w:cs="Arial"/>
              <w:lang w:val="en-GB" w:eastAsia="en-GB"/>
            </w:rPr>
            <w:t xml:space="preserve"> Regulatory cooperation is reflected in the Agency’s </w:t>
          </w:r>
          <w:r w:rsidR="001C64B1" w:rsidRPr="00FF027F">
            <w:rPr>
              <w:rFonts w:ascii="Arial" w:hAnsi="Arial" w:cs="Arial"/>
              <w:lang w:val="en-GB" w:eastAsia="en-GB"/>
            </w:rPr>
            <w:t xml:space="preserve">institutional </w:t>
          </w:r>
          <w:r w:rsidRPr="00FF027F">
            <w:rPr>
              <w:rFonts w:ascii="Arial" w:hAnsi="Arial" w:cs="Arial"/>
              <w:lang w:val="en-GB" w:eastAsia="en-GB"/>
            </w:rPr>
            <w:t xml:space="preserve">structure, which includes a Board of Regulators </w:t>
          </w:r>
          <w:r w:rsidR="00B5425A">
            <w:rPr>
              <w:rFonts w:ascii="Arial" w:hAnsi="Arial" w:cs="Arial"/>
              <w:lang w:val="en-GB" w:eastAsia="en-GB"/>
            </w:rPr>
            <w:t xml:space="preserve">in which </w:t>
          </w:r>
          <w:r w:rsidRPr="00FF027F">
            <w:rPr>
              <w:rFonts w:ascii="Arial" w:hAnsi="Arial" w:cs="Arial"/>
              <w:lang w:val="en-GB" w:eastAsia="en-GB"/>
            </w:rPr>
            <w:t>NRAs</w:t>
          </w:r>
          <w:r w:rsidR="00B5425A">
            <w:rPr>
              <w:rFonts w:ascii="Arial" w:hAnsi="Arial" w:cs="Arial"/>
              <w:lang w:val="en-GB" w:eastAsia="en-GB"/>
            </w:rPr>
            <w:t xml:space="preserve"> are represented</w:t>
          </w:r>
          <w:r w:rsidRPr="00FF027F">
            <w:rPr>
              <w:rFonts w:ascii="Arial" w:hAnsi="Arial" w:cs="Arial"/>
              <w:lang w:val="en-GB" w:eastAsia="en-GB"/>
            </w:rPr>
            <w:t>.</w:t>
          </w:r>
        </w:p>
        <w:p w14:paraId="2C7B23AB" w14:textId="46303F82"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 xml:space="preserve">Furthermore, regulatory cooperation is also reflected in the Agency’s internal </w:t>
          </w:r>
          <w:r w:rsidR="001C64B1" w:rsidRPr="00FF027F">
            <w:rPr>
              <w:rFonts w:ascii="Arial" w:hAnsi="Arial" w:cs="Arial"/>
              <w:lang w:val="en-GB" w:eastAsia="en-GB"/>
            </w:rPr>
            <w:t xml:space="preserve">technical </w:t>
          </w:r>
          <w:r w:rsidRPr="00FF027F">
            <w:rPr>
              <w:rFonts w:ascii="Arial" w:hAnsi="Arial" w:cs="Arial"/>
              <w:lang w:val="en-GB" w:eastAsia="en-GB"/>
            </w:rPr>
            <w:t xml:space="preserve">organisational arrangements - through Working Groups, covering the main areas of the Agency’s work, and two coordination groups on electricity and gas to oversee regional arrangements (bringing together the NRAs’ representatives and Agency’s staff). </w:t>
          </w:r>
        </w:p>
        <w:p w14:paraId="0B141757" w14:textId="77777777" w:rsidR="00910CEE" w:rsidRPr="00FF027F" w:rsidRDefault="00910CEE" w:rsidP="00910CEE">
          <w:pPr>
            <w:spacing w:before="360" w:after="240" w:line="360" w:lineRule="auto"/>
            <w:ind w:firstLine="720"/>
            <w:jc w:val="both"/>
            <w:rPr>
              <w:rFonts w:ascii="Arial" w:hAnsi="Arial" w:cs="Arial"/>
              <w:b/>
              <w:bCs/>
              <w:iCs/>
              <w:lang w:val="en-GB" w:eastAsia="en-GB"/>
            </w:rPr>
          </w:pPr>
          <w:bookmarkStart w:id="22" w:name="_Toc358640728"/>
          <w:bookmarkStart w:id="23" w:name="_Toc358640941"/>
          <w:bookmarkStart w:id="24" w:name="_Toc382919625"/>
          <w:r w:rsidRPr="00FF027F">
            <w:rPr>
              <w:rFonts w:ascii="Arial" w:hAnsi="Arial" w:cs="Arial"/>
              <w:b/>
              <w:bCs/>
              <w:iCs/>
              <w:lang w:val="en-GB" w:eastAsia="en-GB"/>
            </w:rPr>
            <w:t>Board of Regulators (BoR)</w:t>
          </w:r>
          <w:bookmarkEnd w:id="22"/>
          <w:bookmarkEnd w:id="23"/>
          <w:bookmarkEnd w:id="24"/>
        </w:p>
        <w:p w14:paraId="1CD02246" w14:textId="58BFAAC0"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 xml:space="preserve">The Board of Regulators (BoR) consists of senior representatives of NRAs, one for each MS (and one alternate), and one non-voting representative of the European Commission. The Director also participates </w:t>
          </w:r>
          <w:r w:rsidR="00AC795C" w:rsidRPr="00FF027F">
            <w:rPr>
              <w:rFonts w:ascii="Arial" w:hAnsi="Arial" w:cs="Arial"/>
              <w:lang w:val="en-GB" w:eastAsia="en-GB"/>
            </w:rPr>
            <w:t>in</w:t>
          </w:r>
          <w:r w:rsidRPr="00FF027F">
            <w:rPr>
              <w:rFonts w:ascii="Arial" w:hAnsi="Arial" w:cs="Arial"/>
              <w:lang w:val="en-GB" w:eastAsia="en-GB"/>
            </w:rPr>
            <w:t xml:space="preserve"> the BoR meetings and presents his proposals and regular updates on the Agency’s activities. Without prejudice to its members’ acting on behalf of their respective national authorities, the BoR acts independently and its decisions </w:t>
          </w:r>
          <w:r w:rsidR="00CE6E94">
            <w:rPr>
              <w:rFonts w:ascii="Arial" w:hAnsi="Arial" w:cs="Arial"/>
              <w:lang w:val="en-GB" w:eastAsia="en-GB"/>
            </w:rPr>
            <w:t xml:space="preserve">must </w:t>
          </w:r>
          <w:r w:rsidRPr="00FF027F">
            <w:rPr>
              <w:rFonts w:ascii="Arial" w:hAnsi="Arial" w:cs="Arial"/>
              <w:lang w:val="en-GB" w:eastAsia="en-GB"/>
            </w:rPr>
            <w:t>comply with European Union law.</w:t>
          </w:r>
        </w:p>
        <w:p w14:paraId="36EA4F80" w14:textId="020CB1FB" w:rsidR="001C64B1"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Under the Third Package, the BoR is</w:t>
          </w:r>
          <w:r w:rsidR="001C64B1" w:rsidRPr="00FF027F">
            <w:rPr>
              <w:rFonts w:ascii="Arial" w:hAnsi="Arial" w:cs="Arial"/>
              <w:lang w:val="en-GB" w:eastAsia="en-GB"/>
            </w:rPr>
            <w:t xml:space="preserve">, </w:t>
          </w:r>
          <w:r w:rsidR="001C64B1" w:rsidRPr="00FF027F">
            <w:rPr>
              <w:rFonts w:ascii="Arial" w:hAnsi="Arial" w:cs="Arial"/>
              <w:i/>
              <w:lang w:val="en-GB" w:eastAsia="en-GB"/>
            </w:rPr>
            <w:t>inter alia</w:t>
          </w:r>
          <w:r w:rsidR="001C64B1" w:rsidRPr="00FF027F">
            <w:rPr>
              <w:rFonts w:ascii="Arial" w:hAnsi="Arial" w:cs="Arial"/>
              <w:lang w:val="en-GB" w:eastAsia="en-GB"/>
            </w:rPr>
            <w:t>,</w:t>
          </w:r>
          <w:r w:rsidRPr="00FF027F">
            <w:rPr>
              <w:rFonts w:ascii="Arial" w:hAnsi="Arial" w:cs="Arial"/>
              <w:lang w:val="en-GB" w:eastAsia="en-GB"/>
            </w:rPr>
            <w:t xml:space="preserve"> responsible for</w:t>
          </w:r>
        </w:p>
        <w:p w14:paraId="32B61814" w14:textId="49964DF0" w:rsidR="001C64B1" w:rsidRPr="00FF027F" w:rsidRDefault="001C64B1" w:rsidP="0042177F">
          <w:pPr>
            <w:pStyle w:val="ListParagraph"/>
            <w:numPr>
              <w:ilvl w:val="0"/>
              <w:numId w:val="49"/>
            </w:numPr>
            <w:spacing w:before="360" w:after="240" w:line="360" w:lineRule="auto"/>
            <w:jc w:val="both"/>
            <w:rPr>
              <w:rFonts w:ascii="Arial" w:hAnsi="Arial" w:cs="Arial"/>
              <w:lang w:val="en-GB" w:eastAsia="en-GB"/>
            </w:rPr>
          </w:pPr>
          <w:r w:rsidRPr="00FF027F">
            <w:rPr>
              <w:rFonts w:ascii="Arial" w:hAnsi="Arial" w:cs="Arial"/>
              <w:lang w:val="en-GB" w:eastAsia="en-GB"/>
            </w:rPr>
            <w:t xml:space="preserve">endorsing – through its favourable opinion – many of the Agency’s </w:t>
          </w:r>
          <w:r w:rsidR="00910CEE" w:rsidRPr="00FF027F">
            <w:rPr>
              <w:rFonts w:ascii="Arial" w:hAnsi="Arial" w:cs="Arial"/>
              <w:lang w:val="en-GB" w:eastAsia="en-GB"/>
            </w:rPr>
            <w:t xml:space="preserve">opinions, recommendations and decisions </w:t>
          </w:r>
          <w:r w:rsidRPr="00FF027F">
            <w:rPr>
              <w:rFonts w:ascii="Arial" w:hAnsi="Arial" w:cs="Arial"/>
              <w:lang w:val="en-GB" w:eastAsia="en-GB"/>
            </w:rPr>
            <w:t xml:space="preserve">in relation to the regulatory functions of the Agency before they are adopted </w:t>
          </w:r>
          <w:r w:rsidR="00910CEE" w:rsidRPr="00FF027F">
            <w:rPr>
              <w:rFonts w:ascii="Arial" w:hAnsi="Arial" w:cs="Arial"/>
              <w:lang w:val="en-GB" w:eastAsia="en-GB"/>
            </w:rPr>
            <w:t>by the Director</w:t>
          </w:r>
          <w:r w:rsidRPr="00FF027F">
            <w:rPr>
              <w:rFonts w:ascii="Arial" w:hAnsi="Arial" w:cs="Arial"/>
              <w:lang w:val="en-GB" w:eastAsia="en-GB"/>
            </w:rPr>
            <w:t>;</w:t>
          </w:r>
        </w:p>
        <w:p w14:paraId="0E7513F4" w14:textId="43418EF7" w:rsidR="001C64B1" w:rsidRPr="00FF027F" w:rsidRDefault="00910CEE" w:rsidP="0042177F">
          <w:pPr>
            <w:pStyle w:val="ListParagraph"/>
            <w:numPr>
              <w:ilvl w:val="0"/>
              <w:numId w:val="49"/>
            </w:numPr>
            <w:spacing w:before="360" w:after="240" w:line="360" w:lineRule="auto"/>
            <w:jc w:val="both"/>
            <w:rPr>
              <w:rFonts w:ascii="Arial" w:hAnsi="Arial" w:cs="Arial"/>
              <w:lang w:val="en-GB" w:eastAsia="en-GB"/>
            </w:rPr>
          </w:pPr>
          <w:r w:rsidRPr="00FF027F">
            <w:rPr>
              <w:rFonts w:ascii="Arial" w:hAnsi="Arial" w:cs="Arial"/>
              <w:lang w:val="en-GB" w:eastAsia="en-GB"/>
            </w:rPr>
            <w:t>approving the Agency’s Work Programme, before its adoption by the Administrative Board and</w:t>
          </w:r>
          <w:r w:rsidR="001C64B1" w:rsidRPr="00FF027F">
            <w:rPr>
              <w:rFonts w:ascii="Arial" w:hAnsi="Arial" w:cs="Arial"/>
              <w:lang w:val="en-GB" w:eastAsia="en-GB"/>
            </w:rPr>
            <w:t xml:space="preserve"> </w:t>
          </w:r>
          <w:r w:rsidRPr="00FF027F">
            <w:rPr>
              <w:rFonts w:ascii="Arial" w:hAnsi="Arial" w:cs="Arial"/>
              <w:lang w:val="en-GB" w:eastAsia="en-GB"/>
            </w:rPr>
            <w:t xml:space="preserve">the regulatory activities section of the Agency </w:t>
          </w:r>
          <w:r w:rsidR="00AC795C" w:rsidRPr="00FF027F">
            <w:rPr>
              <w:rFonts w:ascii="Arial" w:hAnsi="Arial" w:cs="Arial"/>
              <w:lang w:val="en-GB" w:eastAsia="en-GB"/>
            </w:rPr>
            <w:t>A</w:t>
          </w:r>
          <w:r w:rsidRPr="00FF027F">
            <w:rPr>
              <w:rFonts w:ascii="Arial" w:hAnsi="Arial" w:cs="Arial"/>
              <w:lang w:val="en-GB" w:eastAsia="en-GB"/>
            </w:rPr>
            <w:t xml:space="preserve">nnual </w:t>
          </w:r>
          <w:r w:rsidR="00AC795C" w:rsidRPr="00FF027F">
            <w:rPr>
              <w:rFonts w:ascii="Arial" w:hAnsi="Arial" w:cs="Arial"/>
              <w:lang w:val="en-GB" w:eastAsia="en-GB"/>
            </w:rPr>
            <w:t>R</w:t>
          </w:r>
          <w:r w:rsidRPr="00FF027F">
            <w:rPr>
              <w:rFonts w:ascii="Arial" w:hAnsi="Arial" w:cs="Arial"/>
              <w:lang w:val="en-GB" w:eastAsia="en-GB"/>
            </w:rPr>
            <w:t>eport.</w:t>
          </w:r>
        </w:p>
        <w:p w14:paraId="77BF9DB6" w14:textId="5A81A671" w:rsidR="00910CEE" w:rsidRPr="00FF027F" w:rsidRDefault="00910CEE" w:rsidP="001C64B1">
          <w:pPr>
            <w:spacing w:before="360" w:after="240" w:line="360" w:lineRule="auto"/>
            <w:jc w:val="both"/>
            <w:rPr>
              <w:rFonts w:ascii="Arial" w:hAnsi="Arial" w:cs="Arial"/>
              <w:lang w:val="en-GB" w:eastAsia="en-GB"/>
            </w:rPr>
          </w:pPr>
          <w:r w:rsidRPr="00FF027F">
            <w:rPr>
              <w:rFonts w:ascii="Arial" w:hAnsi="Arial" w:cs="Arial"/>
              <w:lang w:val="en-GB" w:eastAsia="en-GB"/>
            </w:rPr>
            <w:t>The BoR is also consulted on the Agency’s budget and provides guidance to the Director within its ambit of competences.</w:t>
          </w:r>
        </w:p>
        <w:p w14:paraId="0D12377F" w14:textId="77777777"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Other duties of the BoR include its formal opinion to the Administrative Board on the candidate to be appointed as Director. The BoR is also consulted by the European Commission on the proposal of the members of the Board of Appeal and makes recommendations with regard to the Commission’s report on the evaluation of the Agency and its working methods.</w:t>
          </w:r>
        </w:p>
        <w:p w14:paraId="0EE7B7AA" w14:textId="019CBF6B"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 xml:space="preserve">In accordance with the REMIT Regulation, the BoR is consulted by the Director on all aspects of its implementation. </w:t>
          </w:r>
        </w:p>
        <w:p w14:paraId="6A7DB4E5" w14:textId="77777777"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The BoR typically meets on a monthly basis. All the meeting agendas, minutes and background documents (following their approval) are made public and available at the following link:</w:t>
          </w:r>
        </w:p>
        <w:p w14:paraId="7391A19C" w14:textId="77777777" w:rsidR="00910CEE" w:rsidRPr="00FF027F" w:rsidRDefault="00EC2170" w:rsidP="00910CEE">
          <w:pPr>
            <w:spacing w:before="360" w:after="240" w:line="360" w:lineRule="auto"/>
            <w:jc w:val="both"/>
            <w:rPr>
              <w:rFonts w:ascii="Arial" w:hAnsi="Arial" w:cs="Arial"/>
              <w:lang w:val="en-GB" w:eastAsia="en-GB"/>
            </w:rPr>
          </w:pPr>
          <w:hyperlink r:id="rId11" w:history="1">
            <w:r w:rsidR="00910CEE" w:rsidRPr="00FF027F">
              <w:rPr>
                <w:rStyle w:val="Hyperlink"/>
                <w:rFonts w:ascii="Arial" w:hAnsi="Arial" w:cs="Arial"/>
                <w:sz w:val="22"/>
                <w:lang w:val="en-GB" w:eastAsia="en-GB"/>
              </w:rPr>
              <w:t>http://acernet.acer.europa.eu/portal/page/portal/ACER_HOME/Public_Docs/Board_of_Regulators/2012%20Meetings/23rd%20BoR</w:t>
            </w:r>
          </w:hyperlink>
        </w:p>
        <w:p w14:paraId="34F1D782" w14:textId="77777777"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Regular public debriefings from the BoR Chair and the Director are provided in order to raise awareness of its deliberations and progress in the preparation of the Agency’s acts which are considered for adoption.</w:t>
          </w:r>
        </w:p>
        <w:p w14:paraId="3CE55731" w14:textId="7BBDC76A" w:rsidR="00910CEE" w:rsidRPr="00FF027F" w:rsidRDefault="00910CEE" w:rsidP="00910CEE">
          <w:pPr>
            <w:spacing w:before="360" w:after="240" w:line="360" w:lineRule="auto"/>
            <w:ind w:firstLine="720"/>
            <w:jc w:val="both"/>
            <w:rPr>
              <w:rFonts w:ascii="Arial" w:hAnsi="Arial" w:cs="Arial"/>
              <w:b/>
              <w:bCs/>
              <w:iCs/>
              <w:lang w:val="en-GB" w:eastAsia="en-GB"/>
            </w:rPr>
          </w:pPr>
          <w:bookmarkStart w:id="25" w:name="_Toc358640729"/>
          <w:bookmarkStart w:id="26" w:name="_Toc358640942"/>
          <w:bookmarkStart w:id="27" w:name="_Ref359088136"/>
          <w:bookmarkStart w:id="28" w:name="_Toc382919626"/>
          <w:r w:rsidRPr="00FF027F">
            <w:rPr>
              <w:rFonts w:ascii="Arial" w:hAnsi="Arial" w:cs="Arial"/>
              <w:b/>
              <w:bCs/>
              <w:iCs/>
              <w:lang w:val="en-GB" w:eastAsia="en-GB"/>
            </w:rPr>
            <w:t>Working Groups (AWGs)</w:t>
          </w:r>
          <w:bookmarkEnd w:id="25"/>
          <w:bookmarkEnd w:id="26"/>
          <w:bookmarkEnd w:id="27"/>
          <w:bookmarkEnd w:id="28"/>
        </w:p>
        <w:p w14:paraId="454EB8C9" w14:textId="77777777"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The Agency’s Working Groups (AWGs) bring together representatives of the NRAs and the Agency’s staff to consolidate the expertise of regulators and their understanding of national markets with the expertise of the Agency’s staff. The AWGs’ objectives are to:</w:t>
          </w:r>
        </w:p>
        <w:p w14:paraId="6FCB475C" w14:textId="14A6316D" w:rsidR="001C64B1" w:rsidRPr="00FF027F" w:rsidRDefault="001C64B1" w:rsidP="0042177F">
          <w:pPr>
            <w:pStyle w:val="ListParagraph"/>
            <w:numPr>
              <w:ilvl w:val="0"/>
              <w:numId w:val="49"/>
            </w:numPr>
            <w:spacing w:before="360" w:after="240" w:line="360" w:lineRule="auto"/>
            <w:jc w:val="both"/>
            <w:rPr>
              <w:rFonts w:ascii="Arial" w:hAnsi="Arial" w:cs="Arial"/>
              <w:lang w:val="en-GB" w:eastAsia="en-GB"/>
            </w:rPr>
          </w:pPr>
          <w:r w:rsidRPr="00FF027F">
            <w:rPr>
              <w:rFonts w:ascii="Arial" w:hAnsi="Arial" w:cs="Arial"/>
              <w:lang w:val="en-GB" w:eastAsia="en-GB"/>
            </w:rPr>
            <w:t>p</w:t>
          </w:r>
          <w:r w:rsidR="00910CEE" w:rsidRPr="00FF027F">
            <w:rPr>
              <w:rFonts w:ascii="Arial" w:hAnsi="Arial" w:cs="Arial"/>
              <w:lang w:val="en-GB" w:eastAsia="en-GB"/>
            </w:rPr>
            <w:t xml:space="preserve">rovide inputs to the Director for the preparation of opinions, recommendations and decisions which are submitted for the consideration of the BoR; </w:t>
          </w:r>
        </w:p>
        <w:p w14:paraId="732AC231" w14:textId="46C2CC1C" w:rsidR="001C64B1" w:rsidRPr="00FF027F" w:rsidRDefault="001C64B1" w:rsidP="0042177F">
          <w:pPr>
            <w:pStyle w:val="ListParagraph"/>
            <w:numPr>
              <w:ilvl w:val="0"/>
              <w:numId w:val="49"/>
            </w:numPr>
            <w:spacing w:before="360" w:after="240" w:line="360" w:lineRule="auto"/>
            <w:jc w:val="both"/>
            <w:rPr>
              <w:rFonts w:ascii="Arial" w:hAnsi="Arial" w:cs="Arial"/>
              <w:lang w:val="en-GB" w:eastAsia="en-GB"/>
            </w:rPr>
          </w:pPr>
          <w:r w:rsidRPr="00FF027F">
            <w:rPr>
              <w:rFonts w:ascii="Arial" w:hAnsi="Arial" w:cs="Arial"/>
              <w:lang w:val="en-GB" w:eastAsia="en-GB"/>
            </w:rPr>
            <w:t>s</w:t>
          </w:r>
          <w:r w:rsidR="00910CEE" w:rsidRPr="00FF027F">
            <w:rPr>
              <w:rFonts w:ascii="Arial" w:hAnsi="Arial" w:cs="Arial"/>
              <w:lang w:val="en-GB" w:eastAsia="en-GB"/>
            </w:rPr>
            <w:t>upport the Director (and the Agency staff) on other tasks, such as reviewing and analysing stakeholders’ submissions during a consultation process;</w:t>
          </w:r>
        </w:p>
        <w:p w14:paraId="31C45512" w14:textId="0E3D9702" w:rsidR="00910CEE" w:rsidRPr="00FF027F" w:rsidRDefault="001C64B1" w:rsidP="0042177F">
          <w:pPr>
            <w:pStyle w:val="ListParagraph"/>
            <w:numPr>
              <w:ilvl w:val="0"/>
              <w:numId w:val="49"/>
            </w:numPr>
            <w:spacing w:before="360" w:after="240" w:line="360" w:lineRule="auto"/>
            <w:jc w:val="both"/>
            <w:rPr>
              <w:rFonts w:ascii="Arial" w:hAnsi="Arial" w:cs="Arial"/>
              <w:lang w:val="en-GB" w:eastAsia="en-GB"/>
            </w:rPr>
          </w:pPr>
          <w:r w:rsidRPr="00FF027F">
            <w:rPr>
              <w:rFonts w:ascii="Arial" w:hAnsi="Arial" w:cs="Arial"/>
              <w:lang w:val="en-GB" w:eastAsia="en-GB"/>
            </w:rPr>
            <w:t>p</w:t>
          </w:r>
          <w:r w:rsidR="00910CEE" w:rsidRPr="00FF027F">
            <w:rPr>
              <w:rFonts w:ascii="Arial" w:hAnsi="Arial" w:cs="Arial"/>
              <w:lang w:val="en-GB" w:eastAsia="en-GB"/>
            </w:rPr>
            <w:t xml:space="preserve">rovide information to the BoR on the issues relevant to the Director’s proposal and to facilitate the necessary BoR decisions on the favourable opinion(s) required before the opinions, recommendations and decisions are adopted by the Director.  </w:t>
          </w:r>
        </w:p>
        <w:p w14:paraId="54006BCE" w14:textId="77777777"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 xml:space="preserve">There are currently four AWGs which cover the main areas of the Agency’s work on regulatory issues: Electricity; Gas; Monitoring, Integrity and Transparency; and Implementation, Monitoring and Procedures. Each AWG has established one or more Task Forces (TFs) to address specific issues. The AWGs are a core part of the Agency and are essential to ensure the high standard of the acts foreseen in the Agency's Work Programme. </w:t>
          </w:r>
        </w:p>
        <w:p w14:paraId="23D60033" w14:textId="7FA9FAC5" w:rsidR="00AC795C" w:rsidRPr="00FF027F" w:rsidRDefault="00AC795C" w:rsidP="00910CEE">
          <w:pPr>
            <w:spacing w:before="360" w:after="240" w:line="360" w:lineRule="auto"/>
            <w:jc w:val="both"/>
            <w:rPr>
              <w:rFonts w:ascii="Arial" w:hAnsi="Arial" w:cs="Arial"/>
              <w:lang w:val="en-GB" w:eastAsia="en-GB"/>
            </w:rPr>
          </w:pPr>
          <w:r w:rsidRPr="00FF027F">
            <w:rPr>
              <w:rFonts w:ascii="Arial" w:hAnsi="Arial" w:cs="Arial"/>
              <w:lang w:val="en-GB" w:eastAsia="en-GB"/>
            </w:rPr>
            <w:t>In the future, the number and focus of the AWGs may be adapted to reflect the requireme</w:t>
          </w:r>
          <w:r w:rsidR="007074E4" w:rsidRPr="00FF027F">
            <w:rPr>
              <w:rFonts w:ascii="Arial" w:hAnsi="Arial" w:cs="Arial"/>
              <w:lang w:val="en-GB" w:eastAsia="en-GB"/>
            </w:rPr>
            <w:t>n</w:t>
          </w:r>
          <w:r w:rsidRPr="00FF027F">
            <w:rPr>
              <w:rFonts w:ascii="Arial" w:hAnsi="Arial" w:cs="Arial"/>
              <w:lang w:val="en-GB" w:eastAsia="en-GB"/>
            </w:rPr>
            <w:t>ts of the regulatory framework within which the Agency operates.</w:t>
          </w:r>
        </w:p>
        <w:p w14:paraId="2F3496A1" w14:textId="370663FC" w:rsidR="00910CEE" w:rsidRPr="00FF027F" w:rsidRDefault="00910CEE" w:rsidP="00910CEE">
          <w:pPr>
            <w:spacing w:before="360" w:after="240" w:line="360" w:lineRule="auto"/>
            <w:jc w:val="both"/>
            <w:rPr>
              <w:rFonts w:ascii="Arial" w:hAnsi="Arial" w:cs="Arial"/>
              <w:lang w:val="en-GB" w:eastAsia="en-GB"/>
            </w:rPr>
          </w:pPr>
          <w:r w:rsidRPr="00FF027F">
            <w:rPr>
              <w:rFonts w:ascii="Arial" w:hAnsi="Arial" w:cs="Arial"/>
              <w:lang w:val="en-GB" w:eastAsia="en-GB"/>
            </w:rPr>
            <w:t xml:space="preserve">The </w:t>
          </w:r>
          <w:r w:rsidR="00AC795C" w:rsidRPr="00FF027F">
            <w:rPr>
              <w:rFonts w:ascii="Arial" w:hAnsi="Arial" w:cs="Arial"/>
              <w:lang w:val="en-GB" w:eastAsia="en-GB"/>
            </w:rPr>
            <w:t xml:space="preserve">current </w:t>
          </w:r>
          <w:r w:rsidRPr="00FF027F">
            <w:rPr>
              <w:rFonts w:ascii="Arial" w:hAnsi="Arial" w:cs="Arial"/>
              <w:lang w:val="en-GB" w:eastAsia="en-GB"/>
            </w:rPr>
            <w:t>structure of the AWGs and the TFs can be found on the following link:</w:t>
          </w:r>
        </w:p>
        <w:p w14:paraId="0F835B55" w14:textId="77777777" w:rsidR="00910CEE" w:rsidRPr="00FF027F" w:rsidRDefault="00EC2170" w:rsidP="00910CEE">
          <w:pPr>
            <w:spacing w:before="360" w:after="240" w:line="360" w:lineRule="auto"/>
            <w:jc w:val="both"/>
            <w:rPr>
              <w:rStyle w:val="Hyperlink"/>
              <w:rFonts w:ascii="Arial" w:hAnsi="Arial" w:cs="Arial"/>
              <w:sz w:val="22"/>
              <w:lang w:val="en-GB" w:eastAsia="en-GB"/>
            </w:rPr>
          </w:pPr>
          <w:hyperlink r:id="rId12" w:history="1">
            <w:r w:rsidR="00910CEE" w:rsidRPr="00FF027F">
              <w:rPr>
                <w:rStyle w:val="Hyperlink"/>
                <w:rFonts w:ascii="Arial" w:hAnsi="Arial" w:cs="Arial"/>
                <w:sz w:val="22"/>
                <w:lang w:val="en-GB" w:eastAsia="en-GB"/>
              </w:rPr>
              <w:t>http://www.acer.europa.eu/The_agency/Organisation/Working_groups/Pages/default.aspx</w:t>
            </w:r>
          </w:hyperlink>
        </w:p>
        <w:p w14:paraId="008574BE" w14:textId="2590328E" w:rsidR="001964D8" w:rsidRPr="00FF027F" w:rsidRDefault="001964D8" w:rsidP="00393DE2">
          <w:pPr>
            <w:pStyle w:val="Heading4"/>
            <w:rPr>
              <w:color w:val="FF0000"/>
              <w:lang w:eastAsia="en-GB"/>
            </w:rPr>
          </w:pPr>
          <w:r w:rsidRPr="00FF027F">
            <w:rPr>
              <w:lang w:eastAsia="en-GB"/>
            </w:rPr>
            <w:t>Regulatory practice - objectives and expected achievements</w:t>
          </w:r>
          <w:r w:rsidR="00393DE2" w:rsidRPr="00FF027F">
            <w:rPr>
              <w:lang w:eastAsia="en-GB"/>
            </w:rPr>
            <w:t xml:space="preserve"> </w:t>
          </w:r>
        </w:p>
        <w:p w14:paraId="1438F5B2" w14:textId="5746BDA7" w:rsidR="001964D8"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 xml:space="preserve">Maintain high efficiency in the working method of the BoR, AWGs, to facilitate their overall operation with a view to promoting regulatory cooperation. </w:t>
          </w:r>
        </w:p>
        <w:p w14:paraId="165EEFA3" w14:textId="77777777" w:rsidR="00AC795C" w:rsidRPr="00FF027F" w:rsidRDefault="00AC795C" w:rsidP="007074E4">
          <w:pPr>
            <w:pStyle w:val="ListParagraph"/>
            <w:spacing w:before="360" w:after="240" w:line="360" w:lineRule="auto"/>
            <w:jc w:val="both"/>
            <w:rPr>
              <w:rFonts w:ascii="Arial" w:hAnsi="Arial" w:cs="Arial"/>
              <w:lang w:val="en-GB" w:eastAsia="en-GB"/>
            </w:rPr>
          </w:pPr>
        </w:p>
        <w:p w14:paraId="4B26462C" w14:textId="22D44EBA" w:rsidR="00AC795C" w:rsidRPr="00FF027F" w:rsidRDefault="00AC795C"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Ensure that the structure and focus of the AWGs always reflect the requirements of the regulatory framework, by establishing, dissolving or modifying the remit of the AWGs as required to ensure the most efficient operation of the Agency.</w:t>
          </w:r>
        </w:p>
        <w:p w14:paraId="68D7F4D5" w14:textId="77777777" w:rsidR="00D23F74" w:rsidRPr="00FF027F" w:rsidRDefault="00D23F74" w:rsidP="00D23F74">
          <w:pPr>
            <w:pStyle w:val="ListParagraph"/>
            <w:spacing w:before="360" w:after="240" w:line="360" w:lineRule="auto"/>
            <w:jc w:val="both"/>
            <w:rPr>
              <w:rFonts w:ascii="Arial" w:hAnsi="Arial" w:cs="Arial"/>
              <w:lang w:val="en-GB" w:eastAsia="en-GB"/>
            </w:rPr>
          </w:pPr>
        </w:p>
        <w:p w14:paraId="1303A34C" w14:textId="6BD6D521" w:rsidR="00D23F74"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 xml:space="preserve">Increase </w:t>
          </w:r>
          <w:r w:rsidR="001C64B1" w:rsidRPr="00FF027F">
            <w:rPr>
              <w:rFonts w:ascii="Arial" w:hAnsi="Arial" w:cs="Arial"/>
              <w:lang w:val="en-GB" w:eastAsia="en-GB"/>
            </w:rPr>
            <w:t xml:space="preserve">public </w:t>
          </w:r>
          <w:r w:rsidRPr="00FF027F">
            <w:rPr>
              <w:rFonts w:ascii="Arial" w:hAnsi="Arial" w:cs="Arial"/>
              <w:lang w:val="en-GB" w:eastAsia="en-GB"/>
            </w:rPr>
            <w:t>awareness of the BoR operations</w:t>
          </w:r>
          <w:r w:rsidR="001C64B1" w:rsidRPr="00FF027F">
            <w:rPr>
              <w:rFonts w:ascii="Arial" w:hAnsi="Arial" w:cs="Arial"/>
              <w:lang w:val="en-GB" w:eastAsia="en-GB"/>
            </w:rPr>
            <w:t>, and more generally on the activities of the Agency,</w:t>
          </w:r>
          <w:r w:rsidRPr="00FF027F">
            <w:rPr>
              <w:rFonts w:ascii="Arial" w:hAnsi="Arial" w:cs="Arial"/>
              <w:lang w:val="en-GB" w:eastAsia="en-GB"/>
            </w:rPr>
            <w:t xml:space="preserve"> through </w:t>
          </w:r>
          <w:r w:rsidR="001C64B1" w:rsidRPr="00FF027F">
            <w:rPr>
              <w:rFonts w:ascii="Arial" w:hAnsi="Arial" w:cs="Arial"/>
              <w:lang w:val="en-GB" w:eastAsia="en-GB"/>
            </w:rPr>
            <w:t xml:space="preserve">the </w:t>
          </w:r>
          <w:r w:rsidRPr="00FF027F">
            <w:rPr>
              <w:rFonts w:ascii="Arial" w:hAnsi="Arial" w:cs="Arial"/>
              <w:lang w:val="en-GB" w:eastAsia="en-GB"/>
            </w:rPr>
            <w:t xml:space="preserve">debriefings. </w:t>
          </w:r>
        </w:p>
        <w:p w14:paraId="119727ED" w14:textId="77777777" w:rsidR="00D23F74" w:rsidRPr="00FF027F" w:rsidRDefault="00D23F74" w:rsidP="00D23F74">
          <w:pPr>
            <w:pStyle w:val="ListParagraph"/>
            <w:spacing w:before="360" w:after="240" w:line="360" w:lineRule="auto"/>
            <w:rPr>
              <w:rFonts w:ascii="Arial" w:hAnsi="Arial" w:cs="Arial"/>
              <w:lang w:val="en-GB" w:eastAsia="en-GB"/>
            </w:rPr>
          </w:pPr>
        </w:p>
        <w:p w14:paraId="084DBE5C" w14:textId="77777777" w:rsidR="001964D8"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Improve the format of meetings and agendas, further facilitate the exchange of information in the dedicated folders, and provide Secretariat debriefings on the items in the agenda included for information.</w:t>
          </w:r>
        </w:p>
        <w:p w14:paraId="7149B628" w14:textId="77777777" w:rsidR="00D23F74" w:rsidRPr="00FF027F" w:rsidRDefault="00D23F74" w:rsidP="00D23F74">
          <w:pPr>
            <w:pStyle w:val="ListParagraph"/>
            <w:spacing w:before="360" w:after="240" w:line="360" w:lineRule="auto"/>
            <w:rPr>
              <w:rFonts w:ascii="Arial" w:hAnsi="Arial" w:cs="Arial"/>
              <w:lang w:val="en-GB" w:eastAsia="en-GB"/>
            </w:rPr>
          </w:pPr>
        </w:p>
        <w:p w14:paraId="3543B2E2" w14:textId="3D991694" w:rsidR="00D23F74"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 xml:space="preserve">Develop, where appropriate, beyond the existing working arrangements, the tools for the cooperation of NRAs (including at regional level) and their strong links with the Agency in new areas such as monitoring of the markets for the effective implementation of the </w:t>
          </w:r>
          <w:r w:rsidR="00DF39F6" w:rsidRPr="00FF027F">
            <w:rPr>
              <w:rFonts w:ascii="Arial" w:hAnsi="Arial" w:cs="Arial"/>
              <w:lang w:val="en-GB" w:eastAsia="en-GB"/>
            </w:rPr>
            <w:t>N</w:t>
          </w:r>
          <w:r w:rsidRPr="00FF027F">
            <w:rPr>
              <w:rFonts w:ascii="Arial" w:hAnsi="Arial" w:cs="Arial"/>
              <w:lang w:val="en-GB" w:eastAsia="en-GB"/>
            </w:rPr>
            <w:t xml:space="preserve">etwork </w:t>
          </w:r>
          <w:r w:rsidR="00DF39F6" w:rsidRPr="00FF027F">
            <w:rPr>
              <w:rFonts w:ascii="Arial" w:hAnsi="Arial" w:cs="Arial"/>
              <w:lang w:val="en-GB" w:eastAsia="en-GB"/>
            </w:rPr>
            <w:t>C</w:t>
          </w:r>
          <w:r w:rsidRPr="00FF027F">
            <w:rPr>
              <w:rFonts w:ascii="Arial" w:hAnsi="Arial" w:cs="Arial"/>
              <w:lang w:val="en-GB" w:eastAsia="en-GB"/>
            </w:rPr>
            <w:t>odes.</w:t>
          </w:r>
        </w:p>
        <w:p w14:paraId="051AC9C5" w14:textId="77777777" w:rsidR="00D23F74" w:rsidRPr="00FF027F" w:rsidRDefault="00D23F74" w:rsidP="00D23F74">
          <w:pPr>
            <w:pStyle w:val="ListParagraph"/>
            <w:spacing w:before="360" w:after="240" w:line="360" w:lineRule="auto"/>
            <w:rPr>
              <w:rFonts w:ascii="Arial" w:hAnsi="Arial" w:cs="Arial"/>
              <w:lang w:val="en-GB" w:eastAsia="en-GB"/>
            </w:rPr>
          </w:pPr>
        </w:p>
        <w:p w14:paraId="0D5B90AE" w14:textId="2BBB560A" w:rsidR="001964D8"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Contribute to developing regional cooperation further through the dedicated ERI and GRI Groups, in line with the agreed objectives set out in the cross-regional plans in electricity and in gas, with a</w:t>
          </w:r>
          <w:r w:rsidR="001C64B1" w:rsidRPr="00FF027F">
            <w:rPr>
              <w:rFonts w:ascii="Arial" w:hAnsi="Arial" w:cs="Arial"/>
              <w:lang w:val="en-GB" w:eastAsia="en-GB"/>
            </w:rPr>
            <w:t xml:space="preserve"> </w:t>
          </w:r>
          <w:r w:rsidRPr="00FF027F">
            <w:rPr>
              <w:rFonts w:ascii="Arial" w:hAnsi="Arial" w:cs="Arial"/>
              <w:lang w:val="en-GB" w:eastAsia="en-GB"/>
            </w:rPr>
            <w:t xml:space="preserve">focus on new pilot projects. </w:t>
          </w:r>
        </w:p>
        <w:p w14:paraId="45316745" w14:textId="77777777" w:rsidR="00D23F74" w:rsidRPr="00FF027F" w:rsidRDefault="00D23F74" w:rsidP="00D23F74">
          <w:pPr>
            <w:pStyle w:val="ListParagraph"/>
            <w:spacing w:before="360" w:after="240" w:line="360" w:lineRule="auto"/>
            <w:rPr>
              <w:rFonts w:ascii="Arial" w:hAnsi="Arial" w:cs="Arial"/>
              <w:lang w:val="en-GB" w:eastAsia="en-GB"/>
            </w:rPr>
          </w:pPr>
        </w:p>
        <w:p w14:paraId="0CCA1CD6" w14:textId="77777777" w:rsidR="001964D8"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 xml:space="preserve">Allow the sharing of best practices between NRAs and the Agency on issues of common interest. </w:t>
          </w:r>
        </w:p>
        <w:p w14:paraId="470FB4BB" w14:textId="77777777" w:rsidR="00D23F74" w:rsidRPr="00FF027F" w:rsidRDefault="00D23F74" w:rsidP="00D23F74">
          <w:pPr>
            <w:pStyle w:val="ListParagraph"/>
            <w:rPr>
              <w:rFonts w:ascii="Arial" w:hAnsi="Arial" w:cs="Arial"/>
              <w:lang w:val="en-GB" w:eastAsia="en-GB"/>
            </w:rPr>
          </w:pPr>
        </w:p>
        <w:p w14:paraId="40C0E501" w14:textId="77777777" w:rsidR="001964D8"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 xml:space="preserve">Foster exchange of experience with the regulatory associations outside the EU, where necessary, and on areas of mutual interest (e.g. FERC on market monitoring activities).  </w:t>
          </w:r>
        </w:p>
        <w:p w14:paraId="48A27231" w14:textId="77777777" w:rsidR="00D23F74" w:rsidRPr="00FF027F" w:rsidRDefault="00D23F74" w:rsidP="00D23F74">
          <w:pPr>
            <w:pStyle w:val="ListParagraph"/>
            <w:rPr>
              <w:rFonts w:ascii="Arial" w:hAnsi="Arial" w:cs="Arial"/>
              <w:lang w:val="en-GB" w:eastAsia="en-GB"/>
            </w:rPr>
          </w:pPr>
        </w:p>
        <w:p w14:paraId="431E3819" w14:textId="5D59A310" w:rsidR="001964D8"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 xml:space="preserve">Consolidate regulatory cooperation and working arrangements in the context of the </w:t>
          </w:r>
          <w:r w:rsidR="001C64B1" w:rsidRPr="00FF027F">
            <w:rPr>
              <w:rFonts w:ascii="Arial" w:hAnsi="Arial" w:cs="Arial"/>
              <w:lang w:val="en-GB" w:eastAsia="en-GB"/>
            </w:rPr>
            <w:t>activities assigned to the Agency by</w:t>
          </w:r>
          <w:r w:rsidRPr="00FF027F">
            <w:rPr>
              <w:rFonts w:ascii="Arial" w:hAnsi="Arial" w:cs="Arial"/>
              <w:lang w:val="en-GB" w:eastAsia="en-GB"/>
            </w:rPr>
            <w:t xml:space="preserve"> the TEN-E Regulation. </w:t>
          </w:r>
        </w:p>
        <w:p w14:paraId="69FEFF09" w14:textId="77777777" w:rsidR="00D23F74" w:rsidRPr="00FF027F" w:rsidRDefault="00D23F74" w:rsidP="00D23F74">
          <w:pPr>
            <w:pStyle w:val="ListParagraph"/>
            <w:rPr>
              <w:rFonts w:ascii="Arial" w:hAnsi="Arial" w:cs="Arial"/>
              <w:lang w:val="en-GB" w:eastAsia="en-GB"/>
            </w:rPr>
          </w:pPr>
        </w:p>
        <w:p w14:paraId="795ADDA9" w14:textId="77777777" w:rsidR="001964D8" w:rsidRPr="00FF027F" w:rsidRDefault="001964D8" w:rsidP="006D214F">
          <w:pPr>
            <w:pStyle w:val="ListParagraph"/>
            <w:numPr>
              <w:ilvl w:val="0"/>
              <w:numId w:val="50"/>
            </w:numPr>
            <w:spacing w:before="360" w:after="240" w:line="360" w:lineRule="auto"/>
            <w:jc w:val="both"/>
            <w:rPr>
              <w:rFonts w:ascii="Arial" w:hAnsi="Arial" w:cs="Arial"/>
              <w:lang w:val="en-GB" w:eastAsia="en-GB"/>
            </w:rPr>
          </w:pPr>
          <w:r w:rsidRPr="00FF027F">
            <w:rPr>
              <w:rFonts w:ascii="Arial" w:hAnsi="Arial" w:cs="Arial"/>
              <w:lang w:val="en-GB" w:eastAsia="en-GB"/>
            </w:rPr>
            <w:t>Reinforce cooperation between NRAs under REMIT, both at EU and regional level, through MOUs, and potential synergies in services to avoid duplication.</w:t>
          </w:r>
        </w:p>
        <w:p w14:paraId="2F006A8D" w14:textId="2FDB377D" w:rsidR="001964D8" w:rsidRPr="00FF027F" w:rsidRDefault="001964D8" w:rsidP="001964D8">
          <w:pPr>
            <w:pStyle w:val="Heading3"/>
            <w:rPr>
              <w:color w:val="4F81BD" w:themeColor="accent1"/>
              <w:lang w:eastAsia="en-GB"/>
            </w:rPr>
          </w:pPr>
          <w:bookmarkStart w:id="29" w:name="_Toc396913741"/>
          <w:r w:rsidRPr="00FF027F">
            <w:rPr>
              <w:color w:val="4F81BD" w:themeColor="accent1"/>
              <w:lang w:eastAsia="en-GB"/>
            </w:rPr>
            <w:t>Risks</w:t>
          </w:r>
          <w:bookmarkEnd w:id="29"/>
          <w:r w:rsidR="007E3ABC" w:rsidRPr="00FF027F">
            <w:rPr>
              <w:color w:val="4F81BD" w:themeColor="accent1"/>
              <w:lang w:eastAsia="en-GB"/>
            </w:rPr>
            <w:t xml:space="preserve"> </w:t>
          </w:r>
        </w:p>
        <w:p w14:paraId="057C69FB" w14:textId="1C72259E" w:rsidR="001964D8" w:rsidRPr="00FF027F" w:rsidRDefault="001964D8" w:rsidP="001964D8">
          <w:pPr>
            <w:spacing w:before="360" w:after="240" w:line="360" w:lineRule="auto"/>
            <w:jc w:val="both"/>
            <w:rPr>
              <w:rFonts w:ascii="Arial" w:hAnsi="Arial" w:cs="Arial"/>
              <w:lang w:val="en-GB" w:eastAsia="en-GB"/>
            </w:rPr>
          </w:pPr>
          <w:r w:rsidRPr="00FF027F">
            <w:rPr>
              <w:rFonts w:ascii="Arial" w:hAnsi="Arial" w:cs="Arial"/>
              <w:lang w:val="en-GB" w:eastAsia="en-GB"/>
            </w:rPr>
            <w:t xml:space="preserve">The Agency relies on the </w:t>
          </w:r>
          <w:r w:rsidR="00CE6E94">
            <w:rPr>
              <w:rFonts w:ascii="Arial" w:hAnsi="Arial" w:cs="Arial"/>
              <w:lang w:val="en-GB" w:eastAsia="en-GB"/>
            </w:rPr>
            <w:t xml:space="preserve">secondment of experts from NRAs and the </w:t>
          </w:r>
          <w:r w:rsidRPr="00FF027F">
            <w:rPr>
              <w:rFonts w:ascii="Arial" w:hAnsi="Arial" w:cs="Arial"/>
              <w:lang w:val="en-GB" w:eastAsia="en-GB"/>
            </w:rPr>
            <w:t>voluntary participation of NRAs in the AWGs,</w:t>
          </w:r>
          <w:r w:rsidR="0025478E" w:rsidRPr="00FF027F">
            <w:rPr>
              <w:rFonts w:ascii="Arial" w:hAnsi="Arial" w:cs="Arial"/>
              <w:lang w:val="en-GB" w:eastAsia="en-GB"/>
            </w:rPr>
            <w:t xml:space="preserve"> as well as</w:t>
          </w:r>
          <w:r w:rsidRPr="00FF027F">
            <w:rPr>
              <w:rFonts w:ascii="Arial" w:hAnsi="Arial" w:cs="Arial"/>
              <w:lang w:val="en-GB" w:eastAsia="en-GB"/>
            </w:rPr>
            <w:t xml:space="preserve"> in the </w:t>
          </w:r>
          <w:r w:rsidR="0025478E" w:rsidRPr="00FF027F">
            <w:rPr>
              <w:rFonts w:ascii="Arial" w:hAnsi="Arial" w:cs="Arial"/>
              <w:lang w:val="en-GB" w:eastAsia="en-GB"/>
            </w:rPr>
            <w:t>C</w:t>
          </w:r>
          <w:r w:rsidRPr="00FF027F">
            <w:rPr>
              <w:rFonts w:ascii="Arial" w:hAnsi="Arial" w:cs="Arial"/>
              <w:lang w:val="en-GB" w:eastAsia="en-GB"/>
            </w:rPr>
            <w:t>oordination Groups for the Regional Initiatives</w:t>
          </w:r>
          <w:r w:rsidR="00621B6D" w:rsidRPr="00FF027F">
            <w:rPr>
              <w:rFonts w:ascii="Arial" w:hAnsi="Arial" w:cs="Arial"/>
              <w:lang w:val="en-GB" w:eastAsia="en-GB"/>
            </w:rPr>
            <w:t xml:space="preserve"> (RIs)</w:t>
          </w:r>
          <w:r w:rsidRPr="00FF027F">
            <w:rPr>
              <w:rFonts w:ascii="Arial" w:hAnsi="Arial" w:cs="Arial"/>
              <w:lang w:val="en-GB" w:eastAsia="en-GB"/>
            </w:rPr>
            <w:t>. A</w:t>
          </w:r>
          <w:r w:rsidR="00AC795C" w:rsidRPr="00FF027F">
            <w:rPr>
              <w:rFonts w:ascii="Arial" w:hAnsi="Arial" w:cs="Arial"/>
              <w:lang w:val="en-GB" w:eastAsia="en-GB"/>
            </w:rPr>
            <w:t xml:space="preserve">ccording to </w:t>
          </w:r>
          <w:r w:rsidRPr="00FF027F">
            <w:rPr>
              <w:rFonts w:ascii="Arial" w:hAnsi="Arial" w:cs="Arial"/>
              <w:lang w:val="en-GB" w:eastAsia="en-GB"/>
            </w:rPr>
            <w:t xml:space="preserve">the </w:t>
          </w:r>
          <w:r w:rsidR="0025478E" w:rsidRPr="00FF027F">
            <w:rPr>
              <w:rFonts w:ascii="Arial" w:hAnsi="Arial" w:cs="Arial"/>
              <w:lang w:val="en-GB" w:eastAsia="en-GB"/>
            </w:rPr>
            <w:t>T</w:t>
          </w:r>
          <w:r w:rsidRPr="00FF027F">
            <w:rPr>
              <w:rFonts w:ascii="Arial" w:hAnsi="Arial" w:cs="Arial"/>
              <w:lang w:val="en-GB" w:eastAsia="en-GB"/>
            </w:rPr>
            <w:t xml:space="preserve">hird </w:t>
          </w:r>
          <w:r w:rsidR="0025478E" w:rsidRPr="00FF027F">
            <w:rPr>
              <w:rFonts w:ascii="Arial" w:hAnsi="Arial" w:cs="Arial"/>
              <w:lang w:val="en-GB" w:eastAsia="en-GB"/>
            </w:rPr>
            <w:t>P</w:t>
          </w:r>
          <w:r w:rsidRPr="00FF027F">
            <w:rPr>
              <w:rFonts w:ascii="Arial" w:hAnsi="Arial" w:cs="Arial"/>
              <w:lang w:val="en-GB" w:eastAsia="en-GB"/>
            </w:rPr>
            <w:t xml:space="preserve">ackage and REMIT, the Agency and the NRAs are under an obligation to mutually cooperate. Without this cooperation, the Agency would lack the </w:t>
          </w:r>
          <w:r w:rsidR="0025478E" w:rsidRPr="00FF027F">
            <w:rPr>
              <w:rFonts w:ascii="Arial" w:hAnsi="Arial" w:cs="Arial"/>
              <w:lang w:val="en-GB" w:eastAsia="en-GB"/>
            </w:rPr>
            <w:t xml:space="preserve">contribution of the national </w:t>
          </w:r>
          <w:r w:rsidRPr="00FF027F">
            <w:rPr>
              <w:rFonts w:ascii="Arial" w:hAnsi="Arial" w:cs="Arial"/>
              <w:lang w:val="en-GB" w:eastAsia="en-GB"/>
            </w:rPr>
            <w:t xml:space="preserve">expertise </w:t>
          </w:r>
          <w:r w:rsidR="0025478E" w:rsidRPr="00FF027F">
            <w:rPr>
              <w:rFonts w:ascii="Arial" w:hAnsi="Arial" w:cs="Arial"/>
              <w:lang w:val="en-GB" w:eastAsia="en-GB"/>
            </w:rPr>
            <w:t>and experience provided by</w:t>
          </w:r>
          <w:r w:rsidRPr="00FF027F">
            <w:rPr>
              <w:rFonts w:ascii="Arial" w:hAnsi="Arial" w:cs="Arial"/>
              <w:lang w:val="en-GB" w:eastAsia="en-GB"/>
            </w:rPr>
            <w:t xml:space="preserve"> NRAs</w:t>
          </w:r>
          <w:r w:rsidR="0025478E" w:rsidRPr="00FF027F">
            <w:rPr>
              <w:rFonts w:ascii="Arial" w:hAnsi="Arial" w:cs="Arial"/>
              <w:lang w:val="en-GB" w:eastAsia="en-GB"/>
            </w:rPr>
            <w:t xml:space="preserve"> and </w:t>
          </w:r>
          <w:r w:rsidR="001B08A3" w:rsidRPr="00FF027F">
            <w:rPr>
              <w:rFonts w:ascii="Arial" w:hAnsi="Arial" w:cs="Arial"/>
              <w:lang w:val="en-GB" w:eastAsia="en-GB"/>
            </w:rPr>
            <w:t xml:space="preserve">it would be greatly limited </w:t>
          </w:r>
          <w:r w:rsidR="0025478E" w:rsidRPr="00FF027F">
            <w:rPr>
              <w:rFonts w:ascii="Arial" w:hAnsi="Arial" w:cs="Arial"/>
              <w:lang w:val="en-GB" w:eastAsia="en-GB"/>
            </w:rPr>
            <w:t xml:space="preserve">– in fact more than it is already - </w:t>
          </w:r>
          <w:r w:rsidR="001B08A3" w:rsidRPr="00FF027F">
            <w:rPr>
              <w:rFonts w:ascii="Arial" w:hAnsi="Arial" w:cs="Arial"/>
              <w:lang w:val="en-GB" w:eastAsia="en-GB"/>
            </w:rPr>
            <w:t xml:space="preserve">in </w:t>
          </w:r>
          <w:r w:rsidR="0025478E" w:rsidRPr="00FF027F">
            <w:rPr>
              <w:rFonts w:ascii="Arial" w:hAnsi="Arial" w:cs="Arial"/>
              <w:lang w:val="en-GB" w:eastAsia="en-GB"/>
            </w:rPr>
            <w:t>its ability to deliver according to</w:t>
          </w:r>
          <w:r w:rsidR="001B08A3" w:rsidRPr="00FF027F">
            <w:rPr>
              <w:rFonts w:ascii="Arial" w:hAnsi="Arial" w:cs="Arial"/>
              <w:lang w:val="en-GB" w:eastAsia="en-GB"/>
            </w:rPr>
            <w:t xml:space="preserve"> its regulatory mandate</w:t>
          </w:r>
          <w:r w:rsidRPr="00FF027F">
            <w:rPr>
              <w:rFonts w:ascii="Arial" w:hAnsi="Arial" w:cs="Arial"/>
              <w:lang w:val="en-GB" w:eastAsia="en-GB"/>
            </w:rPr>
            <w:t xml:space="preserve">. It would also not be able to ensure consistency, nor to effectively undertake its duties under REMIT. The Agency would thus run the concrete risk of not </w:t>
          </w:r>
          <w:r w:rsidR="0025478E" w:rsidRPr="00FF027F">
            <w:rPr>
              <w:rFonts w:ascii="Arial" w:hAnsi="Arial" w:cs="Arial"/>
              <w:lang w:val="en-GB" w:eastAsia="en-GB"/>
            </w:rPr>
            <w:t xml:space="preserve">meeting the expectation of stakeholders in </w:t>
          </w:r>
          <w:r w:rsidRPr="00FF027F">
            <w:rPr>
              <w:rFonts w:ascii="Arial" w:hAnsi="Arial" w:cs="Arial"/>
              <w:lang w:val="en-GB" w:eastAsia="en-GB"/>
            </w:rPr>
            <w:t xml:space="preserve">delivering on its Work Programme, which is based on the </w:t>
          </w:r>
          <w:r w:rsidR="0025478E" w:rsidRPr="00FF027F">
            <w:rPr>
              <w:rFonts w:ascii="Arial" w:hAnsi="Arial" w:cs="Arial"/>
              <w:lang w:val="en-GB" w:eastAsia="en-GB"/>
            </w:rPr>
            <w:t xml:space="preserve">assumption </w:t>
          </w:r>
          <w:r w:rsidRPr="00FF027F">
            <w:rPr>
              <w:rFonts w:ascii="Arial" w:hAnsi="Arial" w:cs="Arial"/>
              <w:lang w:val="en-GB" w:eastAsia="en-GB"/>
            </w:rPr>
            <w:t xml:space="preserve">that the NRAs will </w:t>
          </w:r>
          <w:r w:rsidR="0025478E" w:rsidRPr="00FF027F">
            <w:rPr>
              <w:rFonts w:ascii="Arial" w:hAnsi="Arial" w:cs="Arial"/>
              <w:lang w:val="en-GB" w:eastAsia="en-GB"/>
            </w:rPr>
            <w:t xml:space="preserve">continue to </w:t>
          </w:r>
          <w:r w:rsidRPr="00FF027F">
            <w:rPr>
              <w:rFonts w:ascii="Arial" w:hAnsi="Arial" w:cs="Arial"/>
              <w:lang w:val="en-GB" w:eastAsia="en-GB"/>
            </w:rPr>
            <w:t>support the Agency through the</w:t>
          </w:r>
          <w:r w:rsidR="0025478E" w:rsidRPr="00FF027F">
            <w:rPr>
              <w:rFonts w:ascii="Arial" w:hAnsi="Arial" w:cs="Arial"/>
              <w:lang w:val="en-GB" w:eastAsia="en-GB"/>
            </w:rPr>
            <w:t xml:space="preserve"> AWGs and the Coordination G</w:t>
          </w:r>
          <w:r w:rsidR="00621B6D" w:rsidRPr="00FF027F">
            <w:rPr>
              <w:rFonts w:ascii="Arial" w:hAnsi="Arial" w:cs="Arial"/>
              <w:lang w:val="en-GB" w:eastAsia="en-GB"/>
            </w:rPr>
            <w:t>roups for the RI</w:t>
          </w:r>
          <w:r w:rsidR="0025478E" w:rsidRPr="00FF027F">
            <w:rPr>
              <w:rFonts w:ascii="Arial" w:hAnsi="Arial" w:cs="Arial"/>
              <w:lang w:val="en-GB" w:eastAsia="en-GB"/>
            </w:rPr>
            <w:t>s</w:t>
          </w:r>
          <w:r w:rsidRPr="00FF027F">
            <w:rPr>
              <w:rFonts w:ascii="Arial" w:hAnsi="Arial" w:cs="Arial"/>
              <w:lang w:val="en-GB" w:eastAsia="en-GB"/>
            </w:rPr>
            <w:t>.</w:t>
          </w:r>
        </w:p>
        <w:p w14:paraId="20CA81DD" w14:textId="77777777" w:rsidR="00362EA6" w:rsidRPr="00FF027F" w:rsidRDefault="00362EA6" w:rsidP="003F349F">
          <w:pPr>
            <w:pStyle w:val="Heading2"/>
            <w:rPr>
              <w:lang w:eastAsia="en-GB"/>
            </w:rPr>
          </w:pPr>
          <w:bookmarkStart w:id="30" w:name="_Toc396913742"/>
          <w:r w:rsidRPr="00FF027F">
            <w:rPr>
              <w:lang w:eastAsia="en-GB"/>
            </w:rPr>
            <w:t>Completion of the Internal Energy Market</w:t>
          </w:r>
          <w:bookmarkEnd w:id="30"/>
        </w:p>
        <w:p w14:paraId="6E96A275" w14:textId="65771086" w:rsidR="005F1226" w:rsidRPr="00FF027F" w:rsidRDefault="005F1226" w:rsidP="00541065">
          <w:pPr>
            <w:spacing w:before="360" w:after="120" w:line="360" w:lineRule="auto"/>
            <w:jc w:val="both"/>
            <w:rPr>
              <w:rFonts w:ascii="Arial" w:hAnsi="Arial" w:cs="Arial"/>
              <w:lang w:val="en-GB" w:eastAsia="en-GB"/>
            </w:rPr>
          </w:pPr>
          <w:r w:rsidRPr="00FF027F">
            <w:rPr>
              <w:rFonts w:ascii="Arial" w:hAnsi="Arial" w:cs="Arial"/>
              <w:lang w:val="en-GB" w:eastAsia="en-GB"/>
            </w:rPr>
            <w:t xml:space="preserve">In February 2011 the European Council set 2014 as the target date for the completion of the internal market in electricity and natural gas and 2015 for the removal of energy islands. The European Council reaffirmed these goals in May 2013, when it stated that “speeding up the adoption and implementation of remaining network codes” was a priority. The Agency plays a central role both in the completion of the IEM and the removal of energy islands. </w:t>
          </w:r>
          <w:r w:rsidR="00CB5C85" w:rsidRPr="00FF027F">
            <w:rPr>
              <w:rFonts w:ascii="Arial" w:hAnsi="Arial" w:cs="Arial"/>
              <w:lang w:val="en-GB" w:eastAsia="en-GB"/>
            </w:rPr>
            <w:t>T</w:t>
          </w:r>
          <w:r w:rsidRPr="00FF027F">
            <w:rPr>
              <w:rFonts w:ascii="Arial" w:hAnsi="Arial" w:cs="Arial"/>
              <w:lang w:val="en-GB" w:eastAsia="en-GB"/>
            </w:rPr>
            <w:t xml:space="preserve">hese processes </w:t>
          </w:r>
          <w:r w:rsidR="00CB5C85" w:rsidRPr="00FF027F">
            <w:rPr>
              <w:rFonts w:ascii="Arial" w:hAnsi="Arial" w:cs="Arial"/>
              <w:lang w:val="en-GB" w:eastAsia="en-GB"/>
            </w:rPr>
            <w:t xml:space="preserve">will remain at the forefront of the Agency’s </w:t>
          </w:r>
          <w:r w:rsidRPr="00FF027F">
            <w:rPr>
              <w:rFonts w:ascii="Arial" w:hAnsi="Arial" w:cs="Arial"/>
              <w:lang w:val="en-GB" w:eastAsia="en-GB"/>
            </w:rPr>
            <w:t xml:space="preserve">Work Programme </w:t>
          </w:r>
          <w:r w:rsidR="00CB5C85" w:rsidRPr="00FF027F">
            <w:rPr>
              <w:rFonts w:ascii="Arial" w:hAnsi="Arial" w:cs="Arial"/>
              <w:lang w:val="en-GB" w:eastAsia="en-GB"/>
            </w:rPr>
            <w:t>over the next years.</w:t>
          </w:r>
          <w:r w:rsidRPr="00FF027F">
            <w:rPr>
              <w:rFonts w:ascii="Arial" w:hAnsi="Arial" w:cs="Arial"/>
              <w:lang w:val="en-GB" w:eastAsia="en-GB"/>
            </w:rPr>
            <w:t xml:space="preserve"> </w:t>
          </w:r>
        </w:p>
        <w:p w14:paraId="1E44BD9D" w14:textId="6E59BC98" w:rsidR="00CB5C85" w:rsidRPr="00FF027F" w:rsidRDefault="00CB5C85" w:rsidP="00CB5C85">
          <w:pPr>
            <w:pStyle w:val="Heading3"/>
            <w:rPr>
              <w:color w:val="4F81BD" w:themeColor="accent1"/>
              <w:lang w:eastAsia="en-GB"/>
            </w:rPr>
          </w:pPr>
          <w:bookmarkStart w:id="31" w:name="_Toc396913743"/>
          <w:r w:rsidRPr="00FF027F">
            <w:rPr>
              <w:color w:val="4F81BD" w:themeColor="accent1"/>
              <w:lang w:eastAsia="en-GB"/>
            </w:rPr>
            <w:t>Framework Guidelines and Network Codes</w:t>
          </w:r>
          <w:bookmarkEnd w:id="31"/>
        </w:p>
        <w:p w14:paraId="6FFA7EE1" w14:textId="1BC8FBA3" w:rsidR="00796FC8" w:rsidRPr="00FF027F" w:rsidRDefault="00796FC8" w:rsidP="00796FC8">
          <w:pPr>
            <w:spacing w:before="360" w:after="240" w:line="360" w:lineRule="auto"/>
            <w:jc w:val="both"/>
            <w:rPr>
              <w:rFonts w:ascii="Arial" w:hAnsi="Arial" w:cs="Arial"/>
              <w:lang w:val="en-GB"/>
            </w:rPr>
          </w:pPr>
          <w:r w:rsidRPr="00FF027F">
            <w:rPr>
              <w:rFonts w:ascii="Arial" w:hAnsi="Arial" w:cs="Arial"/>
              <w:lang w:val="en-GB"/>
            </w:rPr>
            <w:t xml:space="preserve">Progress in the development of Framework Guidelines and Network Codes is </w:t>
          </w:r>
          <w:r w:rsidR="006F1575" w:rsidRPr="00FF027F">
            <w:rPr>
              <w:rFonts w:ascii="Arial" w:hAnsi="Arial" w:cs="Arial"/>
              <w:lang w:val="en-GB"/>
            </w:rPr>
            <w:t xml:space="preserve">regularly </w:t>
          </w:r>
          <w:r w:rsidRPr="00FF027F">
            <w:rPr>
              <w:rFonts w:ascii="Arial" w:hAnsi="Arial" w:cs="Arial"/>
              <w:lang w:val="en-GB"/>
            </w:rPr>
            <w:t xml:space="preserve">monitored and discussed in Planning Group meetings, which take place typically every 2-3 months and bring together representatives from the European Commission – Directorate-General for Energy, ENTSO-E, ENTSOG and the Agency. The Planning Group maintains and </w:t>
          </w:r>
          <w:r w:rsidR="006F1575" w:rsidRPr="00FF027F">
            <w:rPr>
              <w:rFonts w:ascii="Arial" w:hAnsi="Arial" w:cs="Arial"/>
              <w:lang w:val="en-GB"/>
            </w:rPr>
            <w:t xml:space="preserve">regularly </w:t>
          </w:r>
          <w:r w:rsidRPr="00FF027F">
            <w:rPr>
              <w:rFonts w:ascii="Arial" w:hAnsi="Arial" w:cs="Arial"/>
              <w:lang w:val="en-GB"/>
            </w:rPr>
            <w:t>updates a Three-Year Plan, where the activities of the four participating bodies in the Framework Guidelines and Network Codes area are assigned the appropriate timeline (which may occasionally change due to unexpected circumstances).</w:t>
          </w:r>
        </w:p>
        <w:p w14:paraId="19CFC550" w14:textId="77777777" w:rsidR="001E1062" w:rsidRPr="00FF027F" w:rsidRDefault="001E1062" w:rsidP="001964D8">
          <w:pPr>
            <w:pStyle w:val="Heading3"/>
            <w:rPr>
              <w:rFonts w:eastAsia="MS PGothic"/>
              <w:color w:val="4F81BD" w:themeColor="accent1"/>
            </w:rPr>
          </w:pPr>
          <w:bookmarkStart w:id="32" w:name="_Toc396913744"/>
          <w:r w:rsidRPr="00FF027F">
            <w:rPr>
              <w:rFonts w:eastAsia="MS PGothic"/>
              <w:color w:val="4F81BD" w:themeColor="accent1"/>
            </w:rPr>
            <w:t>IEM Implementation</w:t>
          </w:r>
          <w:bookmarkEnd w:id="32"/>
        </w:p>
        <w:p w14:paraId="61D19FAD" w14:textId="44721378" w:rsidR="006F1575" w:rsidRPr="00FF027F" w:rsidRDefault="00AC795C" w:rsidP="00F01165">
          <w:pPr>
            <w:spacing w:before="360" w:after="240" w:line="360" w:lineRule="auto"/>
            <w:jc w:val="both"/>
            <w:rPr>
              <w:rFonts w:ascii="Arial" w:hAnsi="Arial" w:cs="Arial"/>
              <w:lang w:val="en-GB"/>
            </w:rPr>
          </w:pPr>
          <w:r w:rsidRPr="00FF027F">
            <w:rPr>
              <w:rFonts w:ascii="Arial" w:hAnsi="Arial" w:cs="Arial"/>
              <w:lang w:val="en-GB"/>
            </w:rPr>
            <w:t>Most of the</w:t>
          </w:r>
          <w:r w:rsidR="006F1575" w:rsidRPr="00FF027F">
            <w:rPr>
              <w:rFonts w:ascii="Arial" w:hAnsi="Arial" w:cs="Arial"/>
              <w:lang w:val="en-GB"/>
            </w:rPr>
            <w:t xml:space="preserve"> activities of the Agency contribute to the completion of the Internal Energy Market. The driving visions are the Electricity and Gas Target Models, which set out </w:t>
          </w:r>
          <w:r w:rsidR="0025478E" w:rsidRPr="00FF027F">
            <w:rPr>
              <w:rFonts w:ascii="Arial" w:hAnsi="Arial" w:cs="Arial"/>
              <w:lang w:val="en-GB"/>
            </w:rPr>
            <w:t xml:space="preserve">an effective </w:t>
          </w:r>
          <w:r w:rsidR="00B845B8" w:rsidRPr="00FF027F">
            <w:rPr>
              <w:rFonts w:ascii="Arial" w:hAnsi="Arial" w:cs="Arial"/>
              <w:lang w:val="en-GB"/>
            </w:rPr>
            <w:t>design for the</w:t>
          </w:r>
          <w:r w:rsidR="0025478E" w:rsidRPr="00FF027F">
            <w:rPr>
              <w:rFonts w:ascii="Arial" w:hAnsi="Arial" w:cs="Arial"/>
              <w:lang w:val="en-GB"/>
            </w:rPr>
            <w:t xml:space="preserve"> electricity and gas markets in the European Union</w:t>
          </w:r>
          <w:r w:rsidR="006F1575" w:rsidRPr="00FF027F">
            <w:rPr>
              <w:rFonts w:ascii="Arial" w:hAnsi="Arial" w:cs="Arial"/>
              <w:lang w:val="en-GB"/>
            </w:rPr>
            <w:t xml:space="preserve">. </w:t>
          </w:r>
          <w:r w:rsidR="0025478E" w:rsidRPr="00FF027F">
            <w:rPr>
              <w:rFonts w:ascii="Arial" w:hAnsi="Arial" w:cs="Arial"/>
              <w:lang w:val="en-GB"/>
            </w:rPr>
            <w:t>These Target Models</w:t>
          </w:r>
          <w:r w:rsidR="00B845B8" w:rsidRPr="00FF027F">
            <w:rPr>
              <w:rFonts w:ascii="Arial" w:hAnsi="Arial" w:cs="Arial"/>
              <w:lang w:val="en-GB"/>
            </w:rPr>
            <w:t>, which were developed over the last 3-5 years,</w:t>
          </w:r>
          <w:r w:rsidR="0025478E" w:rsidRPr="00FF027F">
            <w:rPr>
              <w:rFonts w:ascii="Arial" w:hAnsi="Arial" w:cs="Arial"/>
              <w:lang w:val="en-GB"/>
            </w:rPr>
            <w:t xml:space="preserve"> are currently under review to assess whether any enhancement is required to address the new challenges facing the electricity and gas sector in the future</w:t>
          </w:r>
          <w:r w:rsidR="006F1575" w:rsidRPr="00FF027F">
            <w:rPr>
              <w:rFonts w:ascii="Arial" w:hAnsi="Arial" w:cs="Arial"/>
              <w:lang w:val="en-GB"/>
            </w:rPr>
            <w:t>.</w:t>
          </w:r>
        </w:p>
        <w:p w14:paraId="52D14C41" w14:textId="43D6204B" w:rsidR="001E1062" w:rsidRPr="00FF027F" w:rsidRDefault="001E1062" w:rsidP="001964D8">
          <w:pPr>
            <w:pStyle w:val="Heading3"/>
            <w:rPr>
              <w:rFonts w:eastAsia="MS PGothic"/>
              <w:color w:val="4F81BD" w:themeColor="accent1"/>
            </w:rPr>
          </w:pPr>
          <w:bookmarkStart w:id="33" w:name="_Toc396913745"/>
          <w:r w:rsidRPr="00FF027F">
            <w:rPr>
              <w:rFonts w:eastAsia="MS PGothic"/>
              <w:color w:val="4F81BD" w:themeColor="accent1"/>
            </w:rPr>
            <w:t>NC Implementation and Monitoring</w:t>
          </w:r>
          <w:bookmarkEnd w:id="33"/>
        </w:p>
        <w:p w14:paraId="2A3D0D44" w14:textId="371D8979" w:rsidR="00D32F6C" w:rsidRPr="00FF027F" w:rsidRDefault="00D32F6C" w:rsidP="00D32F6C">
          <w:pPr>
            <w:spacing w:before="360" w:after="240" w:line="360" w:lineRule="auto"/>
            <w:jc w:val="both"/>
            <w:rPr>
              <w:rFonts w:ascii="Arial" w:hAnsi="Arial" w:cs="Arial"/>
              <w:lang w:val="en-GB" w:eastAsia="en-GB"/>
            </w:rPr>
          </w:pPr>
          <w:r w:rsidRPr="00FF027F">
            <w:rPr>
              <w:rFonts w:ascii="Arial" w:hAnsi="Arial" w:cs="Arial"/>
              <w:lang w:val="en-GB" w:eastAsia="en-GB"/>
            </w:rPr>
            <w:t xml:space="preserve">Under the Third Package, the Agency cooperates with NRAs in order to ensure the compatibility of </w:t>
          </w:r>
          <w:r w:rsidR="006F1575" w:rsidRPr="00FF027F">
            <w:rPr>
              <w:rFonts w:ascii="Arial" w:hAnsi="Arial" w:cs="Arial"/>
              <w:lang w:val="en-GB" w:eastAsia="en-GB"/>
            </w:rPr>
            <w:t xml:space="preserve">the </w:t>
          </w:r>
          <w:r w:rsidRPr="00FF027F">
            <w:rPr>
              <w:rFonts w:ascii="Arial" w:hAnsi="Arial" w:cs="Arial"/>
              <w:lang w:val="en-GB" w:eastAsia="en-GB"/>
            </w:rPr>
            <w:t xml:space="preserve">regulatory frameworks </w:t>
          </w:r>
          <w:r w:rsidR="00B845B8" w:rsidRPr="00FF027F">
            <w:rPr>
              <w:rFonts w:ascii="Arial" w:hAnsi="Arial" w:cs="Arial"/>
              <w:lang w:val="en-GB" w:eastAsia="en-GB"/>
            </w:rPr>
            <w:t xml:space="preserve">in the MSs </w:t>
          </w:r>
          <w:r w:rsidRPr="00FF027F">
            <w:rPr>
              <w:rFonts w:ascii="Arial" w:hAnsi="Arial" w:cs="Arial"/>
              <w:lang w:val="en-GB" w:eastAsia="en-GB"/>
            </w:rPr>
            <w:t>with the aim to achieve a competitive I</w:t>
          </w:r>
          <w:r w:rsidR="00AC795C" w:rsidRPr="00FF027F">
            <w:rPr>
              <w:rFonts w:ascii="Arial" w:hAnsi="Arial" w:cs="Arial"/>
              <w:lang w:val="en-GB" w:eastAsia="en-GB"/>
            </w:rPr>
            <w:t xml:space="preserve">nternal </w:t>
          </w:r>
          <w:r w:rsidRPr="00FF027F">
            <w:rPr>
              <w:rFonts w:ascii="Arial" w:hAnsi="Arial" w:cs="Arial"/>
              <w:lang w:val="en-GB" w:eastAsia="en-GB"/>
            </w:rPr>
            <w:t>E</w:t>
          </w:r>
          <w:r w:rsidR="00AC795C" w:rsidRPr="00FF027F">
            <w:rPr>
              <w:rFonts w:ascii="Arial" w:hAnsi="Arial" w:cs="Arial"/>
              <w:lang w:val="en-GB" w:eastAsia="en-GB"/>
            </w:rPr>
            <w:t xml:space="preserve">nergy </w:t>
          </w:r>
          <w:r w:rsidRPr="00FF027F">
            <w:rPr>
              <w:rFonts w:ascii="Arial" w:hAnsi="Arial" w:cs="Arial"/>
              <w:lang w:val="en-GB" w:eastAsia="en-GB"/>
            </w:rPr>
            <w:t>M</w:t>
          </w:r>
          <w:r w:rsidR="00AC795C" w:rsidRPr="00FF027F">
            <w:rPr>
              <w:rFonts w:ascii="Arial" w:hAnsi="Arial" w:cs="Arial"/>
              <w:lang w:val="en-GB" w:eastAsia="en-GB"/>
            </w:rPr>
            <w:t>arket</w:t>
          </w:r>
          <w:r w:rsidRPr="00FF027F">
            <w:rPr>
              <w:rFonts w:ascii="Arial" w:hAnsi="Arial" w:cs="Arial"/>
              <w:lang w:val="en-GB" w:eastAsia="en-GB"/>
            </w:rPr>
            <w:t xml:space="preserve">. </w:t>
          </w:r>
          <w:r w:rsidR="00621B6D" w:rsidRPr="00FF027F">
            <w:rPr>
              <w:rFonts w:ascii="Arial" w:hAnsi="Arial" w:cs="Arial"/>
              <w:lang w:val="en-GB" w:eastAsia="en-GB"/>
            </w:rPr>
            <w:t>Moreover, t</w:t>
          </w:r>
          <w:r w:rsidRPr="00FF027F">
            <w:rPr>
              <w:rFonts w:ascii="Arial" w:hAnsi="Arial" w:cs="Arial"/>
              <w:lang w:val="en-GB" w:eastAsia="en-GB"/>
            </w:rPr>
            <w:t xml:space="preserve">he Agency coordinates the regional framework for </w:t>
          </w:r>
          <w:r w:rsidR="006F1575" w:rsidRPr="00FF027F">
            <w:rPr>
              <w:rFonts w:ascii="Arial" w:hAnsi="Arial" w:cs="Arial"/>
              <w:lang w:val="en-GB" w:eastAsia="en-GB"/>
            </w:rPr>
            <w:t>the early implementation of the Network Codes</w:t>
          </w:r>
          <w:r w:rsidR="00621B6D" w:rsidRPr="00FF027F">
            <w:rPr>
              <w:rFonts w:ascii="Arial" w:hAnsi="Arial" w:cs="Arial"/>
              <w:lang w:val="en-GB" w:eastAsia="en-GB"/>
            </w:rPr>
            <w:t xml:space="preserve"> through </w:t>
          </w:r>
          <w:r w:rsidRPr="00FF027F">
            <w:rPr>
              <w:rFonts w:ascii="Arial" w:hAnsi="Arial" w:cs="Arial"/>
              <w:lang w:val="en-GB" w:eastAsia="en-GB"/>
            </w:rPr>
            <w:t>two dedicated RIs: the ERI</w:t>
          </w:r>
          <w:r w:rsidR="00AC795C" w:rsidRPr="00FF027F">
            <w:rPr>
              <w:rFonts w:ascii="Arial" w:hAnsi="Arial" w:cs="Arial"/>
              <w:lang w:val="en-GB" w:eastAsia="en-GB"/>
            </w:rPr>
            <w:t xml:space="preserve"> </w:t>
          </w:r>
          <w:r w:rsidRPr="00FF027F">
            <w:rPr>
              <w:rFonts w:ascii="Arial" w:hAnsi="Arial" w:cs="Arial"/>
              <w:lang w:val="en-GB" w:eastAsia="en-GB"/>
            </w:rPr>
            <w:t>and the GRI.</w:t>
          </w:r>
        </w:p>
        <w:p w14:paraId="0332B276" w14:textId="6BCBDD67" w:rsidR="00D32F6C" w:rsidRPr="00FF027F" w:rsidRDefault="00D32F6C" w:rsidP="00D32F6C">
          <w:pPr>
            <w:spacing w:before="360" w:after="240" w:line="360" w:lineRule="auto"/>
            <w:jc w:val="both"/>
            <w:rPr>
              <w:rFonts w:ascii="Arial" w:hAnsi="Arial" w:cs="Arial"/>
              <w:lang w:val="en-GB" w:eastAsia="en-GB"/>
            </w:rPr>
          </w:pPr>
          <w:r w:rsidRPr="00FF027F">
            <w:rPr>
              <w:rFonts w:ascii="Arial" w:hAnsi="Arial" w:cs="Arial"/>
              <w:lang w:val="en-GB" w:eastAsia="en-GB"/>
            </w:rPr>
            <w:t xml:space="preserve">Two Coordination Groups were set up – one for ERI and another one for GRI – with the aim to foster integration at regional and cross-regional level and to ensure that the activities and projects undertaken in the different regions are consistent. These groups involve NRAs, the Agency and the European Commission. Progress is reflected in regular annual and progress reports (the Annual Status Review Report and the online </w:t>
          </w:r>
          <w:r w:rsidR="006F1575" w:rsidRPr="00FF027F">
            <w:rPr>
              <w:rFonts w:ascii="Arial" w:hAnsi="Arial" w:cs="Arial"/>
              <w:lang w:val="en-GB" w:eastAsia="en-GB"/>
            </w:rPr>
            <w:t xml:space="preserve">Progress </w:t>
          </w:r>
          <w:r w:rsidRPr="00FF027F">
            <w:rPr>
              <w:rFonts w:ascii="Arial" w:hAnsi="Arial" w:cs="Arial"/>
              <w:lang w:val="en-GB" w:eastAsia="en-GB"/>
            </w:rPr>
            <w:t>Reports).</w:t>
          </w:r>
        </w:p>
        <w:p w14:paraId="380C64F1" w14:textId="10673A1E" w:rsidR="00D32F6C" w:rsidRPr="00FF027F" w:rsidRDefault="00D32F6C" w:rsidP="00D32F6C">
          <w:pPr>
            <w:spacing w:before="360" w:after="240" w:line="360" w:lineRule="auto"/>
            <w:jc w:val="both"/>
            <w:rPr>
              <w:rFonts w:ascii="Arial" w:hAnsi="Arial" w:cs="Arial"/>
              <w:lang w:val="en-GB" w:eastAsia="en-GB"/>
            </w:rPr>
          </w:pPr>
          <w:r w:rsidRPr="00FF027F">
            <w:rPr>
              <w:rFonts w:ascii="Arial" w:hAnsi="Arial" w:cs="Arial"/>
              <w:lang w:val="en-GB" w:eastAsia="en-GB"/>
            </w:rPr>
            <w:t xml:space="preserve">The Groups meet on a frequent basis and report regularly to the Director and to the BoR. Within the ERI, specific NRAs were designated as leaders of the four cross-regional roadmaps for the implementation of the </w:t>
          </w:r>
          <w:r w:rsidR="00621B6D" w:rsidRPr="00FF027F">
            <w:rPr>
              <w:rFonts w:ascii="Arial" w:hAnsi="Arial" w:cs="Arial"/>
              <w:lang w:val="en-GB" w:eastAsia="en-GB"/>
            </w:rPr>
            <w:t xml:space="preserve">Electricity </w:t>
          </w:r>
          <w:r w:rsidRPr="00FF027F">
            <w:rPr>
              <w:rFonts w:ascii="Arial" w:hAnsi="Arial" w:cs="Arial"/>
              <w:lang w:val="en-GB" w:eastAsia="en-GB"/>
            </w:rPr>
            <w:t xml:space="preserve">Target Model </w:t>
          </w:r>
          <w:r w:rsidR="00621B6D" w:rsidRPr="00FF027F">
            <w:rPr>
              <w:rFonts w:ascii="Arial" w:hAnsi="Arial" w:cs="Arial"/>
              <w:lang w:val="en-GB" w:eastAsia="en-GB"/>
            </w:rPr>
            <w:t xml:space="preserve">in the area of </w:t>
          </w:r>
          <w:r w:rsidRPr="00FF027F">
            <w:rPr>
              <w:rFonts w:ascii="Arial" w:hAnsi="Arial" w:cs="Arial"/>
              <w:lang w:val="en-GB" w:eastAsia="en-GB"/>
            </w:rPr>
            <w:t>Capacity Allocation and Congestion Management. Within the GRI, work at regional level is driven by Lead NRAs in the three gas regions, and early implementation of Network Codes started with the Roadmap on Capacity Allocation Mechanisms and will continue in other areas.</w:t>
          </w:r>
        </w:p>
        <w:p w14:paraId="42672A50" w14:textId="632D53A8" w:rsidR="001E1062" w:rsidRPr="00FF027F" w:rsidRDefault="001E1062" w:rsidP="001964D8">
          <w:pPr>
            <w:pStyle w:val="Heading3"/>
            <w:rPr>
              <w:rFonts w:eastAsia="MS PGothic"/>
              <w:color w:val="4F81BD" w:themeColor="accent1"/>
            </w:rPr>
          </w:pPr>
          <w:bookmarkStart w:id="34" w:name="_Toc396913746"/>
          <w:r w:rsidRPr="00FF027F">
            <w:rPr>
              <w:rFonts w:eastAsia="MS PGothic"/>
              <w:color w:val="4F81BD" w:themeColor="accent1"/>
            </w:rPr>
            <w:t>Monitoring</w:t>
          </w:r>
          <w:r w:rsidR="00621B6D" w:rsidRPr="00FF027F">
            <w:rPr>
              <w:rFonts w:eastAsia="MS PGothic"/>
              <w:color w:val="4F81BD" w:themeColor="accent1"/>
            </w:rPr>
            <w:t xml:space="preserve"> of the Internal Energy Market</w:t>
          </w:r>
          <w:bookmarkEnd w:id="34"/>
        </w:p>
        <w:p w14:paraId="3D264BA5" w14:textId="3755508C" w:rsidR="006F1575" w:rsidRPr="00FF027F" w:rsidRDefault="006F1575" w:rsidP="00F01165">
          <w:pPr>
            <w:spacing w:before="360" w:after="240" w:line="360" w:lineRule="auto"/>
            <w:jc w:val="both"/>
            <w:rPr>
              <w:rFonts w:ascii="Arial" w:hAnsi="Arial" w:cs="Arial"/>
              <w:lang w:val="en-GB"/>
            </w:rPr>
          </w:pPr>
          <w:r w:rsidRPr="00FF027F">
            <w:rPr>
              <w:rFonts w:ascii="Arial" w:hAnsi="Arial" w:cs="Arial"/>
              <w:lang w:val="en-GB"/>
            </w:rPr>
            <w:t xml:space="preserve">The Annual Market Monitoring Report </w:t>
          </w:r>
          <w:r w:rsidR="00621B6D" w:rsidRPr="00FF027F">
            <w:rPr>
              <w:rFonts w:ascii="Arial" w:hAnsi="Arial" w:cs="Arial"/>
              <w:lang w:val="en-GB"/>
            </w:rPr>
            <w:t xml:space="preserve">(MMR) </w:t>
          </w:r>
          <w:r w:rsidRPr="00FF027F">
            <w:rPr>
              <w:rFonts w:ascii="Arial" w:hAnsi="Arial" w:cs="Arial"/>
              <w:lang w:val="en-GB"/>
            </w:rPr>
            <w:t>is the Agency’s flagship publication, covering all relevant developments in the European gas and electricity markets. The report is a fact-based analysis covering all 28 EU Member States. NRA’s are involved in its production.</w:t>
          </w:r>
          <w:r w:rsidR="00621B6D" w:rsidRPr="00FF027F">
            <w:rPr>
              <w:rFonts w:ascii="Arial" w:hAnsi="Arial" w:cs="Arial"/>
              <w:lang w:val="en-GB"/>
            </w:rPr>
            <w:t xml:space="preserve"> The first MMR was published in November 2012, covering developments in 2011.</w:t>
          </w:r>
        </w:p>
        <w:p w14:paraId="735A5B25" w14:textId="5F7DE749" w:rsidR="00CB5C85" w:rsidRPr="00FF027F" w:rsidRDefault="00CB5C85" w:rsidP="00CB5C85">
          <w:pPr>
            <w:pStyle w:val="Heading3"/>
            <w:rPr>
              <w:color w:val="4F81BD" w:themeColor="accent1"/>
              <w:lang w:eastAsia="en-GB"/>
            </w:rPr>
          </w:pPr>
          <w:bookmarkStart w:id="35" w:name="_Toc396913747"/>
          <w:r w:rsidRPr="00FF027F">
            <w:rPr>
              <w:color w:val="4F81BD" w:themeColor="accent1"/>
              <w:lang w:eastAsia="en-GB"/>
            </w:rPr>
            <w:t>Completion of the IEM - objectives and expected achievements</w:t>
          </w:r>
          <w:bookmarkEnd w:id="35"/>
        </w:p>
        <w:p w14:paraId="3F934EB3" w14:textId="4E9DC36D" w:rsidR="00FD76BC" w:rsidRPr="00FF027F" w:rsidRDefault="00FD76BC" w:rsidP="002F6D71">
          <w:pPr>
            <w:pStyle w:val="Default"/>
            <w:jc w:val="both"/>
            <w:rPr>
              <w:rFonts w:ascii="Arial" w:eastAsiaTheme="minorHAnsi" w:hAnsi="Arial" w:cs="Arial"/>
              <w:color w:val="auto"/>
              <w:sz w:val="22"/>
              <w:szCs w:val="22"/>
              <w:lang w:val="en-GB"/>
            </w:rPr>
          </w:pPr>
          <w:r w:rsidRPr="00FF027F">
            <w:rPr>
              <w:rFonts w:ascii="Arial" w:eastAsiaTheme="minorHAnsi" w:hAnsi="Arial" w:cs="Arial"/>
              <w:color w:val="auto"/>
              <w:sz w:val="22"/>
              <w:szCs w:val="22"/>
              <w:lang w:val="en-GB"/>
            </w:rPr>
            <w:t xml:space="preserve">In electricity, the focus </w:t>
          </w:r>
          <w:r w:rsidR="00FA34D3" w:rsidRPr="00FF027F">
            <w:rPr>
              <w:rFonts w:ascii="Arial" w:eastAsiaTheme="minorHAnsi" w:hAnsi="Arial" w:cs="Arial"/>
              <w:color w:val="auto"/>
              <w:sz w:val="22"/>
              <w:szCs w:val="22"/>
              <w:lang w:val="en-GB"/>
            </w:rPr>
            <w:t xml:space="preserve">over the next few years </w:t>
          </w:r>
          <w:r w:rsidRPr="00FF027F">
            <w:rPr>
              <w:rFonts w:ascii="Arial" w:eastAsiaTheme="minorHAnsi" w:hAnsi="Arial" w:cs="Arial"/>
              <w:color w:val="auto"/>
              <w:sz w:val="22"/>
              <w:szCs w:val="22"/>
              <w:lang w:val="en-GB"/>
            </w:rPr>
            <w:t xml:space="preserve">will be on the implementation of all the Network Codes across </w:t>
          </w:r>
          <w:r w:rsidR="00621B6D" w:rsidRPr="00FF027F">
            <w:rPr>
              <w:rFonts w:ascii="Arial" w:eastAsiaTheme="minorHAnsi" w:hAnsi="Arial" w:cs="Arial"/>
              <w:color w:val="auto"/>
              <w:sz w:val="22"/>
              <w:szCs w:val="22"/>
              <w:lang w:val="en-GB"/>
            </w:rPr>
            <w:t xml:space="preserve">the </w:t>
          </w:r>
          <w:r w:rsidRPr="00FF027F">
            <w:rPr>
              <w:rFonts w:ascii="Arial" w:eastAsiaTheme="minorHAnsi" w:hAnsi="Arial" w:cs="Arial"/>
              <w:color w:val="auto"/>
              <w:sz w:val="22"/>
              <w:szCs w:val="22"/>
              <w:lang w:val="en-GB"/>
            </w:rPr>
            <w:t>Europe</w:t>
          </w:r>
          <w:r w:rsidR="00621B6D" w:rsidRPr="00FF027F">
            <w:rPr>
              <w:rFonts w:ascii="Arial" w:eastAsiaTheme="minorHAnsi" w:hAnsi="Arial" w:cs="Arial"/>
              <w:color w:val="auto"/>
              <w:sz w:val="22"/>
              <w:szCs w:val="22"/>
              <w:lang w:val="en-GB"/>
            </w:rPr>
            <w:t>an Union</w:t>
          </w:r>
          <w:r w:rsidRPr="00FF027F">
            <w:rPr>
              <w:rFonts w:ascii="Arial" w:eastAsiaTheme="minorHAnsi" w:hAnsi="Arial" w:cs="Arial"/>
              <w:color w:val="auto"/>
              <w:sz w:val="22"/>
              <w:szCs w:val="22"/>
              <w:lang w:val="en-GB"/>
            </w:rPr>
            <w:t xml:space="preserve"> and on the assessment of whether and how the </w:t>
          </w:r>
          <w:r w:rsidR="00494BD8" w:rsidRPr="00FF027F">
            <w:rPr>
              <w:rFonts w:ascii="Arial" w:eastAsiaTheme="minorHAnsi" w:hAnsi="Arial" w:cs="Arial"/>
              <w:color w:val="auto"/>
              <w:sz w:val="22"/>
              <w:szCs w:val="22"/>
              <w:lang w:val="en-GB"/>
            </w:rPr>
            <w:t>E</w:t>
          </w:r>
          <w:r w:rsidRPr="00FF027F">
            <w:rPr>
              <w:rFonts w:ascii="Arial" w:eastAsiaTheme="minorHAnsi" w:hAnsi="Arial" w:cs="Arial"/>
              <w:color w:val="auto"/>
              <w:sz w:val="22"/>
              <w:szCs w:val="22"/>
              <w:lang w:val="en-GB"/>
            </w:rPr>
            <w:t xml:space="preserve">lectricity </w:t>
          </w:r>
          <w:r w:rsidR="00494BD8" w:rsidRPr="00FF027F">
            <w:rPr>
              <w:rFonts w:ascii="Arial" w:eastAsiaTheme="minorHAnsi" w:hAnsi="Arial" w:cs="Arial"/>
              <w:color w:val="auto"/>
              <w:sz w:val="22"/>
              <w:szCs w:val="22"/>
              <w:lang w:val="en-GB"/>
            </w:rPr>
            <w:t>T</w:t>
          </w:r>
          <w:r w:rsidRPr="00FF027F">
            <w:rPr>
              <w:rFonts w:ascii="Arial" w:eastAsiaTheme="minorHAnsi" w:hAnsi="Arial" w:cs="Arial"/>
              <w:color w:val="auto"/>
              <w:sz w:val="22"/>
              <w:szCs w:val="22"/>
              <w:lang w:val="en-GB"/>
            </w:rPr>
            <w:t xml:space="preserve">arget </w:t>
          </w:r>
          <w:r w:rsidR="00494BD8" w:rsidRPr="00FF027F">
            <w:rPr>
              <w:rFonts w:ascii="Arial" w:eastAsiaTheme="minorHAnsi" w:hAnsi="Arial" w:cs="Arial"/>
              <w:color w:val="auto"/>
              <w:sz w:val="22"/>
              <w:szCs w:val="22"/>
              <w:lang w:val="en-GB"/>
            </w:rPr>
            <w:t>M</w:t>
          </w:r>
          <w:r w:rsidRPr="00FF027F">
            <w:rPr>
              <w:rFonts w:ascii="Arial" w:eastAsiaTheme="minorHAnsi" w:hAnsi="Arial" w:cs="Arial"/>
              <w:color w:val="auto"/>
              <w:sz w:val="22"/>
              <w:szCs w:val="22"/>
              <w:lang w:val="en-GB"/>
            </w:rPr>
            <w:t>odel could be improved or refined</w:t>
          </w:r>
          <w:r w:rsidR="00494BD8" w:rsidRPr="00FF027F">
            <w:rPr>
              <w:rFonts w:ascii="Arial" w:eastAsiaTheme="minorHAnsi" w:hAnsi="Arial" w:cs="Arial"/>
              <w:color w:val="auto"/>
              <w:sz w:val="22"/>
              <w:szCs w:val="22"/>
              <w:lang w:val="en-GB"/>
            </w:rPr>
            <w:t xml:space="preserve"> to meet the impending challenges</w:t>
          </w:r>
          <w:r w:rsidRPr="00FF027F">
            <w:rPr>
              <w:rFonts w:ascii="Arial" w:eastAsiaTheme="minorHAnsi" w:hAnsi="Arial" w:cs="Arial"/>
              <w:color w:val="auto"/>
              <w:sz w:val="22"/>
              <w:szCs w:val="22"/>
              <w:lang w:val="en-GB"/>
            </w:rPr>
            <w:t xml:space="preserve">. </w:t>
          </w:r>
          <w:r w:rsidR="0051039B" w:rsidRPr="00FF027F">
            <w:rPr>
              <w:rFonts w:ascii="Arial" w:eastAsiaTheme="minorHAnsi" w:hAnsi="Arial" w:cs="Arial"/>
              <w:color w:val="auto"/>
              <w:sz w:val="22"/>
              <w:szCs w:val="22"/>
              <w:lang w:val="en-GB"/>
            </w:rPr>
            <w:t>T</w:t>
          </w:r>
          <w:r w:rsidR="001C3ACF" w:rsidRPr="00FF027F">
            <w:rPr>
              <w:rFonts w:ascii="Arial" w:eastAsiaTheme="minorHAnsi" w:hAnsi="Arial" w:cs="Arial"/>
              <w:color w:val="auto"/>
              <w:sz w:val="22"/>
              <w:szCs w:val="22"/>
              <w:lang w:val="en-GB"/>
            </w:rPr>
            <w:t>he Agency will put particular emphasis on</w:t>
          </w:r>
          <w:r w:rsidRPr="00FF027F">
            <w:rPr>
              <w:rFonts w:ascii="Arial" w:eastAsiaTheme="minorHAnsi" w:hAnsi="Arial" w:cs="Arial"/>
              <w:color w:val="auto"/>
              <w:sz w:val="22"/>
              <w:szCs w:val="22"/>
              <w:lang w:val="en-GB"/>
            </w:rPr>
            <w:t xml:space="preserve"> the </w:t>
          </w:r>
          <w:r w:rsidR="001C3ACF" w:rsidRPr="00FF027F">
            <w:rPr>
              <w:rFonts w:ascii="Arial" w:eastAsiaTheme="minorHAnsi" w:hAnsi="Arial" w:cs="Arial"/>
              <w:color w:val="auto"/>
              <w:sz w:val="22"/>
              <w:szCs w:val="22"/>
              <w:lang w:val="en-GB"/>
            </w:rPr>
            <w:t xml:space="preserve">finalisation of the implementation of the </w:t>
          </w:r>
          <w:r w:rsidR="00494BD8" w:rsidRPr="00FF027F">
            <w:rPr>
              <w:rFonts w:ascii="Arial" w:eastAsiaTheme="minorHAnsi" w:hAnsi="Arial" w:cs="Arial"/>
              <w:color w:val="auto"/>
              <w:sz w:val="22"/>
              <w:szCs w:val="22"/>
              <w:lang w:val="en-GB"/>
            </w:rPr>
            <w:t>T</w:t>
          </w:r>
          <w:r w:rsidR="001C3ACF" w:rsidRPr="00FF027F">
            <w:rPr>
              <w:rFonts w:ascii="Arial" w:eastAsiaTheme="minorHAnsi" w:hAnsi="Arial" w:cs="Arial"/>
              <w:color w:val="auto"/>
              <w:sz w:val="22"/>
              <w:szCs w:val="22"/>
              <w:lang w:val="en-GB"/>
            </w:rPr>
            <w:t xml:space="preserve">arget </w:t>
          </w:r>
          <w:r w:rsidR="00494BD8" w:rsidRPr="00FF027F">
            <w:rPr>
              <w:rFonts w:ascii="Arial" w:eastAsiaTheme="minorHAnsi" w:hAnsi="Arial" w:cs="Arial"/>
              <w:color w:val="auto"/>
              <w:sz w:val="22"/>
              <w:szCs w:val="22"/>
              <w:lang w:val="en-GB"/>
            </w:rPr>
            <w:t>M</w:t>
          </w:r>
          <w:r w:rsidR="001C3ACF" w:rsidRPr="00FF027F">
            <w:rPr>
              <w:rFonts w:ascii="Arial" w:eastAsiaTheme="minorHAnsi" w:hAnsi="Arial" w:cs="Arial"/>
              <w:color w:val="auto"/>
              <w:sz w:val="22"/>
              <w:szCs w:val="22"/>
              <w:lang w:val="en-GB"/>
            </w:rPr>
            <w:t xml:space="preserve">odel </w:t>
          </w:r>
          <w:r w:rsidR="00494BD8" w:rsidRPr="00FF027F">
            <w:rPr>
              <w:rFonts w:ascii="Arial" w:eastAsiaTheme="minorHAnsi" w:hAnsi="Arial" w:cs="Arial"/>
              <w:color w:val="auto"/>
              <w:sz w:val="22"/>
              <w:szCs w:val="22"/>
              <w:lang w:val="en-GB"/>
            </w:rPr>
            <w:t>in the area of</w:t>
          </w:r>
          <w:r w:rsidR="001C3ACF" w:rsidRPr="00FF027F">
            <w:rPr>
              <w:rFonts w:ascii="Arial" w:eastAsiaTheme="minorHAnsi" w:hAnsi="Arial" w:cs="Arial"/>
              <w:color w:val="auto"/>
              <w:sz w:val="22"/>
              <w:szCs w:val="22"/>
              <w:lang w:val="en-GB"/>
            </w:rPr>
            <w:t xml:space="preserve"> </w:t>
          </w:r>
          <w:r w:rsidR="00FF3065" w:rsidRPr="00FF027F">
            <w:rPr>
              <w:rFonts w:ascii="Arial" w:eastAsiaTheme="minorHAnsi" w:hAnsi="Arial" w:cs="Arial"/>
              <w:color w:val="auto"/>
              <w:sz w:val="22"/>
              <w:szCs w:val="22"/>
              <w:lang w:val="en-GB"/>
            </w:rPr>
            <w:t xml:space="preserve">Capacity Allocation and Congestion </w:t>
          </w:r>
          <w:r w:rsidR="001C3ACF" w:rsidRPr="00FF027F">
            <w:rPr>
              <w:rFonts w:ascii="Arial" w:eastAsiaTheme="minorHAnsi" w:hAnsi="Arial" w:cs="Arial"/>
              <w:color w:val="auto"/>
              <w:sz w:val="22"/>
              <w:szCs w:val="22"/>
              <w:lang w:val="en-GB"/>
            </w:rPr>
            <w:t>M</w:t>
          </w:r>
          <w:r w:rsidR="00FF3065" w:rsidRPr="00FF027F">
            <w:rPr>
              <w:rFonts w:ascii="Arial" w:eastAsiaTheme="minorHAnsi" w:hAnsi="Arial" w:cs="Arial"/>
              <w:color w:val="auto"/>
              <w:sz w:val="22"/>
              <w:szCs w:val="22"/>
              <w:lang w:val="en-GB"/>
            </w:rPr>
            <w:t>anagement</w:t>
          </w:r>
          <w:r w:rsidR="0005613F" w:rsidRPr="00FF027F">
            <w:rPr>
              <w:rFonts w:ascii="Arial" w:eastAsiaTheme="minorHAnsi" w:hAnsi="Arial" w:cs="Arial"/>
              <w:color w:val="auto"/>
              <w:sz w:val="22"/>
              <w:szCs w:val="22"/>
              <w:lang w:val="en-GB"/>
            </w:rPr>
            <w:t xml:space="preserve"> and on</w:t>
          </w:r>
          <w:r w:rsidR="0051039B" w:rsidRPr="00FF027F">
            <w:rPr>
              <w:rFonts w:ascii="Arial" w:eastAsiaTheme="minorHAnsi" w:hAnsi="Arial" w:cs="Arial"/>
              <w:color w:val="auto"/>
              <w:sz w:val="22"/>
              <w:szCs w:val="22"/>
              <w:lang w:val="en-GB"/>
            </w:rPr>
            <w:t xml:space="preserve"> </w:t>
          </w:r>
          <w:r w:rsidR="001C3ACF" w:rsidRPr="00FF027F">
            <w:rPr>
              <w:rFonts w:ascii="Arial" w:eastAsiaTheme="minorHAnsi" w:hAnsi="Arial" w:cs="Arial"/>
              <w:color w:val="auto"/>
              <w:sz w:val="22"/>
              <w:szCs w:val="22"/>
              <w:lang w:val="en-GB"/>
            </w:rPr>
            <w:t xml:space="preserve">the further integration of the Balancing markets. </w:t>
          </w:r>
        </w:p>
        <w:p w14:paraId="17FB7669" w14:textId="77777777" w:rsidR="002F6D71" w:rsidRPr="00FF027F" w:rsidRDefault="002F6D71" w:rsidP="002F6D71">
          <w:pPr>
            <w:pStyle w:val="Default"/>
            <w:jc w:val="both"/>
            <w:rPr>
              <w:rFonts w:ascii="Arial" w:eastAsiaTheme="minorHAnsi" w:hAnsi="Arial" w:cs="Arial"/>
              <w:color w:val="auto"/>
              <w:sz w:val="22"/>
              <w:szCs w:val="22"/>
              <w:lang w:val="en-GB"/>
            </w:rPr>
          </w:pPr>
        </w:p>
        <w:p w14:paraId="0D4369E3" w14:textId="74977BD9" w:rsidR="0005613F" w:rsidRPr="00FF027F" w:rsidRDefault="001C3ACF" w:rsidP="002F6D71">
          <w:pPr>
            <w:pStyle w:val="Default"/>
            <w:jc w:val="both"/>
            <w:rPr>
              <w:rFonts w:ascii="Arial" w:eastAsiaTheme="minorHAnsi" w:hAnsi="Arial" w:cs="Arial"/>
              <w:color w:val="auto"/>
              <w:sz w:val="22"/>
              <w:szCs w:val="22"/>
              <w:lang w:val="en-GB"/>
            </w:rPr>
          </w:pPr>
          <w:r w:rsidRPr="00FF027F">
            <w:rPr>
              <w:rFonts w:ascii="Arial" w:eastAsiaTheme="minorHAnsi" w:hAnsi="Arial" w:cs="Arial"/>
              <w:color w:val="auto"/>
              <w:sz w:val="22"/>
              <w:szCs w:val="22"/>
              <w:lang w:val="en-GB"/>
            </w:rPr>
            <w:t xml:space="preserve">The Agency </w:t>
          </w:r>
          <w:r w:rsidR="00FA34D3" w:rsidRPr="00FF027F">
            <w:rPr>
              <w:rFonts w:ascii="Arial" w:eastAsiaTheme="minorHAnsi" w:hAnsi="Arial" w:cs="Arial"/>
              <w:color w:val="auto"/>
              <w:sz w:val="22"/>
              <w:szCs w:val="22"/>
              <w:lang w:val="en-GB"/>
            </w:rPr>
            <w:t>will also continue to monitor and identify</w:t>
          </w:r>
          <w:r w:rsidRPr="00FF027F">
            <w:rPr>
              <w:rFonts w:ascii="Arial" w:eastAsiaTheme="minorHAnsi" w:hAnsi="Arial" w:cs="Arial"/>
              <w:color w:val="auto"/>
              <w:sz w:val="22"/>
              <w:szCs w:val="22"/>
              <w:lang w:val="en-GB"/>
            </w:rPr>
            <w:t xml:space="preserve"> </w:t>
          </w:r>
          <w:r w:rsidR="00494BD8" w:rsidRPr="00FF027F">
            <w:rPr>
              <w:rFonts w:ascii="Arial" w:eastAsiaTheme="minorHAnsi" w:hAnsi="Arial" w:cs="Arial"/>
              <w:color w:val="auto"/>
              <w:sz w:val="22"/>
              <w:szCs w:val="22"/>
              <w:lang w:val="en-GB"/>
            </w:rPr>
            <w:t>any</w:t>
          </w:r>
          <w:r w:rsidRPr="00FF027F">
            <w:rPr>
              <w:rFonts w:ascii="Arial" w:eastAsiaTheme="minorHAnsi" w:hAnsi="Arial" w:cs="Arial"/>
              <w:color w:val="auto"/>
              <w:sz w:val="22"/>
              <w:szCs w:val="22"/>
              <w:lang w:val="en-GB"/>
            </w:rPr>
            <w:t xml:space="preserve"> obstacle to the well-functioning of the market</w:t>
          </w:r>
          <w:r w:rsidR="00D36E73" w:rsidRPr="00FF027F">
            <w:rPr>
              <w:rFonts w:ascii="Arial" w:eastAsiaTheme="minorHAnsi" w:hAnsi="Arial" w:cs="Arial"/>
              <w:color w:val="auto"/>
              <w:sz w:val="22"/>
              <w:szCs w:val="22"/>
              <w:lang w:val="en-GB"/>
            </w:rPr>
            <w:t xml:space="preserve"> </w:t>
          </w:r>
          <w:r w:rsidR="0051039B" w:rsidRPr="00FF027F">
            <w:rPr>
              <w:rFonts w:ascii="Arial" w:eastAsiaTheme="minorHAnsi" w:hAnsi="Arial" w:cs="Arial"/>
              <w:color w:val="auto"/>
              <w:sz w:val="22"/>
              <w:szCs w:val="22"/>
              <w:lang w:val="en-GB"/>
            </w:rPr>
            <w:t xml:space="preserve">and will strive to </w:t>
          </w:r>
          <w:r w:rsidR="00FA34D3" w:rsidRPr="00FF027F">
            <w:rPr>
              <w:rFonts w:ascii="Arial" w:eastAsiaTheme="minorHAnsi" w:hAnsi="Arial" w:cs="Arial"/>
              <w:color w:val="auto"/>
              <w:sz w:val="22"/>
              <w:szCs w:val="22"/>
              <w:lang w:val="en-GB"/>
            </w:rPr>
            <w:t>contribute</w:t>
          </w:r>
          <w:r w:rsidR="00D36E73" w:rsidRPr="00FF027F">
            <w:rPr>
              <w:rFonts w:ascii="Arial" w:eastAsiaTheme="minorHAnsi" w:hAnsi="Arial" w:cs="Arial"/>
              <w:color w:val="auto"/>
              <w:sz w:val="22"/>
              <w:szCs w:val="22"/>
              <w:lang w:val="en-GB"/>
            </w:rPr>
            <w:t xml:space="preserve"> to the policy debate </w:t>
          </w:r>
          <w:r w:rsidR="00FA34D3" w:rsidRPr="00FF027F">
            <w:rPr>
              <w:rFonts w:ascii="Arial" w:eastAsiaTheme="minorHAnsi" w:hAnsi="Arial" w:cs="Arial"/>
              <w:color w:val="auto"/>
              <w:sz w:val="22"/>
              <w:szCs w:val="22"/>
              <w:lang w:val="en-GB"/>
            </w:rPr>
            <w:t>and promote</w:t>
          </w:r>
          <w:r w:rsidR="00D36E73" w:rsidRPr="00FF027F">
            <w:rPr>
              <w:rFonts w:ascii="Arial" w:eastAsiaTheme="minorHAnsi" w:hAnsi="Arial" w:cs="Arial"/>
              <w:color w:val="auto"/>
              <w:sz w:val="22"/>
              <w:szCs w:val="22"/>
              <w:lang w:val="en-GB"/>
            </w:rPr>
            <w:t xml:space="preserve"> </w:t>
          </w:r>
          <w:r w:rsidR="0051039B" w:rsidRPr="00FF027F">
            <w:rPr>
              <w:rFonts w:ascii="Arial" w:eastAsiaTheme="minorHAnsi" w:hAnsi="Arial" w:cs="Arial"/>
              <w:color w:val="auto"/>
              <w:sz w:val="22"/>
              <w:szCs w:val="22"/>
              <w:lang w:val="en-GB"/>
            </w:rPr>
            <w:t xml:space="preserve">more coordinated and efficient </w:t>
          </w:r>
          <w:r w:rsidR="00D36E73" w:rsidRPr="00FF027F">
            <w:rPr>
              <w:rFonts w:ascii="Arial" w:eastAsiaTheme="minorHAnsi" w:hAnsi="Arial" w:cs="Arial"/>
              <w:color w:val="auto"/>
              <w:sz w:val="22"/>
              <w:szCs w:val="22"/>
              <w:lang w:val="en-GB"/>
            </w:rPr>
            <w:t>solutions to address</w:t>
          </w:r>
          <w:r w:rsidR="00AC795C" w:rsidRPr="00FF027F">
            <w:rPr>
              <w:rFonts w:ascii="Arial" w:eastAsiaTheme="minorHAnsi" w:hAnsi="Arial" w:cs="Arial"/>
              <w:color w:val="auto"/>
              <w:sz w:val="22"/>
              <w:szCs w:val="22"/>
              <w:lang w:val="en-GB"/>
            </w:rPr>
            <w:t>,</w:t>
          </w:r>
          <w:r w:rsidR="00D36E73" w:rsidRPr="00FF027F">
            <w:rPr>
              <w:rFonts w:ascii="Arial" w:eastAsiaTheme="minorHAnsi" w:hAnsi="Arial" w:cs="Arial"/>
              <w:color w:val="auto"/>
              <w:sz w:val="22"/>
              <w:szCs w:val="22"/>
              <w:lang w:val="en-GB"/>
            </w:rPr>
            <w:t xml:space="preserve"> </w:t>
          </w:r>
          <w:r w:rsidR="0051039B" w:rsidRPr="00FF027F">
            <w:rPr>
              <w:rFonts w:ascii="Arial" w:eastAsiaTheme="minorHAnsi" w:hAnsi="Arial" w:cs="Arial"/>
              <w:color w:val="auto"/>
              <w:sz w:val="22"/>
              <w:szCs w:val="22"/>
              <w:lang w:val="en-GB"/>
            </w:rPr>
            <w:t>in particular</w:t>
          </w:r>
          <w:r w:rsidR="00AC795C" w:rsidRPr="00FF027F">
            <w:rPr>
              <w:rFonts w:ascii="Arial" w:eastAsiaTheme="minorHAnsi" w:hAnsi="Arial" w:cs="Arial"/>
              <w:color w:val="auto"/>
              <w:sz w:val="22"/>
              <w:szCs w:val="22"/>
              <w:lang w:val="en-GB"/>
            </w:rPr>
            <w:t>,</w:t>
          </w:r>
          <w:r w:rsidR="0051039B" w:rsidRPr="00FF027F">
            <w:rPr>
              <w:rFonts w:ascii="Arial" w:eastAsiaTheme="minorHAnsi" w:hAnsi="Arial" w:cs="Arial"/>
              <w:color w:val="auto"/>
              <w:sz w:val="22"/>
              <w:szCs w:val="22"/>
              <w:lang w:val="en-GB"/>
            </w:rPr>
            <w:t xml:space="preserve"> </w:t>
          </w:r>
          <w:r w:rsidR="00D36E73" w:rsidRPr="00FF027F">
            <w:rPr>
              <w:rFonts w:ascii="Arial" w:eastAsiaTheme="minorHAnsi" w:hAnsi="Arial" w:cs="Arial"/>
              <w:color w:val="auto"/>
              <w:sz w:val="22"/>
              <w:szCs w:val="22"/>
              <w:lang w:val="en-GB"/>
            </w:rPr>
            <w:t>problems of adequacy</w:t>
          </w:r>
          <w:r w:rsidR="0005613F" w:rsidRPr="00FF027F">
            <w:rPr>
              <w:rFonts w:ascii="Arial" w:eastAsiaTheme="minorHAnsi" w:hAnsi="Arial" w:cs="Arial"/>
              <w:color w:val="auto"/>
              <w:sz w:val="22"/>
              <w:szCs w:val="22"/>
              <w:lang w:val="en-GB"/>
            </w:rPr>
            <w:t xml:space="preserve"> and flexibility</w:t>
          </w:r>
          <w:r w:rsidR="0051039B" w:rsidRPr="00FF027F">
            <w:rPr>
              <w:rFonts w:ascii="Arial" w:eastAsiaTheme="minorHAnsi" w:hAnsi="Arial" w:cs="Arial"/>
              <w:color w:val="auto"/>
              <w:sz w:val="22"/>
              <w:szCs w:val="22"/>
              <w:lang w:val="en-GB"/>
            </w:rPr>
            <w:t xml:space="preserve">. </w:t>
          </w:r>
          <w:r w:rsidR="00FA34D3" w:rsidRPr="00FF027F">
            <w:rPr>
              <w:rFonts w:ascii="Arial" w:eastAsiaTheme="minorHAnsi" w:hAnsi="Arial" w:cs="Arial"/>
              <w:color w:val="auto"/>
              <w:sz w:val="22"/>
              <w:szCs w:val="22"/>
              <w:lang w:val="en-GB"/>
            </w:rPr>
            <w:t>In this</w:t>
          </w:r>
          <w:r w:rsidR="0005613F" w:rsidRPr="00FF027F">
            <w:rPr>
              <w:rFonts w:ascii="Arial" w:eastAsiaTheme="minorHAnsi" w:hAnsi="Arial" w:cs="Arial"/>
              <w:color w:val="auto"/>
              <w:sz w:val="22"/>
              <w:szCs w:val="22"/>
              <w:lang w:val="en-GB"/>
            </w:rPr>
            <w:t xml:space="preserve"> respect, the Agency will particularly focus on the role of demand response in addressing these challenges.</w:t>
          </w:r>
        </w:p>
        <w:p w14:paraId="02C5E500" w14:textId="6A311F8C" w:rsidR="006F1575" w:rsidRPr="00FF027F" w:rsidRDefault="006F1575" w:rsidP="00F01165">
          <w:pPr>
            <w:spacing w:before="360" w:after="240" w:line="360" w:lineRule="auto"/>
            <w:jc w:val="both"/>
            <w:rPr>
              <w:rFonts w:ascii="Arial" w:hAnsi="Arial" w:cs="Arial"/>
              <w:lang w:val="en-GB" w:eastAsia="en-GB"/>
            </w:rPr>
          </w:pPr>
          <w:r w:rsidRPr="00FF027F">
            <w:rPr>
              <w:rFonts w:ascii="Arial" w:hAnsi="Arial" w:cs="Arial"/>
              <w:lang w:val="en-GB" w:eastAsia="en-GB"/>
            </w:rPr>
            <w:t xml:space="preserve">In gas, </w:t>
          </w:r>
          <w:r w:rsidR="00A22CD4" w:rsidRPr="00FF027F">
            <w:rPr>
              <w:rFonts w:ascii="Arial" w:hAnsi="Arial" w:cs="Arial"/>
              <w:lang w:val="en-GB" w:eastAsia="en-GB"/>
            </w:rPr>
            <w:t xml:space="preserve">the Network Code on Harmonised Transmission Tariff Structures is expected to be finalised in 2015. For the time being, no new Framework Guidelines are expected to be put forward for development. The focus will thus shift to implementation and monitoring. In 2015, the Network Codes on Capacity Allocation Mechanisms and on Gas Balancing in Transmission Systems will enter into force. The Network Code on Interoperability and Data Exchange Rules may also enter into force in 2015. Before their formal entry into force, a number of their provisions should already be implemented early in some Member States through the GRI. Given the voluntary nature of this </w:t>
          </w:r>
          <w:r w:rsidR="00494BD8" w:rsidRPr="00FF027F">
            <w:rPr>
              <w:rFonts w:ascii="Arial" w:hAnsi="Arial" w:cs="Arial"/>
              <w:lang w:val="en-GB" w:eastAsia="en-GB"/>
            </w:rPr>
            <w:t>process</w:t>
          </w:r>
          <w:r w:rsidR="00A22CD4" w:rsidRPr="00FF027F">
            <w:rPr>
              <w:rFonts w:ascii="Arial" w:hAnsi="Arial" w:cs="Arial"/>
              <w:lang w:val="en-GB" w:eastAsia="en-GB"/>
            </w:rPr>
            <w:t xml:space="preserve">, </w:t>
          </w:r>
          <w:r w:rsidR="00494BD8" w:rsidRPr="00FF027F">
            <w:rPr>
              <w:rFonts w:ascii="Arial" w:hAnsi="Arial" w:cs="Arial"/>
              <w:lang w:val="en-GB" w:eastAsia="en-GB"/>
            </w:rPr>
            <w:t>its success</w:t>
          </w:r>
          <w:r w:rsidR="00A22CD4" w:rsidRPr="00FF027F">
            <w:rPr>
              <w:rFonts w:ascii="Arial" w:hAnsi="Arial" w:cs="Arial"/>
              <w:lang w:val="en-GB" w:eastAsia="en-GB"/>
            </w:rPr>
            <w:t xml:space="preserve"> will depend on the willingness of NRAs and TSOs to step forward. As soon as a Network Code becomes formally binding, the Agency will start monitoring its implementation. </w:t>
          </w:r>
        </w:p>
        <w:p w14:paraId="22C24677" w14:textId="77777777" w:rsidR="00FA34D3" w:rsidRPr="00FF027F" w:rsidRDefault="001964D8" w:rsidP="001964D8">
          <w:pPr>
            <w:pStyle w:val="Heading3"/>
            <w:rPr>
              <w:color w:val="4F81BD" w:themeColor="accent1"/>
              <w:lang w:eastAsia="en-GB"/>
            </w:rPr>
          </w:pPr>
          <w:bookmarkStart w:id="36" w:name="_Toc396913748"/>
          <w:r w:rsidRPr="00FF027F">
            <w:rPr>
              <w:color w:val="4F81BD" w:themeColor="accent1"/>
              <w:lang w:eastAsia="en-GB"/>
            </w:rPr>
            <w:t>Risks</w:t>
          </w:r>
          <w:bookmarkEnd w:id="36"/>
          <w:r w:rsidR="00FA34D3" w:rsidRPr="00FF027F">
            <w:rPr>
              <w:rFonts w:ascii="Arial" w:hAnsi="Arial" w:cs="Arial"/>
              <w:b w:val="0"/>
              <w:color w:val="auto"/>
              <w:sz w:val="22"/>
              <w:szCs w:val="22"/>
              <w:lang w:eastAsia="en-GB"/>
            </w:rPr>
            <w:t xml:space="preserve"> </w:t>
          </w:r>
        </w:p>
        <w:p w14:paraId="4908B0FB" w14:textId="79941E24" w:rsidR="001964D8" w:rsidRPr="00FF027F" w:rsidRDefault="00FA34D3" w:rsidP="009F48F0">
          <w:pPr>
            <w:spacing w:before="360" w:after="240" w:line="360" w:lineRule="auto"/>
            <w:jc w:val="both"/>
            <w:rPr>
              <w:rFonts w:ascii="Arial" w:hAnsi="Arial" w:cs="Arial"/>
              <w:color w:val="4F81BD" w:themeColor="accent1"/>
              <w:lang w:val="en-GB" w:eastAsia="en-GB"/>
            </w:rPr>
          </w:pPr>
          <w:r w:rsidRPr="00FF027F">
            <w:rPr>
              <w:rFonts w:ascii="Arial" w:hAnsi="Arial" w:cs="Arial"/>
              <w:lang w:val="en-GB" w:eastAsia="en-GB"/>
            </w:rPr>
            <w:t>Late adoption of the Network Codes in electricity could postpone their implementation</w:t>
          </w:r>
          <w:r w:rsidR="00494BD8" w:rsidRPr="00FF027F">
            <w:rPr>
              <w:rFonts w:ascii="Arial" w:hAnsi="Arial" w:cs="Arial"/>
              <w:lang w:val="en-GB" w:eastAsia="en-GB"/>
            </w:rPr>
            <w:t xml:space="preserve"> accordingly</w:t>
          </w:r>
          <w:r w:rsidRPr="00FF027F">
            <w:rPr>
              <w:rFonts w:ascii="Arial" w:hAnsi="Arial" w:cs="Arial"/>
              <w:lang w:val="en-GB" w:eastAsia="en-GB"/>
            </w:rPr>
            <w:t>.</w:t>
          </w:r>
          <w:r w:rsidR="00494BD8" w:rsidRPr="00FF027F">
            <w:rPr>
              <w:rFonts w:ascii="Arial" w:hAnsi="Arial" w:cs="Arial"/>
              <w:lang w:val="en-GB" w:eastAsia="en-GB"/>
            </w:rPr>
            <w:t xml:space="preserve"> As already indicated, the early – voluntary - implementation of the provisions contained in the Network Codes depends on the willingness of NRAs and TSOs.</w:t>
          </w:r>
        </w:p>
        <w:p w14:paraId="63BBCA09" w14:textId="2CA22C8E" w:rsidR="00362EA6" w:rsidRPr="00FF027F" w:rsidRDefault="00BF0A4F" w:rsidP="003F349F">
          <w:pPr>
            <w:pStyle w:val="Heading2"/>
            <w:rPr>
              <w:lang w:eastAsia="en-GB"/>
            </w:rPr>
          </w:pPr>
          <w:bookmarkStart w:id="37" w:name="_Toc396913749"/>
          <w:r w:rsidRPr="00FF027F">
            <w:rPr>
              <w:lang w:eastAsia="en-GB"/>
            </w:rPr>
            <w:t xml:space="preserve">Wholesale </w:t>
          </w:r>
          <w:r w:rsidR="001E1062" w:rsidRPr="00FF027F">
            <w:rPr>
              <w:lang w:eastAsia="en-GB"/>
            </w:rPr>
            <w:t>Energy Market Integrity and Transparency</w:t>
          </w:r>
          <w:bookmarkEnd w:id="37"/>
          <w:r w:rsidR="001E1062" w:rsidRPr="00FF027F">
            <w:rPr>
              <w:lang w:eastAsia="en-GB"/>
            </w:rPr>
            <w:t xml:space="preserve"> </w:t>
          </w:r>
        </w:p>
        <w:p w14:paraId="2F1E9B40" w14:textId="04B45D77" w:rsidR="00DF6390" w:rsidRPr="00FF027F" w:rsidRDefault="00DF6390" w:rsidP="00B43EF9">
          <w:pPr>
            <w:pStyle w:val="Heading3"/>
            <w:rPr>
              <w:color w:val="4F81BD" w:themeColor="accent1"/>
              <w:lang w:eastAsia="en-GB"/>
            </w:rPr>
          </w:pPr>
          <w:bookmarkStart w:id="38" w:name="_Toc396913750"/>
          <w:r w:rsidRPr="00FF027F">
            <w:rPr>
              <w:color w:val="4F81BD" w:themeColor="accent1"/>
              <w:lang w:eastAsia="en-GB"/>
            </w:rPr>
            <w:t xml:space="preserve">Institutional </w:t>
          </w:r>
          <w:r w:rsidR="001964D8" w:rsidRPr="00FF027F">
            <w:rPr>
              <w:color w:val="4F81BD" w:themeColor="accent1"/>
              <w:lang w:eastAsia="en-GB"/>
            </w:rPr>
            <w:t>Framework</w:t>
          </w:r>
          <w:bookmarkEnd w:id="38"/>
        </w:p>
        <w:p w14:paraId="6480D8C8" w14:textId="50B86066" w:rsidR="00EE4EDC" w:rsidRPr="00FF027F" w:rsidRDefault="0096595A" w:rsidP="004A208C">
          <w:pPr>
            <w:spacing w:before="360" w:after="240" w:line="360" w:lineRule="auto"/>
            <w:jc w:val="both"/>
            <w:rPr>
              <w:rFonts w:ascii="Arial" w:hAnsi="Arial" w:cs="Arial"/>
              <w:lang w:val="en-GB" w:eastAsia="en-GB"/>
            </w:rPr>
          </w:pPr>
          <w:r w:rsidRPr="00FF027F">
            <w:rPr>
              <w:rFonts w:ascii="Arial" w:hAnsi="Arial" w:cs="Arial"/>
              <w:lang w:val="en-GB"/>
            </w:rPr>
            <w:t>REMIT</w:t>
          </w:r>
          <w:r w:rsidR="0042177F" w:rsidRPr="00FF027F">
            <w:rPr>
              <w:rFonts w:ascii="Arial" w:hAnsi="Arial" w:cs="Arial"/>
              <w:lang w:val="en-GB"/>
            </w:rPr>
            <w:t>,</w:t>
          </w:r>
          <w:r w:rsidRPr="00FF027F">
            <w:rPr>
              <w:rFonts w:ascii="Arial" w:hAnsi="Arial" w:cs="Arial"/>
              <w:lang w:val="en-GB"/>
            </w:rPr>
            <w:t xml:space="preserve"> which established rules prohibiting abusive practices affecting wholesale energy markets</w:t>
          </w:r>
          <w:r w:rsidR="008F08E3" w:rsidRPr="00FF027F">
            <w:rPr>
              <w:rFonts w:ascii="Arial" w:hAnsi="Arial" w:cs="Arial"/>
              <w:lang w:val="en-GB" w:eastAsia="en-GB"/>
            </w:rPr>
            <w:t xml:space="preserve">, </w:t>
          </w:r>
          <w:r w:rsidRPr="00FF027F">
            <w:rPr>
              <w:rFonts w:ascii="Arial" w:hAnsi="Arial" w:cs="Arial"/>
              <w:lang w:val="en-GB" w:eastAsia="en-GB"/>
            </w:rPr>
            <w:t>extended the Agency’s original mandate</w:t>
          </w:r>
          <w:r w:rsidR="00EE4EDC" w:rsidRPr="00FF027F">
            <w:rPr>
              <w:rFonts w:ascii="Arial" w:eastAsia="Times New Roman" w:hAnsi="Arial" w:cs="Times New Roman"/>
              <w:szCs w:val="24"/>
              <w:lang w:val="en-GB" w:eastAsia="de-DE"/>
            </w:rPr>
            <w:t xml:space="preserve"> by assigning new responsibilities in the area of wholesale market monitoring. Such activities are very different from the monitoring of the internal market which the Agency has been performing pursuant to the ACER Regulation and require the Agency to acquire new IT infrastructure and software to collect data from market participants at EU level, as well as new market monitoring tools and specialised expertise</w:t>
          </w:r>
          <w:r w:rsidRPr="00FF027F">
            <w:rPr>
              <w:rFonts w:ascii="Arial" w:hAnsi="Arial" w:cs="Arial"/>
              <w:lang w:val="en-GB" w:eastAsia="en-GB"/>
            </w:rPr>
            <w:t xml:space="preserve">. </w:t>
          </w:r>
        </w:p>
        <w:p w14:paraId="2A6005D1" w14:textId="57B453E6" w:rsidR="00EE4EDC" w:rsidRPr="00FF027F" w:rsidRDefault="00EE4EDC" w:rsidP="00EE4EDC">
          <w:pPr>
            <w:spacing w:before="360" w:after="240" w:line="360" w:lineRule="auto"/>
            <w:jc w:val="both"/>
            <w:rPr>
              <w:rFonts w:ascii="Arial" w:hAnsi="Arial" w:cs="Arial"/>
              <w:lang w:val="en-GB"/>
            </w:rPr>
          </w:pPr>
          <w:r w:rsidRPr="00FF027F">
            <w:rPr>
              <w:rFonts w:ascii="Arial" w:hAnsi="Arial" w:cs="Arial"/>
              <w:lang w:val="en-GB"/>
            </w:rPr>
            <w:t xml:space="preserve">Regulatory cooperation is, however, an essential element of REMIT. Close cooperation and coordination between the Agency and NRAs is necessary to ensure proper monitoring of energy markets. Coordination is needed between the ambits of responsibilities of the Agency (monitoring of the European market) and of NRAs (monitoring at national level and enforcement). </w:t>
          </w:r>
        </w:p>
        <w:p w14:paraId="529E786A" w14:textId="5F647316" w:rsidR="004A208C" w:rsidRPr="00FF027F" w:rsidRDefault="00EE4EDC" w:rsidP="00EE4EDC">
          <w:pPr>
            <w:spacing w:before="360" w:after="240" w:line="360" w:lineRule="auto"/>
            <w:jc w:val="both"/>
            <w:rPr>
              <w:rFonts w:ascii="Arial" w:hAnsi="Arial" w:cs="Arial"/>
              <w:lang w:val="en-GB"/>
            </w:rPr>
          </w:pPr>
          <w:r w:rsidRPr="00FF027F">
            <w:rPr>
              <w:rFonts w:ascii="Arial" w:hAnsi="Arial" w:cs="Arial"/>
              <w:lang w:val="en-GB"/>
            </w:rPr>
            <w:t xml:space="preserve">The creation of the Agency’s Market Integrity and Transparency Working Group (AMIT WG) allows taking account of early input from the NRAs on the Agency’s work. Furthermore, the regular discussions in the BoR will continue to promote such collaboration and to ensure that a coordinated approach is taken to the implementation of the relevant rules. </w:t>
          </w:r>
        </w:p>
        <w:p w14:paraId="6121A166" w14:textId="3255ED27" w:rsidR="00EE4EDC" w:rsidRPr="00FF027F" w:rsidRDefault="00EE4EDC" w:rsidP="00EE4EDC">
          <w:pPr>
            <w:spacing w:before="360" w:after="240" w:line="360" w:lineRule="auto"/>
            <w:jc w:val="both"/>
            <w:rPr>
              <w:rFonts w:ascii="Arial" w:hAnsi="Arial" w:cs="Arial"/>
              <w:lang w:val="en-GB" w:eastAsia="en-GB"/>
            </w:rPr>
          </w:pPr>
          <w:r w:rsidRPr="00FF027F">
            <w:rPr>
              <w:rFonts w:ascii="Arial" w:hAnsi="Arial" w:cs="Arial"/>
              <w:lang w:val="en-GB" w:eastAsia="en-GB"/>
            </w:rPr>
            <w:t>The Agency aims to ensure that NRAs carry out their tasks under REMIT in a coordinated and consistent way.</w:t>
          </w:r>
        </w:p>
        <w:p w14:paraId="6239BEB0" w14:textId="004F166B" w:rsidR="00EE4EDC" w:rsidRPr="00FF027F" w:rsidRDefault="00AC795C" w:rsidP="00EE4EDC">
          <w:pPr>
            <w:spacing w:before="360" w:after="240" w:line="360" w:lineRule="auto"/>
            <w:jc w:val="both"/>
            <w:rPr>
              <w:rFonts w:ascii="Arial" w:hAnsi="Arial" w:cs="Arial"/>
              <w:lang w:val="en-GB" w:eastAsia="en-GB"/>
            </w:rPr>
          </w:pPr>
          <w:r w:rsidRPr="00FF027F">
            <w:rPr>
              <w:rFonts w:ascii="Arial" w:hAnsi="Arial" w:cs="Arial"/>
              <w:lang w:val="en-GB" w:eastAsia="en-GB"/>
            </w:rPr>
            <w:lastRenderedPageBreak/>
            <w:t>Moreover, apart from NRAs, t</w:t>
          </w:r>
          <w:r w:rsidR="00EE4EDC" w:rsidRPr="00FF027F">
            <w:rPr>
              <w:rFonts w:ascii="Arial" w:hAnsi="Arial" w:cs="Arial"/>
              <w:lang w:val="en-GB" w:eastAsia="en-GB"/>
            </w:rPr>
            <w:t xml:space="preserve">he Agency cooperates closely with ESMA, the competent financial market authorities of Member States and, where appropriate, national competition authorities. The Agency may also establish strong links with major organised market places. </w:t>
          </w:r>
        </w:p>
        <w:p w14:paraId="5C5550B5" w14:textId="2D2CEF44" w:rsidR="00EE4EDC" w:rsidRPr="00FF027F" w:rsidRDefault="00EE4EDC" w:rsidP="00EE4EDC">
          <w:pPr>
            <w:spacing w:before="360" w:after="240" w:line="360" w:lineRule="auto"/>
            <w:jc w:val="both"/>
            <w:rPr>
              <w:rFonts w:ascii="Arial" w:hAnsi="Arial" w:cs="Arial"/>
              <w:lang w:val="en-GB" w:eastAsia="en-GB"/>
            </w:rPr>
          </w:pPr>
          <w:r w:rsidRPr="00FF027F">
            <w:rPr>
              <w:rFonts w:ascii="Arial" w:hAnsi="Arial" w:cs="Arial"/>
              <w:lang w:val="en-GB" w:eastAsia="en-GB"/>
            </w:rPr>
            <w:t>The scope and practical terms for implementing the cooperation with NRAs, ESMA and organised market places have been defined in Memoranda of Understanding (MoUs). Whilst the MoU with NRAs is a multilateral agreement, the MoUs with ESMA and with organised market places are bilateral.</w:t>
          </w:r>
        </w:p>
        <w:p w14:paraId="647741BE" w14:textId="797F24AB" w:rsidR="001E1062" w:rsidRPr="00FF027F" w:rsidRDefault="001964D8" w:rsidP="001964D8">
          <w:pPr>
            <w:pStyle w:val="Heading3"/>
            <w:rPr>
              <w:rFonts w:eastAsia="MS PGothic"/>
              <w:color w:val="4F81BD" w:themeColor="accent1"/>
            </w:rPr>
          </w:pPr>
          <w:bookmarkStart w:id="39" w:name="_Toc396913751"/>
          <w:r w:rsidRPr="00FF027F">
            <w:rPr>
              <w:rFonts w:eastAsia="MS PGothic"/>
              <w:color w:val="4F81BD" w:themeColor="accent1"/>
            </w:rPr>
            <w:t>Completion of</w:t>
          </w:r>
          <w:r w:rsidR="001E1062" w:rsidRPr="00FF027F">
            <w:rPr>
              <w:rFonts w:eastAsia="MS PGothic"/>
              <w:color w:val="4F81BD" w:themeColor="accent1"/>
            </w:rPr>
            <w:t xml:space="preserve"> REMIT Implementation</w:t>
          </w:r>
          <w:bookmarkEnd w:id="39"/>
        </w:p>
        <w:p w14:paraId="4A434DBB" w14:textId="152A012D" w:rsidR="00A42265" w:rsidRPr="00FF027F" w:rsidRDefault="00EE4EDC" w:rsidP="00223D8B">
          <w:pPr>
            <w:spacing w:before="360" w:after="240" w:line="360" w:lineRule="auto"/>
            <w:jc w:val="both"/>
            <w:rPr>
              <w:rFonts w:ascii="Arial" w:hAnsi="Arial" w:cs="Arial"/>
              <w:lang w:val="en-GB"/>
            </w:rPr>
          </w:pPr>
          <w:r w:rsidRPr="00FF027F">
            <w:rPr>
              <w:rFonts w:ascii="Arial" w:hAnsi="Arial" w:cs="Arial"/>
              <w:lang w:val="en-GB"/>
            </w:rPr>
            <w:t xml:space="preserve">During the REMIT </w:t>
          </w:r>
          <w:r w:rsidRPr="00FF027F">
            <w:rPr>
              <w:rFonts w:ascii="Arial" w:hAnsi="Arial" w:cs="Arial"/>
              <w:bCs/>
              <w:iCs/>
              <w:lang w:val="en-GB"/>
            </w:rPr>
            <w:t>implementation stage</w:t>
          </w:r>
          <w:r w:rsidRPr="00FF027F">
            <w:rPr>
              <w:rFonts w:ascii="Arial" w:hAnsi="Arial" w:cs="Arial"/>
              <w:lang w:val="en-GB"/>
            </w:rPr>
            <w:t xml:space="preserve">, the Agency will put in place the IT tools and procedures for effectively monitoring wholesale energy markets, including data exchange with NRAs and other authorities (at national and EU level) with which the Agency will cooperate. This stage started with the entry into force of REMIT on 28 December 2011. Since then, the Agency has issued </w:t>
          </w:r>
          <w:r w:rsidR="008E6B62" w:rsidRPr="00FF027F">
            <w:rPr>
              <w:rFonts w:ascii="Arial" w:hAnsi="Arial" w:cs="Arial"/>
              <w:lang w:val="en-GB"/>
            </w:rPr>
            <w:t>three</w:t>
          </w:r>
          <w:r w:rsidRPr="00FF027F">
            <w:rPr>
              <w:rFonts w:ascii="Arial" w:hAnsi="Arial" w:cs="Arial"/>
              <w:lang w:val="en-GB"/>
            </w:rPr>
            <w:t xml:space="preserve"> editions of the Guidance on the application of REMIT definitions, a document defining the Registration Format and its Recommendations to the European Commission o</w:t>
          </w:r>
          <w:r w:rsidR="008E6B62" w:rsidRPr="00FF027F">
            <w:rPr>
              <w:rFonts w:ascii="Arial" w:hAnsi="Arial" w:cs="Arial"/>
              <w:lang w:val="en-GB"/>
            </w:rPr>
            <w:t xml:space="preserve">n the records of transactions. During the </w:t>
          </w:r>
          <w:r w:rsidR="00AA27EA" w:rsidRPr="00FF027F">
            <w:rPr>
              <w:rFonts w:ascii="Arial" w:hAnsi="Arial" w:cs="Arial"/>
              <w:lang w:val="en-GB"/>
            </w:rPr>
            <w:t xml:space="preserve">remaining part of the </w:t>
          </w:r>
          <w:r w:rsidR="008E6B62" w:rsidRPr="00FF027F">
            <w:rPr>
              <w:rFonts w:ascii="Arial" w:hAnsi="Arial" w:cs="Arial"/>
              <w:lang w:val="en-GB"/>
            </w:rPr>
            <w:t>REMIT implementation stage, the</w:t>
          </w:r>
          <w:r w:rsidRPr="00FF027F">
            <w:rPr>
              <w:rFonts w:ascii="Arial" w:hAnsi="Arial" w:cs="Arial"/>
              <w:lang w:val="en-GB"/>
            </w:rPr>
            <w:t xml:space="preserve"> Agency will focus on </w:t>
          </w:r>
          <w:r w:rsidR="00AA27EA" w:rsidRPr="00FF027F">
            <w:rPr>
              <w:rFonts w:ascii="Arial" w:hAnsi="Arial" w:cs="Arial"/>
              <w:lang w:val="en-GB"/>
            </w:rPr>
            <w:t xml:space="preserve">completing </w:t>
          </w:r>
          <w:r w:rsidRPr="00FF027F">
            <w:rPr>
              <w:rFonts w:ascii="Arial" w:hAnsi="Arial" w:cs="Arial"/>
              <w:lang w:val="en-GB"/>
            </w:rPr>
            <w:t>the development and deployment of the IT system for the effective monitoring of the markets in wholesale energy products</w:t>
          </w:r>
          <w:r w:rsidR="00AA27EA" w:rsidRPr="00FF027F">
            <w:rPr>
              <w:rFonts w:ascii="Arial" w:hAnsi="Arial" w:cs="Arial"/>
              <w:lang w:val="en-GB"/>
            </w:rPr>
            <w:t xml:space="preserve"> (the IT system for market participants’ registration is already operational)</w:t>
          </w:r>
          <w:r w:rsidRPr="00FF027F">
            <w:rPr>
              <w:rFonts w:ascii="Arial" w:hAnsi="Arial" w:cs="Arial"/>
              <w:lang w:val="en-GB"/>
            </w:rPr>
            <w:t xml:space="preserve">. The software implementation will have to be completed within six months of the adoption by the European Commission of the Implementing Acts. As the adoption of the Implementing Acts is expected to take </w:t>
          </w:r>
          <w:r w:rsidR="008E6B62" w:rsidRPr="00FF027F">
            <w:rPr>
              <w:rFonts w:ascii="Arial" w:hAnsi="Arial" w:cs="Arial"/>
              <w:lang w:val="en-GB"/>
            </w:rPr>
            <w:t>place in the second half of 2014</w:t>
          </w:r>
          <w:r w:rsidRPr="00FF027F">
            <w:rPr>
              <w:rFonts w:ascii="Arial" w:hAnsi="Arial" w:cs="Arial"/>
              <w:lang w:val="en-GB"/>
            </w:rPr>
            <w:t>, the implementation stage</w:t>
          </w:r>
          <w:r w:rsidR="008E6B62" w:rsidRPr="00FF027F">
            <w:rPr>
              <w:rFonts w:ascii="Arial" w:hAnsi="Arial" w:cs="Arial"/>
              <w:lang w:val="en-GB"/>
            </w:rPr>
            <w:t xml:space="preserve"> needs to </w:t>
          </w:r>
          <w:r w:rsidR="00223D8B" w:rsidRPr="00FF027F">
            <w:rPr>
              <w:rFonts w:ascii="Arial" w:hAnsi="Arial" w:cs="Arial"/>
              <w:lang w:val="en-GB"/>
            </w:rPr>
            <w:t xml:space="preserve">be </w:t>
          </w:r>
          <w:r w:rsidR="008E6B62" w:rsidRPr="00FF027F">
            <w:rPr>
              <w:rFonts w:ascii="Arial" w:hAnsi="Arial" w:cs="Arial"/>
              <w:lang w:val="en-GB"/>
            </w:rPr>
            <w:t>complete</w:t>
          </w:r>
          <w:r w:rsidR="00223D8B" w:rsidRPr="00FF027F">
            <w:rPr>
              <w:rFonts w:ascii="Arial" w:hAnsi="Arial" w:cs="Arial"/>
              <w:lang w:val="en-GB"/>
            </w:rPr>
            <w:t>d</w:t>
          </w:r>
          <w:r w:rsidR="008E6B62" w:rsidRPr="00FF027F">
            <w:rPr>
              <w:rFonts w:ascii="Arial" w:hAnsi="Arial" w:cs="Arial"/>
              <w:lang w:val="en-GB"/>
            </w:rPr>
            <w:t xml:space="preserve"> in early 2015</w:t>
          </w:r>
          <w:r w:rsidRPr="00FF027F">
            <w:rPr>
              <w:rFonts w:ascii="Arial" w:hAnsi="Arial" w:cs="Arial"/>
              <w:lang w:val="en-GB"/>
            </w:rPr>
            <w:t>.</w:t>
          </w:r>
          <w:r w:rsidR="008E6B62" w:rsidRPr="00FF027F">
            <w:rPr>
              <w:rFonts w:ascii="Arial" w:hAnsi="Arial" w:cs="Arial"/>
              <w:lang w:val="en-GB"/>
            </w:rPr>
            <w:t xml:space="preserve"> The Commission’s implementing acts may, however, foresee several phases of data collection and therefore REMIT implementation may go on beyond this period until data collection of all wholesale energy products covered by the Commission’s implementing acts starts. </w:t>
          </w:r>
        </w:p>
        <w:p w14:paraId="3934A90A" w14:textId="77777777" w:rsidR="001964D8" w:rsidRPr="00FF027F" w:rsidRDefault="001E1062" w:rsidP="001964D8">
          <w:pPr>
            <w:pStyle w:val="Heading3"/>
            <w:jc w:val="both"/>
            <w:rPr>
              <w:color w:val="4F81BD" w:themeColor="accent1"/>
              <w:lang w:eastAsia="en-GB"/>
            </w:rPr>
          </w:pPr>
          <w:bookmarkStart w:id="40" w:name="_Toc396913752"/>
          <w:r w:rsidRPr="00FF027F">
            <w:rPr>
              <w:rFonts w:eastAsia="MS PGothic"/>
              <w:color w:val="4F81BD" w:themeColor="accent1"/>
            </w:rPr>
            <w:t>Wholesale Market Monitoring</w:t>
          </w:r>
          <w:bookmarkEnd w:id="40"/>
          <w:r w:rsidR="001964D8" w:rsidRPr="00FF027F">
            <w:rPr>
              <w:color w:val="4F81BD" w:themeColor="accent1"/>
              <w:lang w:eastAsia="en-GB"/>
            </w:rPr>
            <w:t xml:space="preserve"> </w:t>
          </w:r>
        </w:p>
        <w:p w14:paraId="7E18B6D5" w14:textId="02C369F2" w:rsidR="00A42265" w:rsidRPr="00FF027F" w:rsidRDefault="00223D8B" w:rsidP="009165DE">
          <w:pPr>
            <w:spacing w:before="240" w:after="360" w:line="360" w:lineRule="auto"/>
            <w:jc w:val="both"/>
            <w:rPr>
              <w:rFonts w:ascii="Arial" w:hAnsi="Arial" w:cs="Arial"/>
              <w:b/>
              <w:lang w:val="en-GB" w:eastAsia="en-GB"/>
            </w:rPr>
          </w:pPr>
          <w:r w:rsidRPr="00FF027F">
            <w:rPr>
              <w:rFonts w:ascii="Arial" w:hAnsi="Arial" w:cs="Arial"/>
              <w:lang w:val="en-GB" w:eastAsia="en-GB"/>
            </w:rPr>
            <w:t>Once the Commission’s implementing acts enter into force</w:t>
          </w:r>
          <w:r w:rsidR="009165DE" w:rsidRPr="00FF027F">
            <w:rPr>
              <w:rFonts w:ascii="Arial" w:hAnsi="Arial" w:cs="Arial"/>
              <w:lang w:val="en-GB" w:eastAsia="en-GB"/>
            </w:rPr>
            <w:t>,</w:t>
          </w:r>
          <w:r w:rsidRPr="00FF027F">
            <w:rPr>
              <w:rFonts w:ascii="Arial" w:hAnsi="Arial" w:cs="Arial"/>
              <w:lang w:val="en-GB" w:eastAsia="en-GB"/>
            </w:rPr>
            <w:t xml:space="preserve"> t</w:t>
          </w:r>
          <w:r w:rsidR="008E6B62" w:rsidRPr="00FF027F">
            <w:rPr>
              <w:rFonts w:ascii="Arial" w:hAnsi="Arial" w:cs="Arial"/>
              <w:lang w:val="en-GB" w:eastAsia="en-GB"/>
            </w:rPr>
            <w:t>he Agency will be responsible for actively monitoring trading in wholesale energy markets. This involves</w:t>
          </w:r>
          <w:r w:rsidR="009165DE" w:rsidRPr="00FF027F">
            <w:rPr>
              <w:rFonts w:ascii="Arial" w:hAnsi="Arial" w:cs="Arial"/>
              <w:lang w:val="en-GB" w:eastAsia="en-GB"/>
            </w:rPr>
            <w:t>,</w:t>
          </w:r>
          <w:r w:rsidR="008E6B62" w:rsidRPr="00FF027F">
            <w:rPr>
              <w:rFonts w:ascii="Arial" w:hAnsi="Arial" w:cs="Arial"/>
              <w:lang w:val="en-GB" w:eastAsia="en-GB"/>
            </w:rPr>
            <w:t xml:space="preserve"> </w:t>
          </w:r>
          <w:r w:rsidR="008E6B62" w:rsidRPr="00FF027F">
            <w:rPr>
              <w:rFonts w:ascii="Arial" w:hAnsi="Arial" w:cs="Arial"/>
              <w:i/>
              <w:lang w:val="en-GB" w:eastAsia="en-GB"/>
            </w:rPr>
            <w:t>inter alia</w:t>
          </w:r>
          <w:r w:rsidR="009165DE" w:rsidRPr="00FF027F">
            <w:rPr>
              <w:rFonts w:ascii="Arial" w:hAnsi="Arial" w:cs="Arial"/>
              <w:lang w:val="en-GB" w:eastAsia="en-GB"/>
            </w:rPr>
            <w:t>,</w:t>
          </w:r>
          <w:r w:rsidR="008E6B62" w:rsidRPr="00FF027F">
            <w:rPr>
              <w:rFonts w:ascii="Arial" w:hAnsi="Arial" w:cs="Arial"/>
              <w:lang w:val="en-GB" w:eastAsia="en-GB"/>
            </w:rPr>
            <w:t xml:space="preserve"> the collection of trade and fundamental data (to be reported by market participants and other reporting entities), screening such data in the light of the actual state of the energy systems, identify</w:t>
          </w:r>
          <w:r w:rsidR="009165DE" w:rsidRPr="00FF027F">
            <w:rPr>
              <w:rFonts w:ascii="Arial" w:hAnsi="Arial" w:cs="Arial"/>
              <w:lang w:val="en-GB" w:eastAsia="en-GB"/>
            </w:rPr>
            <w:t>ing</w:t>
          </w:r>
          <w:r w:rsidR="008E6B62" w:rsidRPr="00FF027F">
            <w:rPr>
              <w:rFonts w:ascii="Arial" w:hAnsi="Arial" w:cs="Arial"/>
              <w:lang w:val="en-GB" w:eastAsia="en-GB"/>
            </w:rPr>
            <w:t xml:space="preserve"> instances of possible market abuse and notify</w:t>
          </w:r>
          <w:r w:rsidR="009165DE" w:rsidRPr="00FF027F">
            <w:rPr>
              <w:rFonts w:ascii="Arial" w:hAnsi="Arial" w:cs="Arial"/>
              <w:lang w:val="en-GB" w:eastAsia="en-GB"/>
            </w:rPr>
            <w:t>ing</w:t>
          </w:r>
          <w:r w:rsidR="008E6B62" w:rsidRPr="00FF027F">
            <w:rPr>
              <w:rFonts w:ascii="Arial" w:hAnsi="Arial" w:cs="Arial"/>
              <w:lang w:val="en-GB" w:eastAsia="en-GB"/>
            </w:rPr>
            <w:t xml:space="preserve"> them to competent national  authorities responsible for investigation and enforcement. The Agency will also be responsible for coordinating the investigations. Finally, the Agency will have to assess the operation and the transparency of different categories of market places and ways of trading and to</w:t>
          </w:r>
          <w:r w:rsidR="00151805" w:rsidRPr="00FF027F">
            <w:rPr>
              <w:rFonts w:ascii="Arial" w:hAnsi="Arial" w:cs="Arial"/>
              <w:lang w:val="en-GB" w:eastAsia="en-GB"/>
            </w:rPr>
            <w:t xml:space="preserve"> make recommendations </w:t>
          </w:r>
          <w:r w:rsidR="008E6B62" w:rsidRPr="00FF027F">
            <w:rPr>
              <w:rFonts w:ascii="Arial" w:hAnsi="Arial" w:cs="Arial"/>
              <w:lang w:val="en-GB" w:eastAsia="en-GB"/>
            </w:rPr>
            <w:t>regarding market rules, standards</w:t>
          </w:r>
          <w:r w:rsidR="009165DE" w:rsidRPr="00FF027F">
            <w:rPr>
              <w:rFonts w:ascii="Arial" w:hAnsi="Arial" w:cs="Arial"/>
              <w:lang w:val="en-GB" w:eastAsia="en-GB"/>
            </w:rPr>
            <w:t xml:space="preserve"> </w:t>
          </w:r>
          <w:r w:rsidR="008E6B62" w:rsidRPr="00FF027F">
            <w:rPr>
              <w:rFonts w:ascii="Arial" w:hAnsi="Arial" w:cs="Arial"/>
              <w:lang w:val="en-GB" w:eastAsia="en-GB"/>
            </w:rPr>
            <w:t>and procedures which could improve market integrity and the functioning of the internal market. It may also evaluate whether any minimum requirement for organised markets could contribute to enhanced market transparency. However, given that the prohibitions and obli</w:t>
          </w:r>
          <w:r w:rsidR="00151805" w:rsidRPr="00FF027F">
            <w:rPr>
              <w:rFonts w:ascii="Arial" w:hAnsi="Arial" w:cs="Arial"/>
              <w:lang w:val="en-GB" w:eastAsia="en-GB"/>
            </w:rPr>
            <w:t>gations of REMIT already appl</w:t>
          </w:r>
          <w:r w:rsidR="008E6B62" w:rsidRPr="00FF027F">
            <w:rPr>
              <w:rFonts w:ascii="Arial" w:hAnsi="Arial" w:cs="Arial"/>
              <w:lang w:val="en-GB" w:eastAsia="en-GB"/>
            </w:rPr>
            <w:t xml:space="preserve">y since 28 December 2011 to market participants and persons professionally arranging transactions, the Agency has </w:t>
          </w:r>
          <w:r w:rsidR="00AA27EA" w:rsidRPr="00FF027F">
            <w:rPr>
              <w:rFonts w:ascii="Arial" w:hAnsi="Arial" w:cs="Arial"/>
              <w:lang w:val="en-GB" w:eastAsia="en-GB"/>
            </w:rPr>
            <w:t xml:space="preserve">already </w:t>
          </w:r>
          <w:r w:rsidR="008E6B62" w:rsidRPr="00FF027F">
            <w:rPr>
              <w:rFonts w:ascii="Arial" w:hAnsi="Arial" w:cs="Arial"/>
              <w:lang w:val="en-GB" w:eastAsia="en-GB"/>
            </w:rPr>
            <w:t>been obliged to review and to coordinate suspecte</w:t>
          </w:r>
          <w:r w:rsidR="00151805" w:rsidRPr="00FF027F">
            <w:rPr>
              <w:rFonts w:ascii="Arial" w:hAnsi="Arial" w:cs="Arial"/>
              <w:lang w:val="en-GB" w:eastAsia="en-GB"/>
            </w:rPr>
            <w:t>d cases of breaches of REMIT si</w:t>
          </w:r>
          <w:r w:rsidR="008E6B62" w:rsidRPr="00FF027F">
            <w:rPr>
              <w:rFonts w:ascii="Arial" w:hAnsi="Arial" w:cs="Arial"/>
              <w:lang w:val="en-GB" w:eastAsia="en-GB"/>
            </w:rPr>
            <w:t>n</w:t>
          </w:r>
          <w:r w:rsidR="00151805" w:rsidRPr="00FF027F">
            <w:rPr>
              <w:rFonts w:ascii="Arial" w:hAnsi="Arial" w:cs="Arial"/>
              <w:lang w:val="en-GB" w:eastAsia="en-GB"/>
            </w:rPr>
            <w:t>c</w:t>
          </w:r>
          <w:r w:rsidR="008E6B62" w:rsidRPr="00FF027F">
            <w:rPr>
              <w:rFonts w:ascii="Arial" w:hAnsi="Arial" w:cs="Arial"/>
              <w:lang w:val="en-GB" w:eastAsia="en-GB"/>
            </w:rPr>
            <w:t>e then.</w:t>
          </w:r>
        </w:p>
        <w:p w14:paraId="73A01510" w14:textId="4A2EA623" w:rsidR="001964D8" w:rsidRPr="00FF027F" w:rsidRDefault="001964D8" w:rsidP="001964D8">
          <w:pPr>
            <w:pStyle w:val="Heading3"/>
            <w:jc w:val="both"/>
            <w:rPr>
              <w:color w:val="4F81BD" w:themeColor="accent1"/>
              <w:lang w:eastAsia="en-GB"/>
            </w:rPr>
          </w:pPr>
          <w:bookmarkStart w:id="41" w:name="_Toc396913753"/>
          <w:r w:rsidRPr="00FF027F">
            <w:rPr>
              <w:color w:val="4F81BD" w:themeColor="accent1"/>
              <w:lang w:eastAsia="en-GB"/>
            </w:rPr>
            <w:t xml:space="preserve">REMIT </w:t>
          </w:r>
          <w:r w:rsidR="00911EC3" w:rsidRPr="00FF027F">
            <w:rPr>
              <w:color w:val="4F81BD" w:themeColor="accent1"/>
              <w:lang w:eastAsia="en-GB"/>
            </w:rPr>
            <w:t xml:space="preserve">- </w:t>
          </w:r>
          <w:r w:rsidRPr="00FF027F">
            <w:rPr>
              <w:color w:val="4F81BD" w:themeColor="accent1"/>
              <w:lang w:eastAsia="en-GB"/>
            </w:rPr>
            <w:t>objectives and expected achievements</w:t>
          </w:r>
          <w:bookmarkEnd w:id="41"/>
        </w:p>
        <w:p w14:paraId="265E5830" w14:textId="10560546" w:rsidR="00A42265" w:rsidRPr="00FF027F" w:rsidRDefault="00151805" w:rsidP="009165DE">
          <w:pPr>
            <w:spacing w:before="240" w:after="360" w:line="360" w:lineRule="auto"/>
            <w:jc w:val="both"/>
            <w:rPr>
              <w:rFonts w:ascii="Arial" w:hAnsi="Arial" w:cs="Arial"/>
              <w:b/>
              <w:lang w:val="en-GB"/>
            </w:rPr>
          </w:pPr>
          <w:r w:rsidRPr="00FF027F">
            <w:rPr>
              <w:rFonts w:ascii="Arial" w:hAnsi="Arial" w:cs="Arial"/>
              <w:lang w:val="en-GB"/>
            </w:rPr>
            <w:t xml:space="preserve">The overall objective of the Agency’s work under REMIT is to detect and prevent trading based on inside information and market manipulation. It is important to ensure that consumers and other market participants have confidence in the integrity of electricity and gas markets, that prices set on wholesale energy markets reflect a fair and competitive interplay between supply and demand, and that no profits can be drawn from market abuse. The goal of increased integrity and transparency of wholesale energy markets should therefore be to foster open and fair competition in wholesale energy markets for the benefit of final consumers of energy. Efficient market monitoring by the Agency at Union level is vital for detecting and deterring market abuse </w:t>
          </w:r>
          <w:r w:rsidR="009165DE" w:rsidRPr="00FF027F">
            <w:rPr>
              <w:rFonts w:ascii="Arial" w:hAnsi="Arial" w:cs="Arial"/>
              <w:lang w:val="en-GB"/>
            </w:rPr>
            <w:t>i</w:t>
          </w:r>
          <w:r w:rsidRPr="00FF027F">
            <w:rPr>
              <w:rFonts w:ascii="Arial" w:hAnsi="Arial" w:cs="Arial"/>
              <w:lang w:val="en-GB"/>
            </w:rPr>
            <w:t>n wholesale energy markets.</w:t>
          </w:r>
        </w:p>
        <w:p w14:paraId="69C57FE4" w14:textId="58C82A97" w:rsidR="008D18D9" w:rsidRPr="00FF027F" w:rsidRDefault="008D18D9" w:rsidP="008D18D9">
          <w:pPr>
            <w:pStyle w:val="Heading3"/>
            <w:rPr>
              <w:color w:val="4F81BD" w:themeColor="accent1"/>
              <w:lang w:eastAsia="en-GB"/>
            </w:rPr>
          </w:pPr>
          <w:bookmarkStart w:id="42" w:name="_Toc396913754"/>
          <w:r w:rsidRPr="00FF027F">
            <w:rPr>
              <w:color w:val="4F81BD" w:themeColor="accent1"/>
              <w:lang w:eastAsia="en-GB"/>
            </w:rPr>
            <w:t>Risks</w:t>
          </w:r>
          <w:bookmarkEnd w:id="42"/>
        </w:p>
        <w:p w14:paraId="3F8F5407" w14:textId="4BB0FC96" w:rsidR="00A42265" w:rsidRPr="00FF027F" w:rsidRDefault="00151805" w:rsidP="007B17BD">
          <w:pPr>
            <w:spacing w:before="240" w:after="360" w:line="360" w:lineRule="auto"/>
            <w:jc w:val="both"/>
            <w:rPr>
              <w:rFonts w:ascii="Arial" w:hAnsi="Arial" w:cs="Arial"/>
              <w:lang w:val="en-GB"/>
            </w:rPr>
          </w:pPr>
          <w:r w:rsidRPr="00FF027F">
            <w:rPr>
              <w:rFonts w:ascii="Arial" w:hAnsi="Arial" w:cs="Arial"/>
              <w:lang w:val="en-GB"/>
            </w:rPr>
            <w:t xml:space="preserve">The Agency’s monitoring and data collection tasks require appropriate financial and human resources in order to adequately fulfil these additional tasks assigned to it under REMIT. Without additional human resources the market monitoring of trading activity in wholesale energy markets by the Agency will be endangered, without </w:t>
          </w:r>
          <w:r w:rsidR="007B17BD" w:rsidRPr="00FF027F">
            <w:rPr>
              <w:rFonts w:ascii="Arial" w:hAnsi="Arial" w:cs="Arial"/>
              <w:lang w:val="en-GB"/>
            </w:rPr>
            <w:t xml:space="preserve">the </w:t>
          </w:r>
          <w:r w:rsidRPr="00FF027F">
            <w:rPr>
              <w:rFonts w:ascii="Arial" w:hAnsi="Arial" w:cs="Arial"/>
              <w:lang w:val="en-GB"/>
            </w:rPr>
            <w:t>possibility of replacing the Agency</w:t>
          </w:r>
          <w:r w:rsidR="00AA27EA" w:rsidRPr="00FF027F">
            <w:rPr>
              <w:rFonts w:ascii="Arial" w:hAnsi="Arial" w:cs="Arial"/>
              <w:lang w:val="en-GB"/>
            </w:rPr>
            <w:t>, in its</w:t>
          </w:r>
          <w:r w:rsidRPr="00FF027F">
            <w:rPr>
              <w:rFonts w:ascii="Arial" w:hAnsi="Arial" w:cs="Arial"/>
              <w:lang w:val="en-GB"/>
            </w:rPr>
            <w:t xml:space="preserve"> monitoring role at European level</w:t>
          </w:r>
          <w:r w:rsidR="00AA27EA" w:rsidRPr="00FF027F">
            <w:rPr>
              <w:rFonts w:ascii="Arial" w:hAnsi="Arial" w:cs="Arial"/>
              <w:lang w:val="en-GB"/>
            </w:rPr>
            <w:t>,</w:t>
          </w:r>
          <w:r w:rsidRPr="00FF027F">
            <w:rPr>
              <w:rFonts w:ascii="Arial" w:hAnsi="Arial" w:cs="Arial"/>
              <w:lang w:val="en-GB"/>
            </w:rPr>
            <w:t xml:space="preserve"> by other competent authorities. This would put the achievement of REMIT’s aims</w:t>
          </w:r>
          <w:r w:rsidR="00AA27EA" w:rsidRPr="00FF027F">
            <w:rPr>
              <w:rFonts w:ascii="Arial" w:hAnsi="Arial" w:cs="Arial"/>
              <w:lang w:val="en-GB"/>
            </w:rPr>
            <w:t xml:space="preserve"> -</w:t>
          </w:r>
          <w:r w:rsidRPr="00FF027F">
            <w:rPr>
              <w:rFonts w:ascii="Arial" w:hAnsi="Arial" w:cs="Arial"/>
              <w:lang w:val="en-GB"/>
            </w:rPr>
            <w:t xml:space="preserve"> transparency and integrity of wholesale energy markets</w:t>
          </w:r>
          <w:r w:rsidR="00AA27EA" w:rsidRPr="00FF027F">
            <w:rPr>
              <w:rFonts w:ascii="Arial" w:hAnsi="Arial" w:cs="Arial"/>
              <w:lang w:val="en-GB"/>
            </w:rPr>
            <w:t xml:space="preserve"> -</w:t>
          </w:r>
          <w:r w:rsidRPr="00FF027F">
            <w:rPr>
              <w:rFonts w:ascii="Arial" w:hAnsi="Arial" w:cs="Arial"/>
              <w:lang w:val="en-GB"/>
            </w:rPr>
            <w:t xml:space="preserve"> at risk. In addition, the Agency’s market monitoring</w:t>
          </w:r>
          <w:r w:rsidR="009236FB" w:rsidRPr="00FF027F">
            <w:rPr>
              <w:rFonts w:ascii="Arial" w:hAnsi="Arial" w:cs="Arial"/>
              <w:lang w:val="en-GB"/>
            </w:rPr>
            <w:t>, coordination</w:t>
          </w:r>
          <w:r w:rsidRPr="00FF027F">
            <w:rPr>
              <w:rFonts w:ascii="Arial" w:hAnsi="Arial" w:cs="Arial"/>
              <w:lang w:val="en-GB"/>
            </w:rPr>
            <w:t xml:space="preserve"> and data collection tasks will require a close </w:t>
          </w:r>
          <w:r w:rsidR="009236FB" w:rsidRPr="00FF027F">
            <w:rPr>
              <w:rFonts w:ascii="Arial" w:hAnsi="Arial" w:cs="Arial"/>
              <w:lang w:val="en-GB"/>
            </w:rPr>
            <w:t>interaction</w:t>
          </w:r>
          <w:r w:rsidRPr="00FF027F">
            <w:rPr>
              <w:rFonts w:ascii="Arial" w:hAnsi="Arial" w:cs="Arial"/>
              <w:lang w:val="en-GB"/>
            </w:rPr>
            <w:t xml:space="preserve"> with NRAs and therefore create </w:t>
          </w:r>
          <w:r w:rsidR="00AA27EA" w:rsidRPr="00FF027F">
            <w:rPr>
              <w:rFonts w:ascii="Arial" w:hAnsi="Arial" w:cs="Arial"/>
              <w:lang w:val="en-GB"/>
            </w:rPr>
            <w:t>inter</w:t>
          </w:r>
          <w:r w:rsidRPr="00FF027F">
            <w:rPr>
              <w:rFonts w:ascii="Arial" w:hAnsi="Arial" w:cs="Arial"/>
              <w:lang w:val="en-GB"/>
            </w:rPr>
            <w:t>dependencies with NRAs.</w:t>
          </w:r>
        </w:p>
        <w:p w14:paraId="3642A6CB" w14:textId="79B15E29" w:rsidR="00362EA6" w:rsidRPr="00FF027F" w:rsidRDefault="004A208C" w:rsidP="003F349F">
          <w:pPr>
            <w:pStyle w:val="Heading2"/>
            <w:rPr>
              <w:lang w:eastAsia="en-GB"/>
            </w:rPr>
          </w:pPr>
          <w:bookmarkStart w:id="43" w:name="_Toc396913755"/>
          <w:r w:rsidRPr="00FF027F">
            <w:rPr>
              <w:lang w:eastAsia="en-GB"/>
            </w:rPr>
            <w:t xml:space="preserve">The </w:t>
          </w:r>
          <w:r w:rsidR="00BF0A4F" w:rsidRPr="00FF027F">
            <w:rPr>
              <w:lang w:eastAsia="en-GB"/>
            </w:rPr>
            <w:t xml:space="preserve">European </w:t>
          </w:r>
          <w:r w:rsidR="00362EA6" w:rsidRPr="00FF027F">
            <w:rPr>
              <w:lang w:eastAsia="en-GB"/>
            </w:rPr>
            <w:t xml:space="preserve">Infrastructure </w:t>
          </w:r>
          <w:r w:rsidRPr="00FF027F">
            <w:rPr>
              <w:lang w:eastAsia="en-GB"/>
            </w:rPr>
            <w:t>Challenge</w:t>
          </w:r>
          <w:bookmarkEnd w:id="43"/>
        </w:p>
        <w:p w14:paraId="08591F97" w14:textId="4DFAFA8F" w:rsidR="00E77F0C" w:rsidRPr="00FF027F" w:rsidRDefault="00E77F0C" w:rsidP="006D214F">
          <w:pPr>
            <w:pStyle w:val="Heading3"/>
            <w:numPr>
              <w:ilvl w:val="2"/>
              <w:numId w:val="48"/>
            </w:numPr>
            <w:rPr>
              <w:color w:val="4F81BD" w:themeColor="accent1"/>
              <w:lang w:eastAsia="en-GB"/>
            </w:rPr>
          </w:pPr>
          <w:bookmarkStart w:id="44" w:name="_Toc396913756"/>
          <w:r w:rsidRPr="00FF027F">
            <w:rPr>
              <w:color w:val="4F81BD" w:themeColor="accent1"/>
              <w:lang w:eastAsia="en-GB"/>
            </w:rPr>
            <w:t xml:space="preserve">Institutional </w:t>
          </w:r>
          <w:r w:rsidR="001964D8" w:rsidRPr="00FF027F">
            <w:rPr>
              <w:color w:val="4F81BD" w:themeColor="accent1"/>
              <w:lang w:eastAsia="en-GB"/>
            </w:rPr>
            <w:t>Framework</w:t>
          </w:r>
          <w:bookmarkEnd w:id="44"/>
        </w:p>
        <w:p w14:paraId="03462F21" w14:textId="5AF758E9" w:rsidR="004A208C" w:rsidRPr="00FF027F" w:rsidRDefault="004A208C" w:rsidP="001C0255">
          <w:pPr>
            <w:spacing w:before="360" w:after="240" w:line="360" w:lineRule="auto"/>
            <w:jc w:val="both"/>
            <w:rPr>
              <w:rFonts w:ascii="Arial" w:hAnsi="Arial" w:cs="Arial"/>
              <w:lang w:val="en-GB"/>
            </w:rPr>
          </w:pPr>
          <w:r w:rsidRPr="00FF027F">
            <w:rPr>
              <w:rFonts w:ascii="Arial" w:hAnsi="Arial" w:cs="Arial"/>
              <w:lang w:val="en-GB"/>
            </w:rPr>
            <w:t>Cooperation b</w:t>
          </w:r>
          <w:r w:rsidRPr="00FF027F">
            <w:rPr>
              <w:rFonts w:ascii="Arial" w:hAnsi="Arial" w:cs="Arial"/>
              <w:b/>
              <w:lang w:val="en-GB"/>
            </w:rPr>
            <w:t>e</w:t>
          </w:r>
          <w:r w:rsidRPr="00FF027F">
            <w:rPr>
              <w:rFonts w:ascii="Arial" w:hAnsi="Arial" w:cs="Arial"/>
              <w:lang w:val="en-GB"/>
            </w:rPr>
            <w:t xml:space="preserve">tween the Agency and NRAs is foreseen in implementing </w:t>
          </w:r>
          <w:r w:rsidR="00A0070D" w:rsidRPr="00FF027F">
            <w:rPr>
              <w:rFonts w:ascii="Arial" w:hAnsi="Arial" w:cs="Arial"/>
              <w:lang w:val="en-GB"/>
            </w:rPr>
            <w:t xml:space="preserve">the </w:t>
          </w:r>
          <w:r w:rsidRPr="00FF027F">
            <w:rPr>
              <w:rFonts w:ascii="Arial" w:hAnsi="Arial" w:cs="Arial"/>
              <w:lang w:val="en-GB"/>
            </w:rPr>
            <w:t xml:space="preserve">TEN-E Regulation, which entered into force on 15 May 2013. </w:t>
          </w:r>
          <w:r w:rsidR="00842B8F" w:rsidRPr="00FF027F">
            <w:rPr>
              <w:rFonts w:ascii="Arial" w:hAnsi="Arial" w:cs="Arial"/>
              <w:lang w:val="en-GB"/>
            </w:rPr>
            <w:t xml:space="preserve">The Regulation aims at </w:t>
          </w:r>
          <w:r w:rsidR="009A186A" w:rsidRPr="00FF027F">
            <w:rPr>
              <w:rFonts w:ascii="Arial" w:hAnsi="Arial" w:cs="Arial"/>
              <w:lang w:val="en-GB"/>
            </w:rPr>
            <w:t xml:space="preserve">enhancing </w:t>
          </w:r>
          <w:r w:rsidR="00842B8F" w:rsidRPr="00FF027F">
            <w:rPr>
              <w:rFonts w:ascii="Arial" w:hAnsi="Arial" w:cs="Arial"/>
              <w:lang w:val="en-GB"/>
            </w:rPr>
            <w:t xml:space="preserve">the </w:t>
          </w:r>
          <w:r w:rsidR="00A0070D" w:rsidRPr="00FF027F">
            <w:rPr>
              <w:rFonts w:ascii="Arial" w:hAnsi="Arial" w:cs="Arial"/>
              <w:lang w:val="en-GB"/>
            </w:rPr>
            <w:t xml:space="preserve">physical </w:t>
          </w:r>
          <w:r w:rsidR="00842B8F" w:rsidRPr="00FF027F">
            <w:rPr>
              <w:rFonts w:ascii="Arial" w:hAnsi="Arial" w:cs="Arial"/>
              <w:lang w:val="en-GB"/>
            </w:rPr>
            <w:t>integration of the internal energy market, including by ensuring that no Member State is isolated from the European network.</w:t>
          </w:r>
        </w:p>
        <w:p w14:paraId="2A085231" w14:textId="5A8F5BA5" w:rsidR="00314BBE" w:rsidRPr="00FF027F" w:rsidRDefault="00A0070D" w:rsidP="00314BBE">
          <w:pPr>
            <w:spacing w:before="360" w:after="240" w:line="360" w:lineRule="auto"/>
            <w:jc w:val="both"/>
            <w:rPr>
              <w:rFonts w:ascii="Arial" w:hAnsi="Arial" w:cs="Arial"/>
              <w:lang w:val="en-GB"/>
            </w:rPr>
          </w:pPr>
          <w:r w:rsidRPr="00FF027F">
            <w:rPr>
              <w:rFonts w:ascii="Arial" w:hAnsi="Arial" w:cs="Arial"/>
              <w:lang w:val="en-GB"/>
            </w:rPr>
            <w:t>The Agency</w:t>
          </w:r>
          <w:r w:rsidR="00314BBE" w:rsidRPr="00FF027F">
            <w:rPr>
              <w:rFonts w:ascii="Arial" w:hAnsi="Arial" w:cs="Arial"/>
              <w:lang w:val="en-GB"/>
            </w:rPr>
            <w:t xml:space="preserve"> has various functions and roles regarding the development of the </w:t>
          </w:r>
          <w:r w:rsidR="002A4CA8" w:rsidRPr="00FF027F">
            <w:rPr>
              <w:rFonts w:ascii="Arial" w:hAnsi="Arial" w:cs="Arial"/>
              <w:lang w:val="en-GB"/>
            </w:rPr>
            <w:t xml:space="preserve">electricity and </w:t>
          </w:r>
          <w:r w:rsidR="00314BBE" w:rsidRPr="00FF027F">
            <w:rPr>
              <w:rFonts w:ascii="Arial" w:hAnsi="Arial" w:cs="Arial"/>
              <w:lang w:val="en-GB"/>
            </w:rPr>
            <w:t>gas infrastructure. Cost-efficient network development is essential for overcoming physical congestion, improving energy securit</w:t>
          </w:r>
          <w:r w:rsidR="00F01165" w:rsidRPr="00FF027F">
            <w:rPr>
              <w:rFonts w:ascii="Arial" w:hAnsi="Arial" w:cs="Arial"/>
              <w:lang w:val="en-GB"/>
            </w:rPr>
            <w:t xml:space="preserve">y and ensuring sustainability. </w:t>
          </w:r>
          <w:r w:rsidR="00314BBE" w:rsidRPr="00FF027F">
            <w:rPr>
              <w:rFonts w:ascii="Arial" w:hAnsi="Arial" w:cs="Arial"/>
              <w:lang w:val="en-GB"/>
            </w:rPr>
            <w:t xml:space="preserve">Capacity allocation methods and/or congestion management procedures alone cannot resolve physical congestion </w:t>
          </w:r>
          <w:r w:rsidRPr="00FF027F">
            <w:rPr>
              <w:rFonts w:ascii="Arial" w:hAnsi="Arial" w:cs="Arial"/>
              <w:lang w:val="en-GB"/>
            </w:rPr>
            <w:t>in</w:t>
          </w:r>
          <w:r w:rsidR="00314BBE" w:rsidRPr="00FF027F">
            <w:rPr>
              <w:rFonts w:ascii="Arial" w:hAnsi="Arial" w:cs="Arial"/>
              <w:lang w:val="en-GB"/>
            </w:rPr>
            <w:t xml:space="preserve"> </w:t>
          </w:r>
          <w:r w:rsidR="0005613F" w:rsidRPr="00FF027F">
            <w:rPr>
              <w:rFonts w:ascii="Arial" w:hAnsi="Arial" w:cs="Arial"/>
              <w:lang w:val="en-GB"/>
            </w:rPr>
            <w:t xml:space="preserve">electricity and </w:t>
          </w:r>
          <w:r w:rsidR="00314BBE" w:rsidRPr="00FF027F">
            <w:rPr>
              <w:rFonts w:ascii="Arial" w:hAnsi="Arial" w:cs="Arial"/>
              <w:lang w:val="en-GB"/>
            </w:rPr>
            <w:t>gas transmission system</w:t>
          </w:r>
          <w:r w:rsidR="009A186A" w:rsidRPr="00FF027F">
            <w:rPr>
              <w:rFonts w:ascii="Arial" w:hAnsi="Arial" w:cs="Arial"/>
              <w:lang w:val="en-GB"/>
            </w:rPr>
            <w:t>s</w:t>
          </w:r>
          <w:r w:rsidRPr="00FF027F">
            <w:rPr>
              <w:rFonts w:ascii="Arial" w:hAnsi="Arial" w:cs="Arial"/>
              <w:lang w:val="en-GB"/>
            </w:rPr>
            <w:t>, especially at</w:t>
          </w:r>
          <w:r w:rsidR="00314BBE" w:rsidRPr="00FF027F">
            <w:rPr>
              <w:rFonts w:ascii="Arial" w:hAnsi="Arial" w:cs="Arial"/>
              <w:lang w:val="en-GB"/>
            </w:rPr>
            <w:t xml:space="preserve"> interconnection points and other system bottlenecks. Adequate physical transmission capacity is thus a necessary prerequisite for achieving the </w:t>
          </w:r>
          <w:r w:rsidR="0005613F" w:rsidRPr="00FF027F">
            <w:rPr>
              <w:rFonts w:ascii="Arial" w:hAnsi="Arial" w:cs="Arial"/>
              <w:lang w:val="en-GB"/>
            </w:rPr>
            <w:t>I</w:t>
          </w:r>
          <w:r w:rsidRPr="00FF027F">
            <w:rPr>
              <w:rFonts w:ascii="Arial" w:hAnsi="Arial" w:cs="Arial"/>
              <w:lang w:val="en-GB"/>
            </w:rPr>
            <w:t>nternal Energy Markets</w:t>
          </w:r>
          <w:r w:rsidR="00314BBE" w:rsidRPr="00FF027F">
            <w:rPr>
              <w:rFonts w:ascii="Arial" w:hAnsi="Arial" w:cs="Arial"/>
              <w:lang w:val="en-GB"/>
            </w:rPr>
            <w:t xml:space="preserve">. </w:t>
          </w:r>
        </w:p>
        <w:p w14:paraId="55389563" w14:textId="3A2C9965" w:rsidR="008D18D9" w:rsidRPr="00FF027F" w:rsidRDefault="008D18D9" w:rsidP="008D18D9">
          <w:pPr>
            <w:pStyle w:val="Heading3"/>
            <w:rPr>
              <w:rFonts w:eastAsia="MS PGothic"/>
              <w:color w:val="4F81BD" w:themeColor="accent1"/>
            </w:rPr>
          </w:pPr>
          <w:bookmarkStart w:id="45" w:name="_Toc396913757"/>
          <w:r w:rsidRPr="00FF027F">
            <w:rPr>
              <w:rFonts w:eastAsia="MS PGothic"/>
              <w:color w:val="4F81BD" w:themeColor="accent1"/>
            </w:rPr>
            <w:t>TYNDP</w:t>
          </w:r>
          <w:bookmarkEnd w:id="45"/>
        </w:p>
        <w:p w14:paraId="7DE8FABF" w14:textId="1268CEEE" w:rsidR="00A22CD4" w:rsidRPr="00FF027F" w:rsidRDefault="00A22CD4" w:rsidP="00A22CD4">
          <w:pPr>
            <w:spacing w:before="360" w:after="240" w:line="360" w:lineRule="auto"/>
            <w:jc w:val="both"/>
            <w:rPr>
              <w:rFonts w:ascii="Arial" w:hAnsi="Arial" w:cs="Arial"/>
              <w:lang w:val="en-GB"/>
            </w:rPr>
          </w:pPr>
          <w:r w:rsidRPr="00FF027F">
            <w:rPr>
              <w:rFonts w:ascii="Arial" w:hAnsi="Arial" w:cs="Arial"/>
              <w:lang w:val="en-GB"/>
            </w:rPr>
            <w:t xml:space="preserve">Article 6(2) of </w:t>
          </w:r>
          <w:r w:rsidR="009A186A" w:rsidRPr="00FF027F">
            <w:rPr>
              <w:rFonts w:ascii="Arial" w:hAnsi="Arial" w:cs="Arial"/>
              <w:lang w:val="en-GB"/>
            </w:rPr>
            <w:t xml:space="preserve">the Agency </w:t>
          </w:r>
          <w:r w:rsidRPr="00FF027F">
            <w:rPr>
              <w:rFonts w:ascii="Arial" w:hAnsi="Arial" w:cs="Arial"/>
              <w:lang w:val="en-GB"/>
            </w:rPr>
            <w:t xml:space="preserve">Regulation requires the Agency to monitor the execution of the tasks of </w:t>
          </w:r>
          <w:r w:rsidR="002A4CA8" w:rsidRPr="00FF027F">
            <w:rPr>
              <w:rFonts w:ascii="Arial" w:hAnsi="Arial" w:cs="Arial"/>
              <w:lang w:val="en-GB"/>
            </w:rPr>
            <w:t xml:space="preserve">ENTSO-E and </w:t>
          </w:r>
          <w:r w:rsidRPr="00FF027F">
            <w:rPr>
              <w:rFonts w:ascii="Arial" w:hAnsi="Arial" w:cs="Arial"/>
              <w:lang w:val="en-GB"/>
            </w:rPr>
            <w:t xml:space="preserve">ENTSOG in accordance with </w:t>
          </w:r>
          <w:r w:rsidR="002A4CA8" w:rsidRPr="00FF027F">
            <w:rPr>
              <w:rFonts w:ascii="Arial" w:hAnsi="Arial" w:cs="Arial"/>
              <w:lang w:val="en-GB"/>
            </w:rPr>
            <w:t>Article</w:t>
          </w:r>
          <w:r w:rsidR="009A186A" w:rsidRPr="00FF027F">
            <w:rPr>
              <w:rFonts w:ascii="Arial" w:hAnsi="Arial" w:cs="Arial"/>
              <w:lang w:val="en-GB"/>
            </w:rPr>
            <w:t>s</w:t>
          </w:r>
          <w:r w:rsidR="002A4CA8" w:rsidRPr="00FF027F">
            <w:rPr>
              <w:rFonts w:ascii="Arial" w:hAnsi="Arial" w:cs="Arial"/>
              <w:lang w:val="en-GB"/>
            </w:rPr>
            <w:t xml:space="preserve"> </w:t>
          </w:r>
          <w:r w:rsidR="00EC1A2B" w:rsidRPr="00FF027F">
            <w:rPr>
              <w:rFonts w:ascii="Arial" w:hAnsi="Arial" w:cs="Arial"/>
              <w:lang w:val="en-GB"/>
            </w:rPr>
            <w:t xml:space="preserve">9 </w:t>
          </w:r>
          <w:r w:rsidR="002A4CA8" w:rsidRPr="00FF027F">
            <w:rPr>
              <w:rFonts w:ascii="Arial" w:hAnsi="Arial" w:cs="Arial"/>
              <w:lang w:val="en-GB"/>
            </w:rPr>
            <w:t xml:space="preserve">of </w:t>
          </w:r>
          <w:r w:rsidR="009A186A" w:rsidRPr="00FF027F">
            <w:rPr>
              <w:rFonts w:ascii="Arial" w:hAnsi="Arial" w:cs="Arial"/>
              <w:lang w:val="en-GB"/>
            </w:rPr>
            <w:t xml:space="preserve">the Gas and Electricity </w:t>
          </w:r>
          <w:r w:rsidR="002A4CA8" w:rsidRPr="00FF027F">
            <w:rPr>
              <w:rFonts w:ascii="Arial" w:hAnsi="Arial" w:cs="Arial"/>
              <w:lang w:val="en-GB"/>
            </w:rPr>
            <w:t>Regulation</w:t>
          </w:r>
          <w:r w:rsidR="009A186A" w:rsidRPr="00FF027F">
            <w:rPr>
              <w:rFonts w:ascii="Arial" w:hAnsi="Arial" w:cs="Arial"/>
              <w:lang w:val="en-GB"/>
            </w:rPr>
            <w:t>s</w:t>
          </w:r>
          <w:r w:rsidRPr="00FF027F">
            <w:rPr>
              <w:rFonts w:ascii="Arial" w:hAnsi="Arial" w:cs="Arial"/>
              <w:lang w:val="en-GB"/>
            </w:rPr>
            <w:t xml:space="preserve">, and in particular those related to the preparation of a Ten Year Network Development Plan (TYNDP), a task performed by </w:t>
          </w:r>
          <w:r w:rsidR="002A4CA8" w:rsidRPr="00FF027F">
            <w:rPr>
              <w:rFonts w:ascii="Arial" w:hAnsi="Arial" w:cs="Arial"/>
              <w:lang w:val="en-GB"/>
            </w:rPr>
            <w:t xml:space="preserve">ENTSO-E and </w:t>
          </w:r>
          <w:r w:rsidRPr="00FF027F">
            <w:rPr>
              <w:rFonts w:ascii="Arial" w:hAnsi="Arial" w:cs="Arial"/>
              <w:lang w:val="en-GB"/>
            </w:rPr>
            <w:t xml:space="preserve">ENTSOG on a bi-annual schedule. The Agency also monitors the preparation and the execution of the </w:t>
          </w:r>
          <w:r w:rsidR="002A4CA8" w:rsidRPr="00FF027F">
            <w:rPr>
              <w:rFonts w:ascii="Arial" w:hAnsi="Arial" w:cs="Arial"/>
              <w:lang w:val="en-GB"/>
            </w:rPr>
            <w:t xml:space="preserve">electricity and </w:t>
          </w:r>
          <w:r w:rsidRPr="00FF027F">
            <w:rPr>
              <w:rFonts w:ascii="Arial" w:hAnsi="Arial" w:cs="Arial"/>
              <w:lang w:val="en-GB"/>
            </w:rPr>
            <w:t xml:space="preserve">gas regional investment plans (RIPs) and </w:t>
          </w:r>
          <w:r w:rsidR="009A186A" w:rsidRPr="00FF027F">
            <w:rPr>
              <w:rFonts w:ascii="Arial" w:hAnsi="Arial" w:cs="Arial"/>
              <w:lang w:val="en-GB"/>
            </w:rPr>
            <w:t xml:space="preserve">of the </w:t>
          </w:r>
          <w:r w:rsidRPr="00FF027F">
            <w:rPr>
              <w:rFonts w:ascii="Arial" w:hAnsi="Arial" w:cs="Arial"/>
              <w:lang w:val="en-GB"/>
            </w:rPr>
            <w:t xml:space="preserve">national infrastructure development plans, and assesses their consistency with </w:t>
          </w:r>
          <w:r w:rsidR="009A186A" w:rsidRPr="00FF027F">
            <w:rPr>
              <w:rFonts w:ascii="Arial" w:hAnsi="Arial" w:cs="Arial"/>
              <w:lang w:val="en-GB"/>
            </w:rPr>
            <w:t>respect</w:t>
          </w:r>
          <w:r w:rsidRPr="00FF027F">
            <w:rPr>
              <w:rFonts w:ascii="Arial" w:hAnsi="Arial" w:cs="Arial"/>
              <w:lang w:val="en-GB"/>
            </w:rPr>
            <w:t xml:space="preserve"> to the Europe-wide TYNDP.</w:t>
          </w:r>
        </w:p>
        <w:p w14:paraId="4505860B" w14:textId="77777777" w:rsidR="002D5E58" w:rsidRPr="00FF027F" w:rsidRDefault="002D5E58" w:rsidP="00717924">
          <w:pPr>
            <w:pStyle w:val="Heading3"/>
            <w:numPr>
              <w:ilvl w:val="2"/>
              <w:numId w:val="48"/>
            </w:numPr>
            <w:rPr>
              <w:color w:val="4F81BD" w:themeColor="accent1"/>
              <w:lang w:eastAsia="en-GB"/>
            </w:rPr>
          </w:pPr>
          <w:bookmarkStart w:id="46" w:name="_Toc396913758"/>
          <w:r w:rsidRPr="00FF027F">
            <w:rPr>
              <w:color w:val="4F81BD" w:themeColor="accent1"/>
              <w:lang w:eastAsia="en-GB"/>
            </w:rPr>
            <w:t>Identification of PCIs</w:t>
          </w:r>
          <w:bookmarkEnd w:id="46"/>
          <w:r w:rsidRPr="00FF027F">
            <w:rPr>
              <w:color w:val="4F81BD" w:themeColor="accent1"/>
              <w:lang w:eastAsia="en-GB"/>
            </w:rPr>
            <w:t xml:space="preserve"> </w:t>
          </w:r>
        </w:p>
        <w:p w14:paraId="2930825A" w14:textId="59D73117" w:rsidR="002D5E58" w:rsidRPr="00FF027F" w:rsidRDefault="002D5E58" w:rsidP="00A22CD4">
          <w:pPr>
            <w:spacing w:before="360" w:after="240" w:line="360" w:lineRule="auto"/>
            <w:jc w:val="both"/>
            <w:rPr>
              <w:rFonts w:ascii="Arial" w:hAnsi="Arial" w:cs="Arial"/>
              <w:lang w:val="en-GB"/>
            </w:rPr>
          </w:pPr>
          <w:r w:rsidRPr="00FF027F">
            <w:rPr>
              <w:rFonts w:ascii="Arial" w:hAnsi="Arial" w:cs="Arial"/>
              <w:lang w:val="en-GB"/>
            </w:rPr>
            <w:t xml:space="preserve">According to the TEN-E Regulation, the Agency gives an Opinion on the cross-regional consistency of the regional </w:t>
          </w:r>
          <w:r w:rsidR="009A186A" w:rsidRPr="00FF027F">
            <w:rPr>
              <w:rFonts w:ascii="Arial" w:hAnsi="Arial" w:cs="Arial"/>
              <w:lang w:val="en-GB"/>
            </w:rPr>
            <w:t xml:space="preserve">PCI </w:t>
          </w:r>
          <w:r w:rsidRPr="00FF027F">
            <w:rPr>
              <w:rFonts w:ascii="Arial" w:hAnsi="Arial" w:cs="Arial"/>
              <w:lang w:val="en-GB"/>
            </w:rPr>
            <w:t>lists. In this way, the Agency contributes to the overall quality of the PCI identification process.</w:t>
          </w:r>
        </w:p>
        <w:p w14:paraId="76C7D898" w14:textId="77777777" w:rsidR="008D18D9" w:rsidRPr="00FF027F" w:rsidRDefault="008D18D9" w:rsidP="00717924">
          <w:pPr>
            <w:pStyle w:val="Heading3"/>
            <w:numPr>
              <w:ilvl w:val="2"/>
              <w:numId w:val="48"/>
            </w:numPr>
            <w:rPr>
              <w:color w:val="4F81BD" w:themeColor="accent1"/>
              <w:lang w:eastAsia="en-GB"/>
            </w:rPr>
          </w:pPr>
          <w:bookmarkStart w:id="47" w:name="_Toc396913759"/>
          <w:r w:rsidRPr="00FF027F">
            <w:rPr>
              <w:color w:val="4F81BD" w:themeColor="accent1"/>
              <w:lang w:eastAsia="en-GB"/>
            </w:rPr>
            <w:t>Cross-Border Cost Allocation</w:t>
          </w:r>
          <w:bookmarkEnd w:id="47"/>
        </w:p>
        <w:p w14:paraId="6431EAC7" w14:textId="2F8314C6" w:rsidR="00E976E8" w:rsidRPr="00FF027F" w:rsidRDefault="00E976E8" w:rsidP="00C55526">
          <w:pPr>
            <w:spacing w:before="360" w:after="240" w:line="360" w:lineRule="auto"/>
            <w:jc w:val="both"/>
            <w:rPr>
              <w:rFonts w:ascii="Arial" w:hAnsi="Arial" w:cs="Arial"/>
              <w:lang w:val="en-GB"/>
            </w:rPr>
          </w:pPr>
          <w:r w:rsidRPr="00FF027F">
            <w:rPr>
              <w:rFonts w:ascii="Arial" w:hAnsi="Arial" w:cs="Arial"/>
              <w:lang w:val="en-GB"/>
            </w:rPr>
            <w:t>If within 6 months of receiving a</w:t>
          </w:r>
          <w:r w:rsidR="002D5E58" w:rsidRPr="00FF027F">
            <w:rPr>
              <w:rFonts w:ascii="Arial" w:hAnsi="Arial" w:cs="Arial"/>
              <w:lang w:val="en-GB"/>
            </w:rPr>
            <w:t>n investment request</w:t>
          </w:r>
          <w:r w:rsidRPr="00FF027F">
            <w:rPr>
              <w:rFonts w:ascii="Arial" w:hAnsi="Arial" w:cs="Arial"/>
              <w:lang w:val="en-GB"/>
            </w:rPr>
            <w:t>, the concerned NRAs cannot agree on the cross</w:t>
          </w:r>
          <w:r w:rsidR="009A186A" w:rsidRPr="00FF027F">
            <w:rPr>
              <w:rFonts w:ascii="Arial" w:hAnsi="Arial" w:cs="Arial"/>
              <w:lang w:val="en-GB"/>
            </w:rPr>
            <w:t>-</w:t>
          </w:r>
          <w:r w:rsidRPr="00FF027F">
            <w:rPr>
              <w:rFonts w:ascii="Arial" w:hAnsi="Arial" w:cs="Arial"/>
              <w:lang w:val="en-GB"/>
            </w:rPr>
            <w:t xml:space="preserve">border cost allocation decision, they hand over the case to </w:t>
          </w:r>
          <w:r w:rsidR="002D5E58" w:rsidRPr="00FF027F">
            <w:rPr>
              <w:rFonts w:ascii="Arial" w:hAnsi="Arial" w:cs="Arial"/>
              <w:lang w:val="en-GB"/>
            </w:rPr>
            <w:t>the Agency</w:t>
          </w:r>
          <w:r w:rsidRPr="00FF027F">
            <w:rPr>
              <w:rFonts w:ascii="Arial" w:hAnsi="Arial" w:cs="Arial"/>
              <w:lang w:val="en-GB"/>
            </w:rPr>
            <w:t xml:space="preserve">. </w:t>
          </w:r>
          <w:r w:rsidR="002D5E58" w:rsidRPr="00FF027F">
            <w:rPr>
              <w:rFonts w:ascii="Arial" w:hAnsi="Arial" w:cs="Arial"/>
              <w:lang w:val="en-GB"/>
            </w:rPr>
            <w:t xml:space="preserve">The Agency may also be called to take such a decision upon the joint request of all concerned NRAs. </w:t>
          </w:r>
          <w:r w:rsidRPr="00FF027F">
            <w:rPr>
              <w:rFonts w:ascii="Arial" w:hAnsi="Arial" w:cs="Arial"/>
              <w:lang w:val="en-GB"/>
            </w:rPr>
            <w:t>In such cases,</w:t>
          </w:r>
          <w:r w:rsidR="002D5E58" w:rsidRPr="00FF027F">
            <w:rPr>
              <w:rFonts w:ascii="Arial" w:hAnsi="Arial" w:cs="Arial"/>
              <w:lang w:val="en-GB"/>
            </w:rPr>
            <w:t xml:space="preserve"> the Agency </w:t>
          </w:r>
          <w:r w:rsidRPr="00FF027F">
            <w:rPr>
              <w:rFonts w:ascii="Arial" w:hAnsi="Arial" w:cs="Arial"/>
              <w:lang w:val="en-GB"/>
            </w:rPr>
            <w:t>should take</w:t>
          </w:r>
          <w:r w:rsidR="002D5E58" w:rsidRPr="00FF027F">
            <w:rPr>
              <w:rFonts w:ascii="Arial" w:hAnsi="Arial" w:cs="Arial"/>
              <w:lang w:val="en-GB"/>
            </w:rPr>
            <w:t xml:space="preserve"> the decision</w:t>
          </w:r>
          <w:r w:rsidRPr="00FF027F">
            <w:rPr>
              <w:rFonts w:ascii="Arial" w:hAnsi="Arial" w:cs="Arial"/>
              <w:lang w:val="en-GB"/>
            </w:rPr>
            <w:t xml:space="preserve"> within 3 months of taking over the case, unless further information is sought, in which case an additional 2 months can be added to the period.</w:t>
          </w:r>
        </w:p>
        <w:p w14:paraId="7A43A9DE" w14:textId="20EBEBC7" w:rsidR="00E77F0C" w:rsidRPr="00FF027F" w:rsidRDefault="00D66E9B" w:rsidP="008D18D9">
          <w:pPr>
            <w:pStyle w:val="Heading3"/>
            <w:rPr>
              <w:color w:val="4F81BD" w:themeColor="accent1"/>
              <w:lang w:eastAsia="en-GB"/>
            </w:rPr>
          </w:pPr>
          <w:bookmarkStart w:id="48" w:name="_Toc396913760"/>
          <w:r w:rsidRPr="00FF027F">
            <w:rPr>
              <w:color w:val="4F81BD" w:themeColor="accent1"/>
              <w:lang w:eastAsia="en-GB"/>
            </w:rPr>
            <w:t xml:space="preserve">Infrastructure - </w:t>
          </w:r>
          <w:r w:rsidR="00E77F0C" w:rsidRPr="00FF027F">
            <w:rPr>
              <w:color w:val="4F81BD" w:themeColor="accent1"/>
              <w:lang w:eastAsia="en-GB"/>
            </w:rPr>
            <w:t>objectives and expected achievements</w:t>
          </w:r>
          <w:bookmarkEnd w:id="48"/>
        </w:p>
        <w:p w14:paraId="4BBD19F8" w14:textId="5CE6EB4F" w:rsidR="00E976E8" w:rsidRPr="00FF027F" w:rsidRDefault="00E976E8" w:rsidP="00C55526">
          <w:pPr>
            <w:spacing w:before="360" w:after="240" w:line="360" w:lineRule="auto"/>
            <w:jc w:val="both"/>
            <w:rPr>
              <w:rFonts w:ascii="Arial" w:hAnsi="Arial" w:cs="Arial"/>
              <w:lang w:val="en-GB"/>
            </w:rPr>
          </w:pPr>
          <w:r w:rsidRPr="00FF027F">
            <w:rPr>
              <w:rFonts w:ascii="Arial" w:hAnsi="Arial" w:cs="Arial"/>
              <w:lang w:val="en-GB"/>
            </w:rPr>
            <w:t xml:space="preserve">The overall objective of the Agency’s work on Infrastructure is to enable efficient infrastructure investments to take place, with a particular focus on cross-border investments. Such investments should help to integrate the internal </w:t>
          </w:r>
          <w:r w:rsidR="009A186A" w:rsidRPr="00FF027F">
            <w:rPr>
              <w:rFonts w:ascii="Arial" w:hAnsi="Arial" w:cs="Arial"/>
              <w:lang w:val="en-GB"/>
            </w:rPr>
            <w:t xml:space="preserve">energy </w:t>
          </w:r>
          <w:r w:rsidRPr="00FF027F">
            <w:rPr>
              <w:rFonts w:ascii="Arial" w:hAnsi="Arial" w:cs="Arial"/>
              <w:lang w:val="en-GB"/>
            </w:rPr>
            <w:t xml:space="preserve">market further, as well as to increase security of supply. In particular, they should contribute to </w:t>
          </w:r>
          <w:r w:rsidR="0091443F" w:rsidRPr="00FF027F">
            <w:rPr>
              <w:rFonts w:ascii="Arial" w:hAnsi="Arial" w:cs="Arial"/>
              <w:lang w:val="en-GB"/>
            </w:rPr>
            <w:t xml:space="preserve">the </w:t>
          </w:r>
          <w:r w:rsidRPr="00FF027F">
            <w:rPr>
              <w:rFonts w:ascii="Arial" w:hAnsi="Arial" w:cs="Arial"/>
              <w:lang w:val="en-GB"/>
            </w:rPr>
            <w:t>eliminati</w:t>
          </w:r>
          <w:r w:rsidR="0091443F" w:rsidRPr="00FF027F">
            <w:rPr>
              <w:rFonts w:ascii="Arial" w:hAnsi="Arial" w:cs="Arial"/>
              <w:lang w:val="en-GB"/>
            </w:rPr>
            <w:t>on of</w:t>
          </w:r>
          <w:r w:rsidRPr="00FF027F">
            <w:rPr>
              <w:rFonts w:ascii="Arial" w:hAnsi="Arial" w:cs="Arial"/>
              <w:lang w:val="en-GB"/>
            </w:rPr>
            <w:t xml:space="preserve"> the so-called energy islands. </w:t>
          </w:r>
        </w:p>
        <w:p w14:paraId="0CFEEA0F" w14:textId="77777777" w:rsidR="00740D7F" w:rsidRPr="00FF027F" w:rsidRDefault="00740D7F" w:rsidP="003F349F">
          <w:pPr>
            <w:pStyle w:val="Heading2"/>
            <w:rPr>
              <w:lang w:eastAsia="en-GB"/>
            </w:rPr>
          </w:pPr>
          <w:bookmarkStart w:id="49" w:name="_Toc396913761"/>
          <w:r w:rsidRPr="00FF027F">
            <w:rPr>
              <w:lang w:eastAsia="en-GB"/>
            </w:rPr>
            <w:t>International</w:t>
          </w:r>
          <w:r w:rsidR="00B2310D" w:rsidRPr="00FF027F">
            <w:rPr>
              <w:lang w:eastAsia="en-GB"/>
            </w:rPr>
            <w:t xml:space="preserve"> Cooperation</w:t>
          </w:r>
          <w:bookmarkEnd w:id="49"/>
        </w:p>
        <w:p w14:paraId="2B428E7B" w14:textId="24D5FBDE" w:rsidR="00367760" w:rsidRPr="00FF027F" w:rsidRDefault="00367760" w:rsidP="00367760">
          <w:pPr>
            <w:pStyle w:val="Heading3"/>
            <w:rPr>
              <w:color w:val="4F81BD" w:themeColor="accent1"/>
            </w:rPr>
          </w:pPr>
          <w:bookmarkStart w:id="50" w:name="_Toc396913762"/>
          <w:r w:rsidRPr="00FF027F">
            <w:rPr>
              <w:color w:val="4F81BD" w:themeColor="accent1"/>
            </w:rPr>
            <w:t xml:space="preserve">Institutional </w:t>
          </w:r>
          <w:r w:rsidR="008D18D9" w:rsidRPr="00FF027F">
            <w:rPr>
              <w:color w:val="4F81BD" w:themeColor="accent1"/>
            </w:rPr>
            <w:t>Framework</w:t>
          </w:r>
          <w:bookmarkEnd w:id="50"/>
        </w:p>
        <w:p w14:paraId="78218767" w14:textId="59D3B8FE" w:rsidR="006A1854" w:rsidRPr="00FF027F" w:rsidRDefault="006A1854" w:rsidP="006A1854">
          <w:pPr>
            <w:spacing w:before="360" w:after="240" w:line="360" w:lineRule="auto"/>
            <w:jc w:val="both"/>
            <w:rPr>
              <w:rFonts w:ascii="Arial" w:hAnsi="Arial" w:cs="Arial"/>
              <w:lang w:val="en-GB"/>
            </w:rPr>
          </w:pPr>
          <w:r w:rsidRPr="00FF027F">
            <w:rPr>
              <w:rFonts w:ascii="Arial" w:hAnsi="Arial" w:cs="Arial"/>
              <w:lang w:val="en-GB"/>
            </w:rPr>
            <w:t>While most of the tasks of the Agency relate to the cooperation among EU NRAs, some activities require or may benefit from collaboration with regulatory entities in third countries.</w:t>
          </w:r>
        </w:p>
        <w:p w14:paraId="3954815D" w14:textId="61B861E1" w:rsidR="006A1854" w:rsidRPr="00FF027F" w:rsidRDefault="00EC1A2B" w:rsidP="006A1854">
          <w:pPr>
            <w:spacing w:before="360" w:after="240" w:line="360" w:lineRule="auto"/>
            <w:jc w:val="both"/>
            <w:rPr>
              <w:rFonts w:ascii="Arial" w:hAnsi="Arial" w:cs="Arial"/>
              <w:lang w:val="en-GB"/>
            </w:rPr>
          </w:pPr>
          <w:r w:rsidRPr="00FF027F">
            <w:rPr>
              <w:rFonts w:ascii="Arial" w:hAnsi="Arial" w:cs="Arial"/>
              <w:lang w:val="en-GB"/>
            </w:rPr>
            <w:lastRenderedPageBreak/>
            <w:t>Both t</w:t>
          </w:r>
          <w:r w:rsidR="006A1854" w:rsidRPr="00FF027F">
            <w:rPr>
              <w:rFonts w:ascii="Arial" w:hAnsi="Arial" w:cs="Arial"/>
              <w:lang w:val="en-GB"/>
            </w:rPr>
            <w:t>he Agency Regulation and REMIT include provisions for the involvement of third countries in the activities of the Agency</w:t>
          </w:r>
          <w:r w:rsidR="006A1854" w:rsidRPr="00FF027F">
            <w:rPr>
              <w:rStyle w:val="FootnoteReference"/>
              <w:rFonts w:cs="Arial"/>
              <w:b w:val="0"/>
              <w:lang w:val="en-GB"/>
            </w:rPr>
            <w:footnoteReference w:id="4"/>
          </w:r>
          <w:r w:rsidR="006A1854" w:rsidRPr="00FF027F">
            <w:rPr>
              <w:rFonts w:ascii="Arial" w:hAnsi="Arial" w:cs="Arial"/>
              <w:lang w:val="en-GB"/>
            </w:rPr>
            <w:t xml:space="preserve">, </w:t>
          </w:r>
          <w:r w:rsidR="0091443F" w:rsidRPr="00FF027F">
            <w:rPr>
              <w:rFonts w:ascii="Arial" w:hAnsi="Arial" w:cs="Arial"/>
              <w:lang w:val="en-GB"/>
            </w:rPr>
            <w:t>al</w:t>
          </w:r>
          <w:r w:rsidR="006A1854" w:rsidRPr="00FF027F">
            <w:rPr>
              <w:rFonts w:ascii="Arial" w:hAnsi="Arial" w:cs="Arial"/>
              <w:lang w:val="en-GB"/>
            </w:rPr>
            <w:t xml:space="preserve">though so far no third country has been admitted to participate in the Agency. </w:t>
          </w:r>
        </w:p>
        <w:p w14:paraId="79F3ABDE" w14:textId="21DE306F" w:rsidR="006A1854" w:rsidRPr="00FF027F" w:rsidRDefault="006A1854" w:rsidP="006A1854">
          <w:pPr>
            <w:spacing w:before="360" w:after="240" w:line="360" w:lineRule="auto"/>
            <w:jc w:val="both"/>
            <w:rPr>
              <w:rFonts w:ascii="Arial" w:hAnsi="Arial" w:cs="Arial"/>
              <w:lang w:val="en-GB"/>
            </w:rPr>
          </w:pPr>
          <w:r w:rsidRPr="00FF027F">
            <w:rPr>
              <w:rFonts w:ascii="Arial" w:hAnsi="Arial" w:cs="Arial"/>
              <w:lang w:val="en-GB"/>
            </w:rPr>
            <w:t>However, the implementation of the Network Codes inevitably requires the coordination with third countries whose systems are interconnected with the EU networks, even more so in the case of synchronous electricity transmission systems. Therefore, Norway and Switzerland take part in some of the work carried out under the ERI</w:t>
          </w:r>
          <w:r w:rsidRPr="00FF027F">
            <w:rPr>
              <w:rStyle w:val="FootnoteReference"/>
              <w:rFonts w:cs="Arial"/>
              <w:b w:val="0"/>
              <w:lang w:val="en-GB"/>
            </w:rPr>
            <w:footnoteReference w:id="5"/>
          </w:r>
          <w:r w:rsidRPr="00FF027F">
            <w:rPr>
              <w:rFonts w:ascii="Arial" w:hAnsi="Arial" w:cs="Arial"/>
              <w:lang w:val="en-GB"/>
            </w:rPr>
            <w:t xml:space="preserve">. Moreover, the Contracting Parties of the Energy Community are also due to implement the Network Codes in their </w:t>
          </w:r>
          <w:r w:rsidR="002D5E58" w:rsidRPr="00FF027F">
            <w:rPr>
              <w:rFonts w:ascii="Arial" w:hAnsi="Arial" w:cs="Arial"/>
              <w:lang w:val="en-GB"/>
            </w:rPr>
            <w:t>jurisdictions</w:t>
          </w:r>
          <w:r w:rsidR="008E2249" w:rsidRPr="00FF027F">
            <w:rPr>
              <w:rFonts w:ascii="Arial" w:hAnsi="Arial" w:cs="Arial"/>
              <w:lang w:val="en-GB"/>
            </w:rPr>
            <w:t>. T</w:t>
          </w:r>
          <w:r w:rsidRPr="00FF027F">
            <w:rPr>
              <w:rFonts w:ascii="Arial" w:hAnsi="Arial" w:cs="Arial"/>
              <w:lang w:val="en-GB"/>
            </w:rPr>
            <w:t>his calls for stronger cooperation between the Agency and the regulatory authorities in these third countries. Institutional cooperation between ACER and the En</w:t>
          </w:r>
          <w:r w:rsidR="009A1821" w:rsidRPr="00FF027F">
            <w:rPr>
              <w:rFonts w:ascii="Arial" w:hAnsi="Arial" w:cs="Arial"/>
              <w:lang w:val="en-GB"/>
            </w:rPr>
            <w:t>ergy</w:t>
          </w:r>
          <w:r w:rsidRPr="00FF027F">
            <w:rPr>
              <w:rFonts w:ascii="Arial" w:hAnsi="Arial" w:cs="Arial"/>
              <w:lang w:val="en-GB"/>
            </w:rPr>
            <w:t xml:space="preserve"> Community</w:t>
          </w:r>
          <w:r w:rsidR="002D5E58" w:rsidRPr="00FF027F">
            <w:rPr>
              <w:rFonts w:ascii="Arial" w:hAnsi="Arial" w:cs="Arial"/>
              <w:lang w:val="en-GB"/>
            </w:rPr>
            <w:t xml:space="preserve">, which started soon after the Agency was established and was </w:t>
          </w:r>
          <w:r w:rsidR="008E2249" w:rsidRPr="00FF027F">
            <w:rPr>
              <w:rFonts w:ascii="Arial" w:hAnsi="Arial" w:cs="Arial"/>
              <w:lang w:val="en-GB"/>
            </w:rPr>
            <w:t xml:space="preserve">further </w:t>
          </w:r>
          <w:r w:rsidR="002D5E58" w:rsidRPr="00FF027F">
            <w:rPr>
              <w:rFonts w:ascii="Arial" w:hAnsi="Arial" w:cs="Arial"/>
              <w:lang w:val="en-GB"/>
            </w:rPr>
            <w:t>strengthened in 2014,</w:t>
          </w:r>
          <w:r w:rsidRPr="00FF027F">
            <w:rPr>
              <w:rFonts w:ascii="Arial" w:hAnsi="Arial" w:cs="Arial"/>
              <w:lang w:val="en-GB"/>
            </w:rPr>
            <w:t xml:space="preserve"> will thus be enhanced, both as concerns relations with the </w:t>
          </w:r>
          <w:r w:rsidR="009A186A" w:rsidRPr="00FF027F">
            <w:rPr>
              <w:rFonts w:ascii="Arial" w:hAnsi="Arial" w:cs="Arial"/>
              <w:lang w:val="en-GB"/>
            </w:rPr>
            <w:t xml:space="preserve">Energy </w:t>
          </w:r>
          <w:r w:rsidRPr="00FF027F">
            <w:rPr>
              <w:rFonts w:ascii="Arial" w:hAnsi="Arial" w:cs="Arial"/>
              <w:lang w:val="en-GB"/>
            </w:rPr>
            <w:t>Community’s Secretariat and its Regulatory Board (ECRB).</w:t>
          </w:r>
        </w:p>
        <w:p w14:paraId="141550BF" w14:textId="77777777" w:rsidR="006A1854" w:rsidRPr="00FF027F" w:rsidRDefault="006A1854" w:rsidP="006A1854">
          <w:pPr>
            <w:spacing w:before="360" w:after="240" w:line="360" w:lineRule="auto"/>
            <w:jc w:val="both"/>
            <w:rPr>
              <w:rFonts w:ascii="Arial" w:hAnsi="Arial" w:cs="Arial"/>
              <w:lang w:val="en-GB"/>
            </w:rPr>
          </w:pPr>
          <w:r w:rsidRPr="00FF027F">
            <w:rPr>
              <w:rFonts w:ascii="Arial" w:hAnsi="Arial" w:cs="Arial"/>
              <w:lang w:val="en-GB"/>
            </w:rPr>
            <w:t>Furthermore, the TYNDPs in both electricity and gas typically also cover adjacent third countries. Their assessment may require the acquisition of information from regulatory authorities in such jurisdictions.</w:t>
          </w:r>
        </w:p>
        <w:p w14:paraId="10C774D9" w14:textId="77777777" w:rsidR="006A1854" w:rsidRPr="00FF027F" w:rsidRDefault="006A1854" w:rsidP="006A1854">
          <w:pPr>
            <w:spacing w:before="360" w:after="240" w:line="360" w:lineRule="auto"/>
            <w:jc w:val="both"/>
            <w:rPr>
              <w:rFonts w:ascii="Arial" w:hAnsi="Arial" w:cs="Arial"/>
              <w:lang w:val="en-GB"/>
            </w:rPr>
          </w:pPr>
          <w:r w:rsidRPr="00FF027F">
            <w:rPr>
              <w:rFonts w:ascii="Arial" w:hAnsi="Arial" w:cs="Arial"/>
              <w:lang w:val="en-GB"/>
            </w:rPr>
            <w:lastRenderedPageBreak/>
            <w:t>Finally, the effective implementation of REMIT requires the Agency to cooperate with entities tasked with wholesale market monitoring responsibilities in non-EU jurisdictions. Wholesale energy markets are becoming increasingly global and effective cooperation of monitoring authorities is essential to protect the integrity and transparency of these markets.</w:t>
          </w:r>
        </w:p>
        <w:p w14:paraId="4EDA6AEB" w14:textId="7C170B76" w:rsidR="006A1854" w:rsidRPr="00FF027F" w:rsidRDefault="006A1854" w:rsidP="006A1854">
          <w:pPr>
            <w:spacing w:before="360" w:after="240" w:line="360" w:lineRule="auto"/>
            <w:jc w:val="both"/>
            <w:rPr>
              <w:rFonts w:ascii="Arial" w:hAnsi="Arial" w:cs="Arial"/>
              <w:lang w:val="en-GB"/>
            </w:rPr>
          </w:pPr>
          <w:r w:rsidRPr="00FF027F">
            <w:rPr>
              <w:rFonts w:ascii="Arial" w:hAnsi="Arial" w:cs="Arial"/>
              <w:lang w:val="en-GB"/>
            </w:rPr>
            <w:t>In this context, the Agency has been in contact with regulatory authorities in Switzerland</w:t>
          </w:r>
          <w:r w:rsidRPr="00FF027F">
            <w:rPr>
              <w:rStyle w:val="FootnoteReference"/>
              <w:rFonts w:cs="Arial"/>
              <w:b w:val="0"/>
              <w:lang w:val="en-GB"/>
            </w:rPr>
            <w:footnoteReference w:id="6"/>
          </w:r>
          <w:r w:rsidRPr="00FF027F">
            <w:rPr>
              <w:rFonts w:ascii="Arial" w:hAnsi="Arial" w:cs="Arial"/>
              <w:b/>
              <w:lang w:val="en-GB"/>
            </w:rPr>
            <w:t xml:space="preserve"> </w:t>
          </w:r>
          <w:r w:rsidRPr="00FF027F">
            <w:rPr>
              <w:rFonts w:ascii="Arial" w:hAnsi="Arial" w:cs="Arial"/>
              <w:lang w:val="en-GB"/>
            </w:rPr>
            <w:t xml:space="preserve">and the United States and expects, during 2014, to enter into appropriate administrative arrangements, according to article 19 of REMIT, with the </w:t>
          </w:r>
          <w:r w:rsidR="009A186A" w:rsidRPr="00FF027F">
            <w:rPr>
              <w:rFonts w:ascii="Arial" w:hAnsi="Arial" w:cs="Arial"/>
              <w:lang w:val="en-GB"/>
            </w:rPr>
            <w:t xml:space="preserve">US </w:t>
          </w:r>
          <w:r w:rsidRPr="00FF027F">
            <w:rPr>
              <w:rFonts w:ascii="Arial" w:hAnsi="Arial" w:cs="Arial"/>
              <w:lang w:val="en-GB"/>
            </w:rPr>
            <w:t xml:space="preserve">Federal Energy Regulatory Commission (FERC). These arrangements will govern the cooperation between FERC and the Agency whenever an exchange of </w:t>
          </w:r>
          <w:r w:rsidR="009A186A" w:rsidRPr="00FF027F">
            <w:rPr>
              <w:rFonts w:ascii="Arial" w:hAnsi="Arial" w:cs="Arial"/>
              <w:lang w:val="en-GB"/>
            </w:rPr>
            <w:t xml:space="preserve">experience or </w:t>
          </w:r>
          <w:r w:rsidRPr="00FF027F">
            <w:rPr>
              <w:rFonts w:ascii="Arial" w:hAnsi="Arial" w:cs="Arial"/>
              <w:lang w:val="en-GB"/>
            </w:rPr>
            <w:t>information is required to support the respective market monitoring activities.</w:t>
          </w:r>
        </w:p>
        <w:p w14:paraId="05A4BBC5" w14:textId="317F4DBD" w:rsidR="001C0255" w:rsidRPr="00FF027F" w:rsidRDefault="00367760" w:rsidP="00367760">
          <w:pPr>
            <w:pStyle w:val="Heading3"/>
            <w:rPr>
              <w:color w:val="4F81BD" w:themeColor="accent1"/>
              <w:lang w:eastAsia="en-GB"/>
            </w:rPr>
          </w:pPr>
          <w:bookmarkStart w:id="51" w:name="_Toc396913763"/>
          <w:r w:rsidRPr="00FF027F">
            <w:rPr>
              <w:color w:val="4F81BD" w:themeColor="accent1"/>
              <w:lang w:eastAsia="en-GB"/>
            </w:rPr>
            <w:t>International Cooperation - objectives and expected achievements</w:t>
          </w:r>
          <w:bookmarkEnd w:id="51"/>
        </w:p>
        <w:p w14:paraId="24FB9D61" w14:textId="52C0CC77" w:rsidR="009A1821" w:rsidRPr="00FF027F" w:rsidRDefault="009A186A" w:rsidP="00D5745C">
          <w:pPr>
            <w:spacing w:before="360" w:after="240" w:line="360" w:lineRule="auto"/>
            <w:jc w:val="both"/>
            <w:rPr>
              <w:rFonts w:ascii="Arial" w:hAnsi="Arial" w:cs="Arial"/>
              <w:lang w:val="en-GB" w:eastAsia="en-GB"/>
            </w:rPr>
          </w:pPr>
          <w:r w:rsidRPr="00FF027F">
            <w:rPr>
              <w:rFonts w:ascii="Arial" w:hAnsi="Arial" w:cs="Arial"/>
              <w:lang w:val="en-GB" w:eastAsia="en-GB"/>
            </w:rPr>
            <w:t>The Agency aims at f</w:t>
          </w:r>
          <w:r w:rsidR="008D18D9" w:rsidRPr="00FF027F">
            <w:rPr>
              <w:rFonts w:ascii="Arial" w:hAnsi="Arial" w:cs="Arial"/>
              <w:lang w:val="en-GB" w:eastAsia="en-GB"/>
            </w:rPr>
            <w:t>oster</w:t>
          </w:r>
          <w:r w:rsidRPr="00FF027F">
            <w:rPr>
              <w:rFonts w:ascii="Arial" w:hAnsi="Arial" w:cs="Arial"/>
              <w:lang w:val="en-GB" w:eastAsia="en-GB"/>
            </w:rPr>
            <w:t>ing the</w:t>
          </w:r>
          <w:r w:rsidR="008D18D9" w:rsidRPr="00FF027F">
            <w:rPr>
              <w:rFonts w:ascii="Arial" w:hAnsi="Arial" w:cs="Arial"/>
              <w:lang w:val="en-GB" w:eastAsia="en-GB"/>
            </w:rPr>
            <w:t xml:space="preserve"> exchange of experience with the regulatory </w:t>
          </w:r>
          <w:r w:rsidR="00761A50" w:rsidRPr="00FF027F">
            <w:rPr>
              <w:rFonts w:ascii="Arial" w:hAnsi="Arial" w:cs="Arial"/>
              <w:lang w:val="en-GB" w:eastAsia="en-GB"/>
            </w:rPr>
            <w:t>institutions</w:t>
          </w:r>
          <w:r w:rsidR="008D18D9" w:rsidRPr="00FF027F">
            <w:rPr>
              <w:rFonts w:ascii="Arial" w:hAnsi="Arial" w:cs="Arial"/>
              <w:lang w:val="en-GB" w:eastAsia="en-GB"/>
            </w:rPr>
            <w:t xml:space="preserve"> outside the EU, where necessary</w:t>
          </w:r>
          <w:r w:rsidR="00967DBA" w:rsidRPr="00FF027F">
            <w:rPr>
              <w:rFonts w:ascii="Arial" w:hAnsi="Arial" w:cs="Arial"/>
              <w:lang w:val="en-GB" w:eastAsia="en-GB"/>
            </w:rPr>
            <w:t xml:space="preserve"> (including the Energy Community)</w:t>
          </w:r>
          <w:r w:rsidR="008D18D9" w:rsidRPr="00FF027F">
            <w:rPr>
              <w:rFonts w:ascii="Arial" w:hAnsi="Arial" w:cs="Arial"/>
              <w:lang w:val="en-GB" w:eastAsia="en-GB"/>
            </w:rPr>
            <w:t xml:space="preserve">, and </w:t>
          </w:r>
          <w:r w:rsidR="008E2249" w:rsidRPr="00FF027F">
            <w:rPr>
              <w:rFonts w:ascii="Arial" w:hAnsi="Arial" w:cs="Arial"/>
              <w:lang w:val="en-GB" w:eastAsia="en-GB"/>
            </w:rPr>
            <w:t>i</w:t>
          </w:r>
          <w:r w:rsidR="008D18D9" w:rsidRPr="00FF027F">
            <w:rPr>
              <w:rFonts w:ascii="Arial" w:hAnsi="Arial" w:cs="Arial"/>
              <w:lang w:val="en-GB" w:eastAsia="en-GB"/>
            </w:rPr>
            <w:t xml:space="preserve">n areas of mutual interest (e.g. </w:t>
          </w:r>
          <w:r w:rsidR="008E2249" w:rsidRPr="00FF027F">
            <w:rPr>
              <w:rFonts w:ascii="Arial" w:hAnsi="Arial" w:cs="Arial"/>
              <w:lang w:val="en-GB" w:eastAsia="en-GB"/>
            </w:rPr>
            <w:t xml:space="preserve">with </w:t>
          </w:r>
          <w:r w:rsidR="008D18D9" w:rsidRPr="00FF027F">
            <w:rPr>
              <w:rFonts w:ascii="Arial" w:hAnsi="Arial" w:cs="Arial"/>
              <w:lang w:val="en-GB" w:eastAsia="en-GB"/>
            </w:rPr>
            <w:t xml:space="preserve">FERC on market monitoring activities). </w:t>
          </w:r>
        </w:p>
        <w:p w14:paraId="0E9B50E6" w14:textId="02DAD20C" w:rsidR="009A186A" w:rsidRPr="00FF027F" w:rsidRDefault="009A186A" w:rsidP="00D5745C">
          <w:pPr>
            <w:spacing w:before="360" w:after="240" w:line="360" w:lineRule="auto"/>
            <w:jc w:val="both"/>
            <w:rPr>
              <w:rFonts w:ascii="Arial" w:hAnsi="Arial" w:cs="Arial"/>
              <w:lang w:val="en-GB" w:eastAsia="en-GB"/>
            </w:rPr>
          </w:pPr>
          <w:r w:rsidRPr="00FF027F">
            <w:rPr>
              <w:rFonts w:ascii="Arial" w:hAnsi="Arial" w:cs="Arial"/>
              <w:lang w:val="en-GB" w:eastAsia="en-GB"/>
            </w:rPr>
            <w:t>C</w:t>
          </w:r>
          <w:r w:rsidR="009A1821" w:rsidRPr="00FF027F">
            <w:rPr>
              <w:rFonts w:ascii="Arial" w:hAnsi="Arial" w:cs="Arial"/>
              <w:lang w:val="en-GB" w:eastAsia="en-GB"/>
            </w:rPr>
            <w:t xml:space="preserve">ooperation </w:t>
          </w:r>
          <w:r w:rsidRPr="00FF027F">
            <w:rPr>
              <w:rFonts w:ascii="Arial" w:hAnsi="Arial" w:cs="Arial"/>
              <w:lang w:val="en-GB" w:eastAsia="en-GB"/>
            </w:rPr>
            <w:t xml:space="preserve">with the Energy Community should be enhanced </w:t>
          </w:r>
          <w:r w:rsidR="009A1821" w:rsidRPr="00FF027F">
            <w:rPr>
              <w:rFonts w:ascii="Arial" w:hAnsi="Arial" w:cs="Arial"/>
              <w:lang w:val="en-GB" w:eastAsia="en-GB"/>
            </w:rPr>
            <w:t xml:space="preserve">at the </w:t>
          </w:r>
          <w:r w:rsidRPr="00FF027F">
            <w:rPr>
              <w:rFonts w:ascii="Arial" w:hAnsi="Arial" w:cs="Arial"/>
              <w:lang w:val="en-GB" w:eastAsia="en-GB"/>
            </w:rPr>
            <w:t xml:space="preserve">Working Group </w:t>
          </w:r>
          <w:r w:rsidR="009A1821" w:rsidRPr="00FF027F">
            <w:rPr>
              <w:rFonts w:ascii="Arial" w:hAnsi="Arial" w:cs="Arial"/>
              <w:lang w:val="en-GB" w:eastAsia="en-GB"/>
            </w:rPr>
            <w:t xml:space="preserve">level, </w:t>
          </w:r>
          <w:r w:rsidR="00542DA4" w:rsidRPr="00FF027F">
            <w:rPr>
              <w:rFonts w:ascii="Arial" w:hAnsi="Arial" w:cs="Arial"/>
              <w:lang w:val="en-GB" w:eastAsia="en-GB"/>
            </w:rPr>
            <w:t xml:space="preserve">in the areas of Network Codes, infrastructure (e.g. exemptions, cross-border cost allocation), market monitoring, cross-border capacity allocation, and </w:t>
          </w:r>
          <w:r w:rsidR="00761A50" w:rsidRPr="00FF027F">
            <w:rPr>
              <w:rFonts w:ascii="Arial" w:hAnsi="Arial" w:cs="Arial"/>
              <w:lang w:val="en-GB" w:eastAsia="en-GB"/>
            </w:rPr>
            <w:t>possibly</w:t>
          </w:r>
          <w:r w:rsidR="00542DA4" w:rsidRPr="00FF027F">
            <w:rPr>
              <w:rFonts w:ascii="Arial" w:hAnsi="Arial" w:cs="Arial"/>
              <w:lang w:val="en-GB" w:eastAsia="en-GB"/>
            </w:rPr>
            <w:t xml:space="preserve"> other issues which relate to border</w:t>
          </w:r>
          <w:r w:rsidR="00761A50" w:rsidRPr="00FF027F">
            <w:rPr>
              <w:rFonts w:ascii="Arial" w:hAnsi="Arial" w:cs="Arial"/>
              <w:lang w:val="en-GB" w:eastAsia="en-GB"/>
            </w:rPr>
            <w:t>s</w:t>
          </w:r>
          <w:r w:rsidR="00542DA4" w:rsidRPr="00FF027F">
            <w:rPr>
              <w:rFonts w:ascii="Arial" w:hAnsi="Arial" w:cs="Arial"/>
              <w:lang w:val="en-GB" w:eastAsia="en-GB"/>
            </w:rPr>
            <w:t xml:space="preserve"> between </w:t>
          </w:r>
          <w:r w:rsidR="0055787E" w:rsidRPr="00FF027F">
            <w:rPr>
              <w:rFonts w:ascii="Arial" w:hAnsi="Arial" w:cs="Arial"/>
              <w:lang w:val="en-GB" w:eastAsia="en-GB"/>
            </w:rPr>
            <w:t xml:space="preserve">the </w:t>
          </w:r>
          <w:r w:rsidR="00542DA4" w:rsidRPr="00FF027F">
            <w:rPr>
              <w:rFonts w:ascii="Arial" w:hAnsi="Arial" w:cs="Arial"/>
              <w:lang w:val="en-GB" w:eastAsia="en-GB"/>
            </w:rPr>
            <w:t xml:space="preserve">EU and </w:t>
          </w:r>
          <w:r w:rsidR="0055787E" w:rsidRPr="00FF027F">
            <w:rPr>
              <w:rFonts w:ascii="Arial" w:hAnsi="Arial" w:cs="Arial"/>
              <w:lang w:val="en-GB" w:eastAsia="en-GB"/>
            </w:rPr>
            <w:t xml:space="preserve">the </w:t>
          </w:r>
          <w:r w:rsidR="00542DA4" w:rsidRPr="00FF027F">
            <w:rPr>
              <w:rFonts w:ascii="Arial" w:hAnsi="Arial" w:cs="Arial"/>
              <w:lang w:val="en-GB" w:eastAsia="en-GB"/>
            </w:rPr>
            <w:t>En</w:t>
          </w:r>
          <w:r w:rsidR="0055787E" w:rsidRPr="00FF027F">
            <w:rPr>
              <w:rFonts w:ascii="Arial" w:hAnsi="Arial" w:cs="Arial"/>
              <w:lang w:val="en-GB" w:eastAsia="en-GB"/>
            </w:rPr>
            <w:t xml:space="preserve">ergy </w:t>
          </w:r>
          <w:r w:rsidR="00542DA4" w:rsidRPr="00FF027F">
            <w:rPr>
              <w:rFonts w:ascii="Arial" w:hAnsi="Arial" w:cs="Arial"/>
              <w:lang w:val="en-GB" w:eastAsia="en-GB"/>
            </w:rPr>
            <w:t>C</w:t>
          </w:r>
          <w:r w:rsidR="0055787E" w:rsidRPr="00FF027F">
            <w:rPr>
              <w:rFonts w:ascii="Arial" w:hAnsi="Arial" w:cs="Arial"/>
              <w:lang w:val="en-GB" w:eastAsia="en-GB"/>
            </w:rPr>
            <w:t>ommunity</w:t>
          </w:r>
          <w:r w:rsidR="00542DA4" w:rsidRPr="00FF027F">
            <w:rPr>
              <w:rFonts w:ascii="Arial" w:hAnsi="Arial" w:cs="Arial"/>
              <w:lang w:val="en-GB" w:eastAsia="en-GB"/>
            </w:rPr>
            <w:t xml:space="preserve">. </w:t>
          </w:r>
        </w:p>
        <w:p w14:paraId="67850EA9" w14:textId="6D5C2C9E" w:rsidR="000D100E" w:rsidRPr="00FF027F" w:rsidRDefault="009A186A" w:rsidP="00D5745C">
          <w:pPr>
            <w:spacing w:before="360" w:after="240" w:line="360" w:lineRule="auto"/>
            <w:jc w:val="both"/>
            <w:rPr>
              <w:rFonts w:ascii="Arial" w:hAnsi="Arial" w:cs="Arial"/>
              <w:lang w:val="en-GB" w:eastAsia="en-GB"/>
            </w:rPr>
          </w:pPr>
          <w:r w:rsidRPr="00FF027F">
            <w:rPr>
              <w:rFonts w:ascii="Arial" w:hAnsi="Arial" w:cs="Arial"/>
              <w:lang w:val="en-GB" w:eastAsia="en-GB"/>
            </w:rPr>
            <w:t>One tangible objective would be to define a legal framework and processes for</w:t>
          </w:r>
          <w:r w:rsidR="00542DA4" w:rsidRPr="00FF027F">
            <w:rPr>
              <w:rFonts w:ascii="Arial" w:hAnsi="Arial" w:cs="Arial"/>
              <w:lang w:val="en-GB" w:eastAsia="en-GB"/>
            </w:rPr>
            <w:t xml:space="preserve"> coordinated decisions on cross-border issues </w:t>
          </w:r>
          <w:r w:rsidRPr="00FF027F">
            <w:rPr>
              <w:rFonts w:ascii="Arial" w:hAnsi="Arial" w:cs="Arial"/>
              <w:lang w:val="en-GB" w:eastAsia="en-GB"/>
            </w:rPr>
            <w:t xml:space="preserve">– e.g. </w:t>
          </w:r>
          <w:r w:rsidR="00542DA4" w:rsidRPr="00FF027F">
            <w:rPr>
              <w:rFonts w:ascii="Arial" w:hAnsi="Arial" w:cs="Arial"/>
              <w:lang w:val="en-GB" w:eastAsia="en-GB"/>
            </w:rPr>
            <w:t xml:space="preserve">related to infrastructure, capacity-allocation </w:t>
          </w:r>
          <w:r w:rsidRPr="00FF027F">
            <w:rPr>
              <w:rFonts w:ascii="Arial" w:hAnsi="Arial" w:cs="Arial"/>
              <w:lang w:val="en-GB" w:eastAsia="en-GB"/>
            </w:rPr>
            <w:t xml:space="preserve">– in </w:t>
          </w:r>
          <w:r w:rsidR="00151617" w:rsidRPr="00FF027F">
            <w:rPr>
              <w:rFonts w:ascii="Arial" w:hAnsi="Arial" w:cs="Arial"/>
              <w:lang w:val="en-GB" w:eastAsia="en-GB"/>
            </w:rPr>
            <w:t>those</w:t>
          </w:r>
          <w:r w:rsidRPr="00FF027F">
            <w:rPr>
              <w:rFonts w:ascii="Arial" w:hAnsi="Arial" w:cs="Arial"/>
              <w:lang w:val="en-GB" w:eastAsia="en-GB"/>
            </w:rPr>
            <w:t xml:space="preserve"> cases where EU MSs and Energy Community’s Contracting Parties are involved</w:t>
          </w:r>
          <w:r w:rsidR="00542DA4" w:rsidRPr="00FF027F">
            <w:rPr>
              <w:rFonts w:ascii="Arial" w:hAnsi="Arial" w:cs="Arial"/>
              <w:lang w:val="en-GB" w:eastAsia="en-GB"/>
            </w:rPr>
            <w:t>.</w:t>
          </w:r>
          <w:r w:rsidR="009A1821" w:rsidRPr="00FF027F">
            <w:rPr>
              <w:rFonts w:ascii="Arial" w:hAnsi="Arial" w:cs="Arial"/>
              <w:lang w:val="en-GB" w:eastAsia="en-GB"/>
            </w:rPr>
            <w:t xml:space="preserve"> </w:t>
          </w:r>
          <w:r w:rsidR="008D18D9" w:rsidRPr="00FF027F">
            <w:rPr>
              <w:rFonts w:ascii="Arial" w:hAnsi="Arial" w:cs="Arial"/>
              <w:lang w:val="en-GB" w:eastAsia="en-GB"/>
            </w:rPr>
            <w:t xml:space="preserve"> </w:t>
          </w:r>
        </w:p>
        <w:p w14:paraId="6E4A835E" w14:textId="7E7E500E" w:rsidR="008D18D9" w:rsidRPr="00FF027F" w:rsidRDefault="008D18D9" w:rsidP="000D100E">
          <w:pPr>
            <w:pStyle w:val="Heading3"/>
            <w:rPr>
              <w:color w:val="4F81BD" w:themeColor="accent1"/>
            </w:rPr>
          </w:pPr>
          <w:bookmarkStart w:id="52" w:name="_Toc396913764"/>
          <w:r w:rsidRPr="00FF027F">
            <w:rPr>
              <w:color w:val="4F81BD" w:themeColor="accent1"/>
            </w:rPr>
            <w:t>Risks</w:t>
          </w:r>
          <w:bookmarkEnd w:id="52"/>
        </w:p>
        <w:p w14:paraId="5178DE79" w14:textId="6EAA2D70" w:rsidR="009A1821" w:rsidRPr="00FF027F" w:rsidRDefault="00967DBA" w:rsidP="00967DBA">
          <w:pPr>
            <w:spacing w:before="360" w:after="240" w:line="360" w:lineRule="auto"/>
            <w:jc w:val="both"/>
            <w:rPr>
              <w:rFonts w:ascii="Arial" w:hAnsi="Arial" w:cs="Arial"/>
              <w:lang w:val="en-GB"/>
            </w:rPr>
          </w:pPr>
          <w:r w:rsidRPr="00FF027F">
            <w:rPr>
              <w:rFonts w:ascii="Arial" w:hAnsi="Arial" w:cs="Arial"/>
              <w:lang w:val="en-GB"/>
            </w:rPr>
            <w:t>Scarc</w:t>
          </w:r>
          <w:r w:rsidR="00412ED3" w:rsidRPr="00FF027F">
            <w:rPr>
              <w:rFonts w:ascii="Arial" w:hAnsi="Arial" w:cs="Arial"/>
              <w:lang w:val="en-GB"/>
            </w:rPr>
            <w:t xml:space="preserve">e resources, human and financial, in particular </w:t>
          </w:r>
          <w:r w:rsidR="00761A50" w:rsidRPr="00FF027F">
            <w:rPr>
              <w:rFonts w:ascii="Arial" w:hAnsi="Arial" w:cs="Arial"/>
              <w:lang w:val="en-GB"/>
            </w:rPr>
            <w:t>in</w:t>
          </w:r>
          <w:r w:rsidR="000A4FFF" w:rsidRPr="00FF027F">
            <w:rPr>
              <w:rFonts w:ascii="Arial" w:hAnsi="Arial" w:cs="Arial"/>
              <w:lang w:val="en-GB"/>
            </w:rPr>
            <w:t xml:space="preserve"> the</w:t>
          </w:r>
          <w:r w:rsidR="00412ED3" w:rsidRPr="00FF027F">
            <w:rPr>
              <w:rFonts w:ascii="Arial" w:hAnsi="Arial" w:cs="Arial"/>
              <w:lang w:val="en-GB"/>
            </w:rPr>
            <w:t xml:space="preserve"> </w:t>
          </w:r>
          <w:r w:rsidR="00761A50" w:rsidRPr="00FF027F">
            <w:rPr>
              <w:rFonts w:ascii="Arial" w:hAnsi="Arial" w:cs="Arial"/>
              <w:lang w:val="en-GB" w:eastAsia="en-GB"/>
            </w:rPr>
            <w:t>Energy Community</w:t>
          </w:r>
          <w:r w:rsidR="00412ED3" w:rsidRPr="00FF027F">
            <w:rPr>
              <w:rFonts w:ascii="Arial" w:hAnsi="Arial" w:cs="Arial"/>
              <w:lang w:val="en-GB"/>
            </w:rPr>
            <w:t xml:space="preserve"> C</w:t>
          </w:r>
          <w:r w:rsidR="000A4FFF" w:rsidRPr="00FF027F">
            <w:rPr>
              <w:rFonts w:ascii="Arial" w:hAnsi="Arial" w:cs="Arial"/>
              <w:lang w:val="en-GB"/>
            </w:rPr>
            <w:t xml:space="preserve">ontracting </w:t>
          </w:r>
          <w:r w:rsidR="00412ED3" w:rsidRPr="00FF027F">
            <w:rPr>
              <w:rFonts w:ascii="Arial" w:hAnsi="Arial" w:cs="Arial"/>
              <w:lang w:val="en-GB"/>
            </w:rPr>
            <w:t>P</w:t>
          </w:r>
          <w:r w:rsidR="000A4FFF" w:rsidRPr="00FF027F">
            <w:rPr>
              <w:rFonts w:ascii="Arial" w:hAnsi="Arial" w:cs="Arial"/>
              <w:lang w:val="en-GB"/>
            </w:rPr>
            <w:t>arties</w:t>
          </w:r>
          <w:r w:rsidR="00412ED3" w:rsidRPr="00FF027F">
            <w:rPr>
              <w:rFonts w:ascii="Arial" w:hAnsi="Arial" w:cs="Arial"/>
              <w:lang w:val="en-GB"/>
            </w:rPr>
            <w:t xml:space="preserve"> regulatory authorities may strongly limit their cooperation with the Agency, however</w:t>
          </w:r>
          <w:r w:rsidR="000A4FFF" w:rsidRPr="00FF027F">
            <w:rPr>
              <w:rFonts w:ascii="Arial" w:hAnsi="Arial" w:cs="Arial"/>
              <w:lang w:val="en-GB"/>
            </w:rPr>
            <w:t xml:space="preserve"> the</w:t>
          </w:r>
          <w:r w:rsidR="00412ED3" w:rsidRPr="00FF027F">
            <w:rPr>
              <w:rFonts w:ascii="Arial" w:hAnsi="Arial" w:cs="Arial"/>
              <w:lang w:val="en-GB"/>
            </w:rPr>
            <w:t xml:space="preserve"> </w:t>
          </w:r>
          <w:r w:rsidR="00761A50" w:rsidRPr="00FF027F">
            <w:rPr>
              <w:rFonts w:ascii="Arial" w:hAnsi="Arial" w:cs="Arial"/>
              <w:lang w:val="en-GB" w:eastAsia="en-GB"/>
            </w:rPr>
            <w:t>Energy Community</w:t>
          </w:r>
          <w:r w:rsidR="000A4FFF" w:rsidRPr="00FF027F">
            <w:rPr>
              <w:rFonts w:ascii="Arial" w:hAnsi="Arial" w:cs="Arial"/>
              <w:lang w:val="en-GB"/>
            </w:rPr>
            <w:t xml:space="preserve"> Secretariat </w:t>
          </w:r>
          <w:r w:rsidR="00412ED3" w:rsidRPr="00FF027F">
            <w:rPr>
              <w:rFonts w:ascii="Arial" w:hAnsi="Arial" w:cs="Arial"/>
              <w:lang w:val="en-GB"/>
            </w:rPr>
            <w:t>may financially support such cooperation.</w:t>
          </w:r>
        </w:p>
        <w:p w14:paraId="4E63557C" w14:textId="64F0CC78" w:rsidR="001C0255" w:rsidRPr="00FF027F" w:rsidRDefault="001C0255" w:rsidP="001C0255">
          <w:pPr>
            <w:pStyle w:val="Heading2"/>
            <w:rPr>
              <w:lang w:eastAsia="en-GB"/>
            </w:rPr>
          </w:pPr>
          <w:bookmarkStart w:id="53" w:name="_Toc396913765"/>
          <w:r w:rsidRPr="00FF027F">
            <w:rPr>
              <w:lang w:eastAsia="en-GB"/>
            </w:rPr>
            <w:t>Future Challenges, including RES Integration</w:t>
          </w:r>
          <w:bookmarkEnd w:id="53"/>
          <w:r w:rsidRPr="00FF027F">
            <w:rPr>
              <w:lang w:eastAsia="en-GB"/>
            </w:rPr>
            <w:t xml:space="preserve"> </w:t>
          </w:r>
        </w:p>
        <w:p w14:paraId="3CC7AF27" w14:textId="53974BF9" w:rsidR="008D18D9" w:rsidRPr="00FF027F" w:rsidRDefault="008D18D9" w:rsidP="008D18D9">
          <w:pPr>
            <w:pStyle w:val="Heading3"/>
            <w:rPr>
              <w:color w:val="4F81BD" w:themeColor="accent1"/>
              <w:lang w:eastAsia="en-GB"/>
            </w:rPr>
          </w:pPr>
          <w:bookmarkStart w:id="54" w:name="_Toc396913766"/>
          <w:r w:rsidRPr="00FF027F">
            <w:rPr>
              <w:color w:val="4F81BD" w:themeColor="accent1"/>
              <w:lang w:eastAsia="en-GB"/>
            </w:rPr>
            <w:t>Institutional Framework</w:t>
          </w:r>
          <w:bookmarkEnd w:id="54"/>
        </w:p>
        <w:p w14:paraId="6AF9DE76" w14:textId="3AC314B6" w:rsidR="00D32F6C" w:rsidRPr="00FF027F" w:rsidRDefault="00D32F6C" w:rsidP="0097627D">
          <w:pPr>
            <w:spacing w:before="360" w:after="240" w:line="360" w:lineRule="auto"/>
            <w:jc w:val="both"/>
            <w:rPr>
              <w:rFonts w:ascii="Arial" w:hAnsi="Arial" w:cs="Arial"/>
              <w:lang w:val="en-GB" w:eastAsia="en-GB"/>
            </w:rPr>
          </w:pPr>
          <w:r w:rsidRPr="00FF027F">
            <w:rPr>
              <w:rFonts w:ascii="Arial" w:hAnsi="Arial" w:cs="Arial"/>
              <w:lang w:val="en-GB" w:eastAsia="en-GB"/>
            </w:rPr>
            <w:t>The EU Council Conclusions of May 2013 stated that “the deployment of renewable energy sources will continue, while ensuring their cost reflectiveness [and] further market integration</w:t>
          </w:r>
          <w:r w:rsidR="0097627D" w:rsidRPr="00FF027F">
            <w:rPr>
              <w:rFonts w:ascii="Arial" w:hAnsi="Arial" w:cs="Arial"/>
              <w:lang w:val="en-GB" w:eastAsia="en-GB"/>
            </w:rPr>
            <w:t>.</w:t>
          </w:r>
          <w:r w:rsidRPr="00FF027F">
            <w:rPr>
              <w:rFonts w:ascii="Arial" w:hAnsi="Arial" w:cs="Arial"/>
              <w:lang w:val="en-GB" w:eastAsia="en-GB"/>
            </w:rPr>
            <w:t>”</w:t>
          </w:r>
          <w:r w:rsidR="00A70FA6" w:rsidRPr="00FF027F">
            <w:rPr>
              <w:rFonts w:ascii="Arial" w:hAnsi="Arial" w:cs="Arial"/>
              <w:lang w:val="en-GB" w:eastAsia="en-GB"/>
            </w:rPr>
            <w:t xml:space="preserve"> In fact, the </w:t>
          </w:r>
          <w:r w:rsidR="009A186A" w:rsidRPr="00FF027F">
            <w:rPr>
              <w:rFonts w:ascii="Arial" w:hAnsi="Arial" w:cs="Arial"/>
              <w:lang w:val="en-GB" w:eastAsia="en-GB"/>
            </w:rPr>
            <w:t xml:space="preserve">future </w:t>
          </w:r>
          <w:r w:rsidR="00A70FA6" w:rsidRPr="00FF027F">
            <w:rPr>
              <w:rFonts w:ascii="Arial" w:hAnsi="Arial" w:cs="Arial"/>
              <w:lang w:val="en-GB" w:eastAsia="en-GB"/>
            </w:rPr>
            <w:t xml:space="preserve">greater penetration of renewable-based generation into the European electricity system, beyond contributing to the achievement of the EU climate policy goals, will be a source of new challenges facing the electricity and gas systems in the years to come, </w:t>
          </w:r>
          <w:r w:rsidR="009A186A" w:rsidRPr="00FF027F">
            <w:rPr>
              <w:rFonts w:ascii="Arial" w:hAnsi="Arial" w:cs="Arial"/>
              <w:lang w:val="en-GB" w:eastAsia="en-GB"/>
            </w:rPr>
            <w:t xml:space="preserve">including </w:t>
          </w:r>
          <w:r w:rsidR="00A70FA6" w:rsidRPr="00FF027F">
            <w:rPr>
              <w:rFonts w:ascii="Arial" w:hAnsi="Arial" w:cs="Arial"/>
              <w:lang w:val="en-GB" w:eastAsia="en-GB"/>
            </w:rPr>
            <w:t xml:space="preserve">in terms of adequacy and flexibility. </w:t>
          </w:r>
          <w:r w:rsidR="009A186A" w:rsidRPr="00FF027F">
            <w:rPr>
              <w:rFonts w:ascii="Arial" w:hAnsi="Arial" w:cs="Arial"/>
              <w:lang w:val="en-GB" w:eastAsia="en-GB"/>
            </w:rPr>
            <w:t>These</w:t>
          </w:r>
          <w:r w:rsidR="00A70FA6" w:rsidRPr="00FF027F">
            <w:rPr>
              <w:rFonts w:ascii="Arial" w:hAnsi="Arial" w:cs="Arial"/>
              <w:lang w:val="en-GB" w:eastAsia="en-GB"/>
            </w:rPr>
            <w:t xml:space="preserve"> challenge</w:t>
          </w:r>
          <w:r w:rsidR="009A186A" w:rsidRPr="00FF027F">
            <w:rPr>
              <w:rFonts w:ascii="Arial" w:hAnsi="Arial" w:cs="Arial"/>
              <w:lang w:val="en-GB" w:eastAsia="en-GB"/>
            </w:rPr>
            <w:t>s</w:t>
          </w:r>
          <w:r w:rsidR="00A70FA6" w:rsidRPr="00FF027F">
            <w:rPr>
              <w:rFonts w:ascii="Arial" w:hAnsi="Arial" w:cs="Arial"/>
              <w:lang w:val="en-GB" w:eastAsia="en-GB"/>
            </w:rPr>
            <w:t xml:space="preserve"> may require a regulatory and market design response. The A</w:t>
          </w:r>
          <w:r w:rsidR="009A186A" w:rsidRPr="00FF027F">
            <w:rPr>
              <w:rFonts w:ascii="Arial" w:hAnsi="Arial" w:cs="Arial"/>
              <w:lang w:val="en-GB" w:eastAsia="en-GB"/>
            </w:rPr>
            <w:t>gency is committed to contributing</w:t>
          </w:r>
          <w:r w:rsidR="00A70FA6" w:rsidRPr="00FF027F">
            <w:rPr>
              <w:rFonts w:ascii="Arial" w:hAnsi="Arial" w:cs="Arial"/>
              <w:lang w:val="en-GB" w:eastAsia="en-GB"/>
            </w:rPr>
            <w:t xml:space="preserve"> to this effort.</w:t>
          </w:r>
        </w:p>
        <w:p w14:paraId="12198667" w14:textId="1F6085C4" w:rsidR="001C0255" w:rsidRPr="00FF027F" w:rsidRDefault="00717924" w:rsidP="008E2249">
          <w:pPr>
            <w:pStyle w:val="Heading3"/>
            <w:rPr>
              <w:color w:val="4F81BD" w:themeColor="accent1"/>
            </w:rPr>
          </w:pPr>
          <w:r w:rsidRPr="00FF027F" w:rsidDel="00717924">
            <w:rPr>
              <w:color w:val="4F81BD" w:themeColor="accent1"/>
            </w:rPr>
            <w:t xml:space="preserve"> </w:t>
          </w:r>
          <w:bookmarkStart w:id="55" w:name="_Toc396913767"/>
          <w:r w:rsidR="001C0255" w:rsidRPr="00FF027F">
            <w:rPr>
              <w:color w:val="4F81BD" w:themeColor="accent1"/>
            </w:rPr>
            <w:t>“</w:t>
          </w:r>
          <w:r w:rsidR="00C005C3">
            <w:rPr>
              <w:color w:val="4F81BD" w:themeColor="accent1"/>
            </w:rPr>
            <w:t>Energy R</w:t>
          </w:r>
          <w:r w:rsidR="006336F6">
            <w:rPr>
              <w:color w:val="4F81BD" w:themeColor="accent1"/>
            </w:rPr>
            <w:t xml:space="preserve">egulation: A </w:t>
          </w:r>
          <w:r w:rsidR="001C0255" w:rsidRPr="00FF027F">
            <w:rPr>
              <w:color w:val="4F81BD" w:themeColor="accent1"/>
            </w:rPr>
            <w:t>Bridge</w:t>
          </w:r>
          <w:r w:rsidR="000D100E" w:rsidRPr="00FF027F">
            <w:rPr>
              <w:color w:val="4F81BD" w:themeColor="accent1"/>
            </w:rPr>
            <w:t xml:space="preserve"> to 20</w:t>
          </w:r>
          <w:r w:rsidR="00E976E8" w:rsidRPr="00FF027F">
            <w:rPr>
              <w:color w:val="4F81BD" w:themeColor="accent1"/>
            </w:rPr>
            <w:t>2</w:t>
          </w:r>
          <w:r w:rsidR="000D100E" w:rsidRPr="00FF027F">
            <w:rPr>
              <w:color w:val="4F81BD" w:themeColor="accent1"/>
            </w:rPr>
            <w:t>5</w:t>
          </w:r>
          <w:r w:rsidR="001C0255" w:rsidRPr="00FF027F">
            <w:rPr>
              <w:color w:val="4F81BD" w:themeColor="accent1"/>
            </w:rPr>
            <w:t>” Implementation</w:t>
          </w:r>
          <w:bookmarkEnd w:id="55"/>
        </w:p>
        <w:p w14:paraId="5BA9535E" w14:textId="6E149178" w:rsidR="00E976E8" w:rsidRPr="00FF027F" w:rsidRDefault="00E976E8" w:rsidP="000A4FFF">
          <w:pPr>
            <w:spacing w:before="360" w:after="240" w:line="360" w:lineRule="auto"/>
            <w:jc w:val="both"/>
            <w:rPr>
              <w:rFonts w:ascii="Arial" w:hAnsi="Arial" w:cs="Arial"/>
              <w:lang w:val="en-GB"/>
            </w:rPr>
          </w:pPr>
          <w:r w:rsidRPr="00FF027F">
            <w:rPr>
              <w:rFonts w:ascii="Arial" w:hAnsi="Arial" w:cs="Arial"/>
              <w:lang w:val="en-GB"/>
            </w:rPr>
            <w:t>The ‘</w:t>
          </w:r>
          <w:r w:rsidR="006336F6">
            <w:rPr>
              <w:rFonts w:ascii="Arial" w:hAnsi="Arial" w:cs="Arial"/>
              <w:lang w:val="en-GB"/>
            </w:rPr>
            <w:t xml:space="preserve">Energy Regulation: A </w:t>
          </w:r>
          <w:r w:rsidRPr="00FF027F">
            <w:rPr>
              <w:rFonts w:ascii="Arial" w:hAnsi="Arial" w:cs="Arial"/>
              <w:lang w:val="en-GB"/>
            </w:rPr>
            <w:t xml:space="preserve">Bridge to 2025’ is a </w:t>
          </w:r>
          <w:r w:rsidR="008E2249" w:rsidRPr="00FF027F">
            <w:rPr>
              <w:rFonts w:ascii="Arial" w:hAnsi="Arial" w:cs="Arial"/>
              <w:lang w:val="en-GB"/>
            </w:rPr>
            <w:t xml:space="preserve">forward-looking </w:t>
          </w:r>
          <w:r w:rsidR="00761A50" w:rsidRPr="00FF027F">
            <w:rPr>
              <w:rFonts w:ascii="Arial" w:hAnsi="Arial" w:cs="Arial"/>
              <w:lang w:val="en-GB"/>
            </w:rPr>
            <w:t xml:space="preserve">Agency </w:t>
          </w:r>
          <w:r w:rsidRPr="00FF027F">
            <w:rPr>
              <w:rFonts w:ascii="Arial" w:hAnsi="Arial" w:cs="Arial"/>
              <w:lang w:val="en-GB"/>
            </w:rPr>
            <w:t>paper, under development</w:t>
          </w:r>
          <w:r w:rsidR="00030A38" w:rsidRPr="00FF027F">
            <w:rPr>
              <w:rFonts w:ascii="Arial" w:hAnsi="Arial" w:cs="Arial"/>
              <w:lang w:val="en-GB"/>
            </w:rPr>
            <w:t xml:space="preserve"> at the time of drafting of the 2015 AWP</w:t>
          </w:r>
          <w:r w:rsidR="009A186A" w:rsidRPr="00FF027F">
            <w:rPr>
              <w:rFonts w:ascii="Arial" w:hAnsi="Arial" w:cs="Arial"/>
              <w:lang w:val="en-GB"/>
            </w:rPr>
            <w:t>.</w:t>
          </w:r>
          <w:r w:rsidRPr="00FF027F">
            <w:rPr>
              <w:rFonts w:ascii="Arial" w:hAnsi="Arial" w:cs="Arial"/>
              <w:lang w:val="en-GB"/>
            </w:rPr>
            <w:t xml:space="preserve"> </w:t>
          </w:r>
          <w:r w:rsidR="00761A50" w:rsidRPr="00FF027F">
            <w:rPr>
              <w:rFonts w:ascii="Arial" w:hAnsi="Arial" w:cs="Arial"/>
              <w:lang w:val="en-GB"/>
            </w:rPr>
            <w:t>Its publication is expected in September 2014.</w:t>
          </w:r>
          <w:r w:rsidRPr="00FF027F">
            <w:rPr>
              <w:rFonts w:ascii="Arial" w:hAnsi="Arial" w:cs="Arial"/>
              <w:lang w:val="en-GB"/>
            </w:rPr>
            <w:t xml:space="preserve"> </w:t>
          </w:r>
          <w:r w:rsidR="00761A50" w:rsidRPr="00FF027F">
            <w:rPr>
              <w:rFonts w:ascii="Arial" w:hAnsi="Arial" w:cs="Arial"/>
              <w:lang w:val="en-GB"/>
            </w:rPr>
            <w:t>I</w:t>
          </w:r>
          <w:r w:rsidRPr="00FF027F">
            <w:rPr>
              <w:rFonts w:ascii="Arial" w:hAnsi="Arial" w:cs="Arial"/>
              <w:lang w:val="en-GB"/>
            </w:rPr>
            <w:t xml:space="preserve">t </w:t>
          </w:r>
          <w:r w:rsidR="00761A50" w:rsidRPr="00FF027F">
            <w:rPr>
              <w:rFonts w:ascii="Arial" w:hAnsi="Arial" w:cs="Arial"/>
              <w:lang w:val="en-GB"/>
            </w:rPr>
            <w:t xml:space="preserve">aims at identifying the main trends which will characterise the energy sector over the next ten years, at assessing their regulatory implications, so that the </w:t>
          </w:r>
          <w:r w:rsidRPr="00FF027F">
            <w:rPr>
              <w:rFonts w:ascii="Arial" w:hAnsi="Arial" w:cs="Arial"/>
              <w:lang w:val="en-GB"/>
            </w:rPr>
            <w:t xml:space="preserve">Agency and NRAs </w:t>
          </w:r>
          <w:r w:rsidR="00761A50" w:rsidRPr="00FF027F">
            <w:rPr>
              <w:rFonts w:ascii="Arial" w:hAnsi="Arial" w:cs="Arial"/>
              <w:lang w:val="en-GB"/>
            </w:rPr>
            <w:t>can developed a regulatory response which is fit for the purpose</w:t>
          </w:r>
          <w:r w:rsidRPr="00FF027F">
            <w:rPr>
              <w:rFonts w:ascii="Arial" w:hAnsi="Arial" w:cs="Arial"/>
              <w:lang w:val="en-GB"/>
            </w:rPr>
            <w:t>.</w:t>
          </w:r>
        </w:p>
        <w:p w14:paraId="6D5DFAB6" w14:textId="7845D11E" w:rsidR="001C0255" w:rsidRPr="00FF027F" w:rsidRDefault="001C0255" w:rsidP="008D18D9">
          <w:pPr>
            <w:pStyle w:val="Heading3"/>
            <w:rPr>
              <w:color w:val="4F81BD" w:themeColor="accent1"/>
              <w:lang w:eastAsia="en-GB"/>
            </w:rPr>
          </w:pPr>
          <w:bookmarkStart w:id="56" w:name="_Toc396913768"/>
          <w:r w:rsidRPr="00FF027F">
            <w:rPr>
              <w:color w:val="4F81BD" w:themeColor="accent1"/>
              <w:lang w:eastAsia="en-GB"/>
            </w:rPr>
            <w:t>Review of the Electricity and Gas Target Models</w:t>
          </w:r>
          <w:bookmarkEnd w:id="56"/>
        </w:p>
        <w:p w14:paraId="7F5BD940" w14:textId="4EFC0AA4" w:rsidR="00E976E8" w:rsidRPr="00FF027F" w:rsidRDefault="00E976E8" w:rsidP="000A4FFF">
          <w:pPr>
            <w:spacing w:before="360" w:after="240" w:line="360" w:lineRule="auto"/>
            <w:jc w:val="both"/>
            <w:rPr>
              <w:rFonts w:ascii="Arial" w:hAnsi="Arial" w:cs="Arial"/>
              <w:lang w:val="en-GB"/>
            </w:rPr>
          </w:pPr>
          <w:r w:rsidRPr="00FF027F">
            <w:rPr>
              <w:rFonts w:ascii="Arial" w:hAnsi="Arial" w:cs="Arial"/>
              <w:lang w:val="en-GB"/>
            </w:rPr>
            <w:t>The</w:t>
          </w:r>
          <w:r w:rsidR="00761A50" w:rsidRPr="00FF027F">
            <w:rPr>
              <w:rFonts w:ascii="Arial" w:hAnsi="Arial" w:cs="Arial"/>
              <w:lang w:val="en-GB"/>
            </w:rPr>
            <w:t xml:space="preserve"> review </w:t>
          </w:r>
          <w:r w:rsidRPr="00FF027F">
            <w:rPr>
              <w:rFonts w:ascii="Arial" w:hAnsi="Arial" w:cs="Arial"/>
              <w:lang w:val="en-GB"/>
            </w:rPr>
            <w:t>of the Gas Target Model</w:t>
          </w:r>
          <w:r w:rsidR="00030A38" w:rsidRPr="00FF027F">
            <w:rPr>
              <w:rFonts w:ascii="Arial" w:hAnsi="Arial" w:cs="Arial"/>
              <w:lang w:val="en-GB"/>
            </w:rPr>
            <w:t>,</w:t>
          </w:r>
          <w:r w:rsidRPr="00FF027F">
            <w:rPr>
              <w:rFonts w:ascii="Arial" w:hAnsi="Arial" w:cs="Arial"/>
              <w:lang w:val="en-GB"/>
            </w:rPr>
            <w:t xml:space="preserve"> </w:t>
          </w:r>
          <w:r w:rsidR="00030A38" w:rsidRPr="00FF027F">
            <w:rPr>
              <w:rFonts w:ascii="Arial" w:hAnsi="Arial" w:cs="Arial"/>
              <w:lang w:val="en-GB"/>
            </w:rPr>
            <w:t xml:space="preserve">foreseen </w:t>
          </w:r>
          <w:r w:rsidRPr="00FF027F">
            <w:rPr>
              <w:rFonts w:ascii="Arial" w:hAnsi="Arial" w:cs="Arial"/>
              <w:lang w:val="en-GB"/>
            </w:rPr>
            <w:t>in the period 2013 – 2014</w:t>
          </w:r>
          <w:r w:rsidR="00030A38" w:rsidRPr="00FF027F">
            <w:rPr>
              <w:rFonts w:ascii="Arial" w:hAnsi="Arial" w:cs="Arial"/>
              <w:lang w:val="en-GB"/>
            </w:rPr>
            <w:t>, was yet to be completed at the time of drafting of the 2015 AWP</w:t>
          </w:r>
          <w:r w:rsidRPr="00FF027F">
            <w:rPr>
              <w:rFonts w:ascii="Arial" w:hAnsi="Arial" w:cs="Arial"/>
              <w:lang w:val="en-GB"/>
            </w:rPr>
            <w:t xml:space="preserve">. It was initiated </w:t>
          </w:r>
          <w:r w:rsidR="00030A38" w:rsidRPr="00FF027F">
            <w:rPr>
              <w:rFonts w:ascii="Arial" w:hAnsi="Arial" w:cs="Arial"/>
              <w:lang w:val="en-GB"/>
            </w:rPr>
            <w:t>due to</w:t>
          </w:r>
          <w:r w:rsidRPr="00FF027F">
            <w:rPr>
              <w:rFonts w:ascii="Arial" w:hAnsi="Arial" w:cs="Arial"/>
              <w:lang w:val="en-GB"/>
            </w:rPr>
            <w:t xml:space="preserve"> a number of previously unforeseen market and political developments, which have a significant impact on the functioning of the European gas market. Once the </w:t>
          </w:r>
          <w:r w:rsidR="00761A50" w:rsidRPr="00FF027F">
            <w:rPr>
              <w:rFonts w:ascii="Arial" w:hAnsi="Arial" w:cs="Arial"/>
              <w:lang w:val="en-GB"/>
            </w:rPr>
            <w:t xml:space="preserve">review </w:t>
          </w:r>
          <w:r w:rsidRPr="00FF027F">
            <w:rPr>
              <w:rFonts w:ascii="Arial" w:hAnsi="Arial" w:cs="Arial"/>
              <w:lang w:val="en-GB"/>
            </w:rPr>
            <w:t xml:space="preserve">is </w:t>
          </w:r>
          <w:r w:rsidR="00761A50" w:rsidRPr="00FF027F">
            <w:rPr>
              <w:rFonts w:ascii="Arial" w:hAnsi="Arial" w:cs="Arial"/>
              <w:lang w:val="en-GB"/>
            </w:rPr>
            <w:t>completed</w:t>
          </w:r>
          <w:r w:rsidRPr="00FF027F">
            <w:rPr>
              <w:rFonts w:ascii="Arial" w:hAnsi="Arial" w:cs="Arial"/>
              <w:lang w:val="en-GB"/>
            </w:rPr>
            <w:t xml:space="preserve">, it should act as the joint vision </w:t>
          </w:r>
          <w:r w:rsidR="00761A50" w:rsidRPr="00FF027F">
            <w:rPr>
              <w:rFonts w:ascii="Arial" w:hAnsi="Arial" w:cs="Arial"/>
              <w:lang w:val="en-GB"/>
            </w:rPr>
            <w:t xml:space="preserve">of the Agency </w:t>
          </w:r>
          <w:r w:rsidRPr="00FF027F">
            <w:rPr>
              <w:rFonts w:ascii="Arial" w:hAnsi="Arial" w:cs="Arial"/>
              <w:lang w:val="en-GB"/>
            </w:rPr>
            <w:t xml:space="preserve">and NRA’s for the mid-term European gas market. </w:t>
          </w:r>
          <w:r w:rsidR="00030A38" w:rsidRPr="00FF027F">
            <w:rPr>
              <w:rFonts w:ascii="Arial" w:hAnsi="Arial" w:cs="Arial"/>
              <w:lang w:val="en-GB"/>
            </w:rPr>
            <w:t>It includes the following t</w:t>
          </w:r>
          <w:r w:rsidRPr="00FF027F">
            <w:rPr>
              <w:rFonts w:ascii="Arial" w:hAnsi="Arial" w:cs="Arial"/>
              <w:lang w:val="en-GB"/>
            </w:rPr>
            <w:t>opics</w:t>
          </w:r>
          <w:r w:rsidR="00030A38" w:rsidRPr="00FF027F">
            <w:rPr>
              <w:rFonts w:ascii="Arial" w:hAnsi="Arial" w:cs="Arial"/>
              <w:lang w:val="en-GB"/>
            </w:rPr>
            <w:t>:</w:t>
          </w:r>
          <w:r w:rsidRPr="00FF027F">
            <w:rPr>
              <w:rFonts w:ascii="Arial" w:hAnsi="Arial" w:cs="Arial"/>
              <w:lang w:val="en-GB"/>
            </w:rPr>
            <w:t xml:space="preserve"> properly linking gas and electricity market arrangements, updating the indicators for functioning wholesale markets and the implications of the use of gas in the transportation sector.</w:t>
          </w:r>
        </w:p>
        <w:p w14:paraId="59B937DC" w14:textId="476A94B5" w:rsidR="008D18D9" w:rsidRPr="00FF027F" w:rsidRDefault="00911EC3" w:rsidP="008D18D9">
          <w:pPr>
            <w:pStyle w:val="Heading3"/>
            <w:rPr>
              <w:color w:val="4F81BD" w:themeColor="accent1"/>
              <w:lang w:eastAsia="en-GB"/>
            </w:rPr>
          </w:pPr>
          <w:bookmarkStart w:id="57" w:name="_Toc396913769"/>
          <w:r w:rsidRPr="00FF027F">
            <w:rPr>
              <w:color w:val="4F81BD" w:themeColor="accent1"/>
              <w:lang w:eastAsia="en-GB"/>
            </w:rPr>
            <w:t>Future challenges - m</w:t>
          </w:r>
          <w:r w:rsidR="008D18D9" w:rsidRPr="00FF027F">
            <w:rPr>
              <w:color w:val="4F81BD" w:themeColor="accent1"/>
              <w:lang w:eastAsia="en-GB"/>
            </w:rPr>
            <w:t>ultiannual objectives and expected achievements</w:t>
          </w:r>
          <w:bookmarkEnd w:id="57"/>
        </w:p>
        <w:p w14:paraId="68A297A7" w14:textId="1C2472F1" w:rsidR="00C55526" w:rsidRPr="00FF027F" w:rsidRDefault="00A70FA6" w:rsidP="00C55526">
          <w:pPr>
            <w:spacing w:before="360" w:after="240" w:line="360" w:lineRule="auto"/>
            <w:jc w:val="both"/>
            <w:rPr>
              <w:rFonts w:ascii="Arial" w:hAnsi="Arial" w:cs="Arial"/>
              <w:lang w:val="en-GB"/>
            </w:rPr>
          </w:pPr>
          <w:r w:rsidRPr="00FF027F">
            <w:rPr>
              <w:rFonts w:ascii="Arial" w:hAnsi="Arial" w:cs="Arial"/>
              <w:lang w:val="en-GB"/>
            </w:rPr>
            <w:t xml:space="preserve">The </w:t>
          </w:r>
          <w:r w:rsidR="00C005C3">
            <w:rPr>
              <w:rFonts w:ascii="Arial" w:hAnsi="Arial" w:cs="Arial"/>
              <w:lang w:val="en-GB"/>
            </w:rPr>
            <w:t xml:space="preserve">Paper </w:t>
          </w:r>
          <w:r w:rsidRPr="00FF027F">
            <w:rPr>
              <w:rFonts w:ascii="Arial" w:hAnsi="Arial" w:cs="Arial"/>
              <w:lang w:val="en-GB"/>
            </w:rPr>
            <w:t>“</w:t>
          </w:r>
          <w:r w:rsidR="00C005C3">
            <w:rPr>
              <w:rFonts w:ascii="Arial" w:hAnsi="Arial" w:cs="Arial"/>
              <w:lang w:val="en-GB"/>
            </w:rPr>
            <w:t xml:space="preserve">Energy Regulation: A </w:t>
          </w:r>
          <w:r w:rsidRPr="00FF027F">
            <w:rPr>
              <w:rFonts w:ascii="Arial" w:hAnsi="Arial" w:cs="Arial"/>
              <w:lang w:val="en-GB"/>
            </w:rPr>
            <w:t>Bridge to 2025” will produce a set of conclusion</w:t>
          </w:r>
          <w:r w:rsidR="009A186A" w:rsidRPr="00FF027F">
            <w:rPr>
              <w:rFonts w:ascii="Arial" w:hAnsi="Arial" w:cs="Arial"/>
              <w:lang w:val="en-GB"/>
            </w:rPr>
            <w:t>s</w:t>
          </w:r>
          <w:r w:rsidRPr="00FF027F">
            <w:rPr>
              <w:rFonts w:ascii="Arial" w:hAnsi="Arial" w:cs="Arial"/>
              <w:lang w:val="en-GB"/>
            </w:rPr>
            <w:t xml:space="preserve"> and recommendation</w:t>
          </w:r>
          <w:r w:rsidR="009A186A" w:rsidRPr="00FF027F">
            <w:rPr>
              <w:rFonts w:ascii="Arial" w:hAnsi="Arial" w:cs="Arial"/>
              <w:lang w:val="en-GB"/>
            </w:rPr>
            <w:t>s</w:t>
          </w:r>
          <w:r w:rsidRPr="00FF027F">
            <w:rPr>
              <w:rFonts w:ascii="Arial" w:hAnsi="Arial" w:cs="Arial"/>
              <w:lang w:val="en-GB"/>
            </w:rPr>
            <w:t xml:space="preserve">, including for regulatory action. It is likely that some of the proposed activities will </w:t>
          </w:r>
          <w:r w:rsidR="009A186A" w:rsidRPr="00FF027F">
            <w:rPr>
              <w:rFonts w:ascii="Arial" w:hAnsi="Arial" w:cs="Arial"/>
              <w:lang w:val="en-GB"/>
            </w:rPr>
            <w:t>f</w:t>
          </w:r>
          <w:r w:rsidRPr="00FF027F">
            <w:rPr>
              <w:rFonts w:ascii="Arial" w:hAnsi="Arial" w:cs="Arial"/>
              <w:lang w:val="en-GB"/>
            </w:rPr>
            <w:t xml:space="preserve">all under </w:t>
          </w:r>
          <w:r w:rsidR="009A186A" w:rsidRPr="00FF027F">
            <w:rPr>
              <w:rFonts w:ascii="Arial" w:hAnsi="Arial" w:cs="Arial"/>
              <w:lang w:val="en-GB"/>
            </w:rPr>
            <w:t>t</w:t>
          </w:r>
          <w:r w:rsidRPr="00FF027F">
            <w:rPr>
              <w:rFonts w:ascii="Arial" w:hAnsi="Arial" w:cs="Arial"/>
              <w:lang w:val="en-GB"/>
            </w:rPr>
            <w:t xml:space="preserve">he remit of the Agency. The most </w:t>
          </w:r>
          <w:r w:rsidR="005654DF" w:rsidRPr="00FF027F">
            <w:rPr>
              <w:rFonts w:ascii="Arial" w:hAnsi="Arial" w:cs="Arial"/>
              <w:lang w:val="en-GB"/>
            </w:rPr>
            <w:t>i</w:t>
          </w:r>
          <w:r w:rsidRPr="00FF027F">
            <w:rPr>
              <w:rFonts w:ascii="Arial" w:hAnsi="Arial" w:cs="Arial"/>
              <w:lang w:val="en-GB"/>
            </w:rPr>
            <w:t>mmediate objective for the Agenc</w:t>
          </w:r>
          <w:r w:rsidR="005654DF" w:rsidRPr="00FF027F">
            <w:rPr>
              <w:rFonts w:ascii="Arial" w:hAnsi="Arial" w:cs="Arial"/>
              <w:lang w:val="en-GB"/>
            </w:rPr>
            <w:t>y will</w:t>
          </w:r>
          <w:r w:rsidRPr="00FF027F">
            <w:rPr>
              <w:rFonts w:ascii="Arial" w:hAnsi="Arial" w:cs="Arial"/>
              <w:lang w:val="en-GB"/>
            </w:rPr>
            <w:t xml:space="preserve"> be therefore to develop a structured approach to these activities and a (multi-annual) plan for their implementation, involving and agreeing it with other institutions and actors – and consulting stakeholders - as appropriate.</w:t>
          </w:r>
        </w:p>
        <w:p w14:paraId="78821283" w14:textId="71EDEEBD" w:rsidR="00A70FA6" w:rsidRPr="00FF027F" w:rsidRDefault="00A70FA6" w:rsidP="00C55526">
          <w:pPr>
            <w:spacing w:before="360" w:after="240" w:line="360" w:lineRule="auto"/>
            <w:jc w:val="both"/>
            <w:rPr>
              <w:rFonts w:ascii="Arial" w:hAnsi="Arial" w:cs="Arial"/>
              <w:lang w:val="en-GB"/>
            </w:rPr>
          </w:pPr>
          <w:r w:rsidRPr="00FF027F">
            <w:rPr>
              <w:rFonts w:ascii="Arial" w:hAnsi="Arial" w:cs="Arial"/>
              <w:lang w:val="en-GB"/>
            </w:rPr>
            <w:t>Once this planning stage is completed, the Agency wil</w:t>
          </w:r>
          <w:r w:rsidR="009A186A" w:rsidRPr="00FF027F">
            <w:rPr>
              <w:rFonts w:ascii="Arial" w:hAnsi="Arial" w:cs="Arial"/>
              <w:lang w:val="en-GB"/>
            </w:rPr>
            <w:t>l</w:t>
          </w:r>
          <w:r w:rsidRPr="00FF027F">
            <w:rPr>
              <w:rFonts w:ascii="Arial" w:hAnsi="Arial" w:cs="Arial"/>
              <w:lang w:val="en-GB"/>
            </w:rPr>
            <w:t xml:space="preserve"> have to include the identified actions in its annual Work Pr</w:t>
          </w:r>
          <w:r w:rsidR="009A186A" w:rsidRPr="00FF027F">
            <w:rPr>
              <w:rFonts w:ascii="Arial" w:hAnsi="Arial" w:cs="Arial"/>
              <w:lang w:val="en-GB"/>
            </w:rPr>
            <w:t>o</w:t>
          </w:r>
          <w:r w:rsidRPr="00FF027F">
            <w:rPr>
              <w:rFonts w:ascii="Arial" w:hAnsi="Arial" w:cs="Arial"/>
              <w:lang w:val="en-GB"/>
            </w:rPr>
            <w:t>gramme a</w:t>
          </w:r>
          <w:r w:rsidR="009A186A" w:rsidRPr="00FF027F">
            <w:rPr>
              <w:rFonts w:ascii="Arial" w:hAnsi="Arial" w:cs="Arial"/>
              <w:lang w:val="en-GB"/>
            </w:rPr>
            <w:t>n</w:t>
          </w:r>
          <w:r w:rsidRPr="00FF027F">
            <w:rPr>
              <w:rFonts w:ascii="Arial" w:hAnsi="Arial" w:cs="Arial"/>
              <w:lang w:val="en-GB"/>
            </w:rPr>
            <w:t>d implement them according to the defined calendar.</w:t>
          </w:r>
        </w:p>
        <w:p w14:paraId="728B9D10" w14:textId="2C8FEFCE" w:rsidR="008D18D9" w:rsidRPr="00FF027F" w:rsidRDefault="008D18D9" w:rsidP="008D18D9">
          <w:pPr>
            <w:pStyle w:val="Heading3"/>
            <w:rPr>
              <w:color w:val="4F81BD" w:themeColor="accent1"/>
              <w:lang w:eastAsia="en-GB"/>
            </w:rPr>
          </w:pPr>
          <w:bookmarkStart w:id="58" w:name="_Toc396913770"/>
          <w:r w:rsidRPr="00FF027F">
            <w:rPr>
              <w:color w:val="4F81BD" w:themeColor="accent1"/>
              <w:lang w:eastAsia="en-GB"/>
            </w:rPr>
            <w:t>Risks</w:t>
          </w:r>
          <w:bookmarkEnd w:id="58"/>
        </w:p>
        <w:p w14:paraId="587B4D21" w14:textId="56465908" w:rsidR="00E976E8" w:rsidRPr="00FF027F" w:rsidRDefault="00E976E8" w:rsidP="000A4FFF">
          <w:pPr>
            <w:spacing w:before="360" w:after="240" w:line="360" w:lineRule="auto"/>
            <w:jc w:val="both"/>
            <w:rPr>
              <w:rFonts w:ascii="Arial" w:hAnsi="Arial" w:cs="Arial"/>
              <w:lang w:val="en-GB"/>
            </w:rPr>
          </w:pPr>
          <w:r w:rsidRPr="00FF027F">
            <w:rPr>
              <w:rFonts w:ascii="Arial" w:hAnsi="Arial" w:cs="Arial"/>
              <w:lang w:val="en-GB"/>
            </w:rPr>
            <w:t xml:space="preserve">Since a number of these activities </w:t>
          </w:r>
          <w:r w:rsidR="00A70FA6" w:rsidRPr="00FF027F">
            <w:rPr>
              <w:rFonts w:ascii="Arial" w:hAnsi="Arial" w:cs="Arial"/>
              <w:lang w:val="en-GB"/>
            </w:rPr>
            <w:t xml:space="preserve">may have to be implemented before </w:t>
          </w:r>
          <w:r w:rsidR="009A186A" w:rsidRPr="00FF027F">
            <w:rPr>
              <w:rFonts w:ascii="Arial" w:hAnsi="Arial" w:cs="Arial"/>
              <w:lang w:val="en-GB"/>
            </w:rPr>
            <w:t>t</w:t>
          </w:r>
          <w:r w:rsidR="00A70FA6" w:rsidRPr="00FF027F">
            <w:rPr>
              <w:rFonts w:ascii="Arial" w:hAnsi="Arial" w:cs="Arial"/>
              <w:lang w:val="en-GB"/>
            </w:rPr>
            <w:t xml:space="preserve">hey can be enshrined in regulations, </w:t>
          </w:r>
          <w:r w:rsidR="009A186A" w:rsidRPr="00FF027F">
            <w:rPr>
              <w:rFonts w:ascii="Arial" w:hAnsi="Arial" w:cs="Arial"/>
              <w:lang w:val="en-GB"/>
            </w:rPr>
            <w:t xml:space="preserve">in order to address the identified challenges in a timely manner, </w:t>
          </w:r>
          <w:r w:rsidRPr="00FF027F">
            <w:rPr>
              <w:rFonts w:ascii="Arial" w:hAnsi="Arial" w:cs="Arial"/>
              <w:lang w:val="en-GB"/>
            </w:rPr>
            <w:t xml:space="preserve">the main risk to </w:t>
          </w:r>
          <w:r w:rsidR="00A17A04" w:rsidRPr="00FF027F">
            <w:rPr>
              <w:rFonts w:ascii="Arial" w:hAnsi="Arial" w:cs="Arial"/>
              <w:lang w:val="en-GB"/>
            </w:rPr>
            <w:t>their</w:t>
          </w:r>
          <w:r w:rsidR="00A70FA6" w:rsidRPr="00FF027F">
            <w:rPr>
              <w:rFonts w:ascii="Arial" w:hAnsi="Arial" w:cs="Arial"/>
              <w:lang w:val="en-GB"/>
            </w:rPr>
            <w:t xml:space="preserve"> </w:t>
          </w:r>
          <w:r w:rsidRPr="00FF027F">
            <w:rPr>
              <w:rFonts w:ascii="Arial" w:hAnsi="Arial" w:cs="Arial"/>
              <w:lang w:val="en-GB"/>
            </w:rPr>
            <w:t xml:space="preserve">implementation </w:t>
          </w:r>
          <w:r w:rsidR="00A17A04" w:rsidRPr="00FF027F">
            <w:rPr>
              <w:rFonts w:ascii="Arial" w:hAnsi="Arial" w:cs="Arial"/>
              <w:lang w:val="en-GB"/>
            </w:rPr>
            <w:t xml:space="preserve">is related to </w:t>
          </w:r>
          <w:r w:rsidR="00A70FA6" w:rsidRPr="00FF027F">
            <w:rPr>
              <w:rFonts w:ascii="Arial" w:hAnsi="Arial" w:cs="Arial"/>
              <w:lang w:val="en-GB"/>
            </w:rPr>
            <w:t xml:space="preserve">the </w:t>
          </w:r>
          <w:r w:rsidRPr="00FF027F">
            <w:rPr>
              <w:rFonts w:ascii="Arial" w:hAnsi="Arial" w:cs="Arial"/>
              <w:lang w:val="en-GB"/>
            </w:rPr>
            <w:t>limited (human) resources</w:t>
          </w:r>
          <w:r w:rsidR="00A70FA6" w:rsidRPr="00FF027F">
            <w:rPr>
              <w:rFonts w:ascii="Arial" w:hAnsi="Arial" w:cs="Arial"/>
              <w:lang w:val="en-GB"/>
            </w:rPr>
            <w:t xml:space="preserve"> available to the Agency and other relevant institutions (e.g. NRAs)</w:t>
          </w:r>
          <w:r w:rsidRPr="00FF027F">
            <w:rPr>
              <w:rFonts w:ascii="Arial" w:hAnsi="Arial" w:cs="Arial"/>
              <w:lang w:val="en-GB"/>
            </w:rPr>
            <w:t xml:space="preserve">. </w:t>
          </w:r>
          <w:r w:rsidR="00A70FA6" w:rsidRPr="00FF027F">
            <w:rPr>
              <w:rFonts w:ascii="Arial" w:hAnsi="Arial" w:cs="Arial"/>
              <w:lang w:val="en-GB"/>
            </w:rPr>
            <w:t>However, even once or where the actions are mandated by binding rules, the limited resources may still pose a risk in terms of timely and effective implementation. A delay in regulatory action to respond to the identified challenges may lead not only to a less efficient energy sector, but also possibly jeopardise the secure operation</w:t>
          </w:r>
          <w:r w:rsidR="009A186A" w:rsidRPr="00FF027F">
            <w:rPr>
              <w:rFonts w:ascii="Arial" w:hAnsi="Arial" w:cs="Arial"/>
              <w:lang w:val="en-GB"/>
            </w:rPr>
            <w:t xml:space="preserve"> of the energy systems</w:t>
          </w:r>
          <w:r w:rsidR="00A17A04" w:rsidRPr="00FF027F">
            <w:rPr>
              <w:rFonts w:ascii="Arial" w:hAnsi="Arial" w:cs="Arial"/>
              <w:lang w:val="en-GB"/>
            </w:rPr>
            <w:t xml:space="preserve">. </w:t>
          </w:r>
          <w:r w:rsidR="00030A38" w:rsidRPr="00FF027F">
            <w:rPr>
              <w:rFonts w:ascii="Arial" w:hAnsi="Arial" w:cs="Arial"/>
              <w:lang w:val="en-GB"/>
            </w:rPr>
            <w:t xml:space="preserve"> </w:t>
          </w:r>
        </w:p>
        <w:p w14:paraId="2A65F500" w14:textId="34941F3E" w:rsidR="00A626B4" w:rsidRPr="00FF027F" w:rsidRDefault="00CF09CB" w:rsidP="00CF09CB">
          <w:pPr>
            <w:pStyle w:val="Heading1"/>
            <w:rPr>
              <w:rFonts w:eastAsia="Verdana"/>
              <w:color w:val="FF0000"/>
            </w:rPr>
          </w:pPr>
          <w:bookmarkStart w:id="59" w:name="_Toc396913771"/>
          <w:r w:rsidRPr="00FF027F">
            <w:rPr>
              <w:rFonts w:eastAsia="Verdana"/>
            </w:rPr>
            <w:lastRenderedPageBreak/>
            <w:t>Human and financial resource</w:t>
          </w:r>
          <w:r w:rsidR="00362EA6" w:rsidRPr="00FF027F">
            <w:rPr>
              <w:rFonts w:eastAsia="Verdana"/>
            </w:rPr>
            <w:t>S</w:t>
          </w:r>
          <w:r w:rsidR="00D66E9B" w:rsidRPr="00FF027F">
            <w:rPr>
              <w:rFonts w:eastAsia="Verdana"/>
            </w:rPr>
            <w:t xml:space="preserve"> </w:t>
          </w:r>
          <w:r w:rsidRPr="00FF027F">
            <w:rPr>
              <w:rFonts w:eastAsia="Verdana"/>
            </w:rPr>
            <w:t>outlook</w:t>
          </w:r>
          <w:bookmarkEnd w:id="59"/>
          <w:r w:rsidRPr="00FF027F">
            <w:rPr>
              <w:rFonts w:eastAsia="Verdana"/>
            </w:rPr>
            <w:t xml:space="preserve"> </w:t>
          </w:r>
        </w:p>
        <w:p w14:paraId="2474D9A4" w14:textId="77777777" w:rsidR="00A626B4" w:rsidRPr="00FF027F" w:rsidRDefault="00E877A9" w:rsidP="00E877A9">
          <w:pPr>
            <w:pStyle w:val="Heading2"/>
            <w:rPr>
              <w:color w:val="FF0000"/>
            </w:rPr>
          </w:pPr>
          <w:bookmarkStart w:id="60" w:name="_Toc396913772"/>
          <w:bookmarkStart w:id="61" w:name="_Toc358640710"/>
          <w:bookmarkStart w:id="62" w:name="_Toc358640923"/>
          <w:r w:rsidRPr="00FF027F">
            <w:t>Overview of the past and current situation</w:t>
          </w:r>
          <w:bookmarkEnd w:id="60"/>
          <w:r w:rsidR="004C3C5A" w:rsidRPr="00FF027F">
            <w:t xml:space="preserve"> </w:t>
          </w:r>
        </w:p>
        <w:p w14:paraId="6E76F043" w14:textId="0571AD4E" w:rsidR="00CD7548" w:rsidRPr="00FF027F" w:rsidRDefault="004463BD" w:rsidP="00EC6A0D">
          <w:pPr>
            <w:spacing w:before="360" w:after="240" w:line="360" w:lineRule="auto"/>
            <w:jc w:val="both"/>
            <w:rPr>
              <w:rFonts w:ascii="Arial" w:hAnsi="Arial" w:cs="Arial"/>
              <w:lang w:val="en-GB"/>
            </w:rPr>
          </w:pPr>
          <w:r w:rsidRPr="00FF027F">
            <w:rPr>
              <w:rFonts w:ascii="Arial" w:hAnsi="Arial" w:cs="Arial"/>
              <w:lang w:val="en-GB"/>
            </w:rPr>
            <w:t>Since its establishment in 2011</w:t>
          </w:r>
          <w:r w:rsidR="00EA59E9" w:rsidRPr="00FF027F">
            <w:rPr>
              <w:rFonts w:ascii="Arial" w:hAnsi="Arial" w:cs="Arial"/>
              <w:lang w:val="en-GB"/>
            </w:rPr>
            <w:t>,</w:t>
          </w:r>
          <w:r w:rsidRPr="00FF027F">
            <w:rPr>
              <w:rFonts w:ascii="Arial" w:hAnsi="Arial" w:cs="Arial"/>
              <w:lang w:val="en-GB"/>
            </w:rPr>
            <w:t xml:space="preserve"> </w:t>
          </w:r>
          <w:r w:rsidR="00EA59E9" w:rsidRPr="00FF027F">
            <w:rPr>
              <w:rFonts w:ascii="Arial" w:hAnsi="Arial" w:cs="Arial"/>
              <w:lang w:val="en-GB"/>
            </w:rPr>
            <w:t>pursuant to</w:t>
          </w:r>
          <w:r w:rsidRPr="00FF027F">
            <w:rPr>
              <w:rFonts w:ascii="Arial" w:hAnsi="Arial" w:cs="Arial"/>
              <w:lang w:val="en-GB"/>
            </w:rPr>
            <w:t xml:space="preserve"> Regulation 713/2009, the Agency has been working towards </w:t>
          </w:r>
          <w:r w:rsidR="00EA5656" w:rsidRPr="00FF027F">
            <w:rPr>
              <w:rFonts w:ascii="Arial" w:hAnsi="Arial" w:cs="Arial"/>
              <w:lang w:val="en-GB"/>
            </w:rPr>
            <w:t xml:space="preserve">the completion of the </w:t>
          </w:r>
          <w:r w:rsidRPr="00FF027F">
            <w:rPr>
              <w:rFonts w:ascii="Arial" w:hAnsi="Arial" w:cs="Arial"/>
              <w:lang w:val="en-GB"/>
            </w:rPr>
            <w:t xml:space="preserve">single energy market. </w:t>
          </w:r>
        </w:p>
        <w:p w14:paraId="31CE3DD9" w14:textId="144AFEB2" w:rsidR="007C225C" w:rsidRPr="00FF027F" w:rsidRDefault="004463BD" w:rsidP="00EC6A0D">
          <w:pPr>
            <w:spacing w:before="360" w:after="240" w:line="360" w:lineRule="auto"/>
            <w:jc w:val="both"/>
            <w:rPr>
              <w:rFonts w:ascii="Arial" w:hAnsi="Arial" w:cs="Arial"/>
              <w:lang w:val="en-GB"/>
            </w:rPr>
          </w:pPr>
          <w:r w:rsidRPr="00FF027F">
            <w:rPr>
              <w:rFonts w:ascii="Arial" w:hAnsi="Arial" w:cs="Arial"/>
              <w:lang w:val="en-GB"/>
            </w:rPr>
            <w:t xml:space="preserve">In addition to this </w:t>
          </w:r>
          <w:r w:rsidR="00EA59E9" w:rsidRPr="00FF027F">
            <w:rPr>
              <w:rFonts w:ascii="Arial" w:hAnsi="Arial" w:cs="Arial"/>
              <w:lang w:val="en-GB"/>
            </w:rPr>
            <w:t>initial remit</w:t>
          </w:r>
          <w:r w:rsidRPr="00FF027F">
            <w:rPr>
              <w:rFonts w:ascii="Arial" w:hAnsi="Arial" w:cs="Arial"/>
              <w:lang w:val="en-GB"/>
            </w:rPr>
            <w:t xml:space="preserve">, </w:t>
          </w:r>
          <w:r w:rsidR="00967A5C" w:rsidRPr="00FF027F">
            <w:rPr>
              <w:rFonts w:ascii="Arial" w:hAnsi="Arial" w:cs="Arial"/>
              <w:lang w:val="en-GB"/>
            </w:rPr>
            <w:t xml:space="preserve">the </w:t>
          </w:r>
          <w:r w:rsidRPr="00FF027F">
            <w:rPr>
              <w:rFonts w:ascii="Arial" w:hAnsi="Arial" w:cs="Arial"/>
              <w:lang w:val="en-GB"/>
            </w:rPr>
            <w:t xml:space="preserve">Agency has been assigned new tasks stemming from </w:t>
          </w:r>
          <w:r w:rsidR="00B26034" w:rsidRPr="00FF027F">
            <w:rPr>
              <w:rFonts w:ascii="Arial" w:hAnsi="Arial" w:cs="Arial"/>
              <w:lang w:val="en-GB"/>
            </w:rPr>
            <w:t>two new Regulations</w:t>
          </w:r>
          <w:r w:rsidR="00EA59E9" w:rsidRPr="00FF027F">
            <w:rPr>
              <w:rFonts w:ascii="Arial" w:hAnsi="Arial" w:cs="Arial"/>
              <w:lang w:val="en-GB"/>
            </w:rPr>
            <w:t xml:space="preserve"> -</w:t>
          </w:r>
          <w:r w:rsidR="00B26034" w:rsidRPr="00FF027F">
            <w:rPr>
              <w:rFonts w:ascii="Arial" w:hAnsi="Arial" w:cs="Arial"/>
              <w:lang w:val="en-GB"/>
            </w:rPr>
            <w:t xml:space="preserve"> REMIT </w:t>
          </w:r>
          <w:r w:rsidR="00EA59E9" w:rsidRPr="00FF027F">
            <w:rPr>
              <w:rFonts w:ascii="Arial" w:hAnsi="Arial" w:cs="Arial"/>
              <w:lang w:val="en-GB"/>
            </w:rPr>
            <w:t xml:space="preserve">and the TEN-E </w:t>
          </w:r>
          <w:r w:rsidR="00B26034" w:rsidRPr="00FF027F">
            <w:rPr>
              <w:rFonts w:ascii="Arial" w:hAnsi="Arial" w:cs="Arial"/>
              <w:lang w:val="en-GB"/>
            </w:rPr>
            <w:t>Regulations</w:t>
          </w:r>
          <w:r w:rsidR="00EA59E9" w:rsidRPr="00FF027F">
            <w:rPr>
              <w:rFonts w:ascii="Arial" w:hAnsi="Arial" w:cs="Arial"/>
              <w:lang w:val="en-GB"/>
            </w:rPr>
            <w:t xml:space="preserve"> -</w:t>
          </w:r>
          <w:r w:rsidR="00B26034" w:rsidRPr="00FF027F">
            <w:rPr>
              <w:rFonts w:ascii="Arial" w:hAnsi="Arial" w:cs="Arial"/>
              <w:lang w:val="en-GB"/>
            </w:rPr>
            <w:t xml:space="preserve"> which</w:t>
          </w:r>
          <w:r w:rsidR="007C225C" w:rsidRPr="00FF027F">
            <w:rPr>
              <w:rFonts w:ascii="Arial" w:hAnsi="Arial" w:cs="Arial"/>
              <w:lang w:val="en-GB"/>
            </w:rPr>
            <w:t xml:space="preserve"> have substantially </w:t>
          </w:r>
          <w:r w:rsidR="00FF5FF1" w:rsidRPr="00FF027F">
            <w:rPr>
              <w:rFonts w:ascii="Arial" w:hAnsi="Arial" w:cs="Arial"/>
              <w:lang w:val="en-GB"/>
            </w:rPr>
            <w:t xml:space="preserve">widened </w:t>
          </w:r>
          <w:r w:rsidR="007C225C" w:rsidRPr="00FF027F">
            <w:rPr>
              <w:rFonts w:ascii="Arial" w:hAnsi="Arial" w:cs="Arial"/>
              <w:lang w:val="en-GB"/>
            </w:rPr>
            <w:t>the mission, role and responsibilities of the Agency.</w:t>
          </w:r>
        </w:p>
        <w:p w14:paraId="50277C6E" w14:textId="63D27EBE" w:rsidR="007C225C" w:rsidRPr="00FF027F" w:rsidRDefault="007C225C" w:rsidP="00EC6A0D">
          <w:pPr>
            <w:spacing w:before="360" w:after="240" w:line="360" w:lineRule="auto"/>
            <w:jc w:val="both"/>
            <w:rPr>
              <w:rFonts w:ascii="Arial" w:hAnsi="Arial" w:cs="Arial"/>
              <w:lang w:val="en-GB"/>
            </w:rPr>
          </w:pPr>
          <w:r w:rsidRPr="00FF027F">
            <w:rPr>
              <w:rFonts w:ascii="Arial" w:hAnsi="Arial" w:cs="Arial"/>
              <w:lang w:val="en-GB"/>
            </w:rPr>
            <w:t xml:space="preserve">REMIT, which entered </w:t>
          </w:r>
          <w:r w:rsidR="002C21A6" w:rsidRPr="00FF027F">
            <w:rPr>
              <w:rFonts w:ascii="Arial" w:hAnsi="Arial" w:cs="Arial"/>
              <w:lang w:val="en-GB"/>
            </w:rPr>
            <w:t>into force on 28 December 2011, assigned</w:t>
          </w:r>
          <w:r w:rsidRPr="00FF027F">
            <w:rPr>
              <w:rFonts w:ascii="Arial" w:hAnsi="Arial" w:cs="Arial"/>
              <w:lang w:val="en-GB"/>
            </w:rPr>
            <w:t xml:space="preserve"> new responsibilities in the area of wholesale market monitoring. </w:t>
          </w:r>
          <w:r w:rsidR="00FF5FF1" w:rsidRPr="00FF027F">
            <w:rPr>
              <w:rFonts w:ascii="Arial" w:hAnsi="Arial" w:cs="Arial"/>
              <w:lang w:val="en-GB"/>
            </w:rPr>
            <w:t xml:space="preserve">The new tasks differ substantially </w:t>
          </w:r>
          <w:r w:rsidRPr="00FF027F">
            <w:rPr>
              <w:rFonts w:ascii="Arial" w:hAnsi="Arial" w:cs="Arial"/>
              <w:lang w:val="en-GB"/>
            </w:rPr>
            <w:t xml:space="preserve">from the monitoring of the internal market which the Agency has been performing pursuant to </w:t>
          </w:r>
          <w:r w:rsidR="009A186A" w:rsidRPr="00FF027F">
            <w:rPr>
              <w:rFonts w:ascii="Arial" w:hAnsi="Arial" w:cs="Arial"/>
              <w:lang w:val="en-GB"/>
            </w:rPr>
            <w:t>the Agency</w:t>
          </w:r>
          <w:r w:rsidRPr="00FF027F">
            <w:rPr>
              <w:rFonts w:ascii="Arial" w:hAnsi="Arial" w:cs="Arial"/>
              <w:lang w:val="en-GB"/>
            </w:rPr>
            <w:t xml:space="preserve"> Regulation</w:t>
          </w:r>
          <w:r w:rsidR="00FF5FF1" w:rsidRPr="00FF027F">
            <w:rPr>
              <w:rFonts w:ascii="Arial" w:hAnsi="Arial" w:cs="Arial"/>
              <w:lang w:val="en-GB"/>
            </w:rPr>
            <w:t>. In order to perform these tasks, t</w:t>
          </w:r>
          <w:r w:rsidRPr="00FF027F">
            <w:rPr>
              <w:rFonts w:ascii="Arial" w:hAnsi="Arial" w:cs="Arial"/>
              <w:lang w:val="en-GB"/>
            </w:rPr>
            <w:t xml:space="preserve">he Agency </w:t>
          </w:r>
          <w:r w:rsidR="00EA59E9" w:rsidRPr="00FF027F">
            <w:rPr>
              <w:rFonts w:ascii="Arial" w:hAnsi="Arial" w:cs="Arial"/>
              <w:lang w:val="en-GB"/>
            </w:rPr>
            <w:t xml:space="preserve">has </w:t>
          </w:r>
          <w:r w:rsidR="00FF5FF1" w:rsidRPr="00FF027F">
            <w:rPr>
              <w:rFonts w:ascii="Arial" w:hAnsi="Arial" w:cs="Arial"/>
              <w:lang w:val="en-GB"/>
            </w:rPr>
            <w:t>need</w:t>
          </w:r>
          <w:r w:rsidR="00EA59E9" w:rsidRPr="00FF027F">
            <w:rPr>
              <w:rFonts w:ascii="Arial" w:hAnsi="Arial" w:cs="Arial"/>
              <w:lang w:val="en-GB"/>
            </w:rPr>
            <w:t>ed</w:t>
          </w:r>
          <w:r w:rsidR="00FF5FF1" w:rsidRPr="00FF027F">
            <w:rPr>
              <w:rFonts w:ascii="Arial" w:hAnsi="Arial" w:cs="Arial"/>
              <w:lang w:val="en-GB"/>
            </w:rPr>
            <w:t xml:space="preserve"> </w:t>
          </w:r>
          <w:r w:rsidRPr="00FF027F">
            <w:rPr>
              <w:rFonts w:ascii="Arial" w:hAnsi="Arial" w:cs="Arial"/>
              <w:lang w:val="en-GB"/>
            </w:rPr>
            <w:t>to acquire new IT infrastructure and software to collect data from market participants and other stakeholders at EU level,</w:t>
          </w:r>
          <w:r w:rsidR="00EA59E9" w:rsidRPr="00FF027F">
            <w:rPr>
              <w:rFonts w:ascii="Arial" w:hAnsi="Arial" w:cs="Arial"/>
              <w:lang w:val="en-GB"/>
            </w:rPr>
            <w:t xml:space="preserve"> and</w:t>
          </w:r>
          <w:r w:rsidRPr="00FF027F">
            <w:rPr>
              <w:rFonts w:ascii="Arial" w:hAnsi="Arial" w:cs="Arial"/>
              <w:lang w:val="en-GB"/>
            </w:rPr>
            <w:t xml:space="preserve"> new monitoring tools</w:t>
          </w:r>
          <w:r w:rsidR="00EA59E9" w:rsidRPr="00FF027F">
            <w:rPr>
              <w:rFonts w:ascii="Arial" w:hAnsi="Arial" w:cs="Arial"/>
              <w:lang w:val="en-GB"/>
            </w:rPr>
            <w:t>. It now requires</w:t>
          </w:r>
          <w:r w:rsidRPr="00FF027F">
            <w:rPr>
              <w:rFonts w:ascii="Arial" w:hAnsi="Arial" w:cs="Arial"/>
              <w:lang w:val="en-GB"/>
            </w:rPr>
            <w:t xml:space="preserve"> </w:t>
          </w:r>
          <w:r w:rsidR="009A186A" w:rsidRPr="00FF027F">
            <w:rPr>
              <w:rFonts w:ascii="Arial" w:hAnsi="Arial" w:cs="Arial"/>
              <w:lang w:val="en-GB"/>
            </w:rPr>
            <w:t xml:space="preserve">additional human resources with </w:t>
          </w:r>
          <w:r w:rsidRPr="00FF027F">
            <w:rPr>
              <w:rFonts w:ascii="Arial" w:hAnsi="Arial" w:cs="Arial"/>
              <w:lang w:val="en-GB"/>
            </w:rPr>
            <w:t>specialised expertise.</w:t>
          </w:r>
        </w:p>
        <w:p w14:paraId="15DD768F" w14:textId="658E8C50" w:rsidR="0094480D" w:rsidRPr="00FF027F" w:rsidRDefault="0094480D" w:rsidP="00EC6A0D">
          <w:pPr>
            <w:spacing w:before="360" w:after="240" w:line="360" w:lineRule="auto"/>
            <w:jc w:val="both"/>
            <w:rPr>
              <w:rFonts w:ascii="Arial" w:hAnsi="Arial" w:cs="Arial"/>
              <w:lang w:val="en-GB"/>
            </w:rPr>
          </w:pPr>
          <w:r w:rsidRPr="00FF027F">
            <w:rPr>
              <w:rFonts w:ascii="Arial" w:hAnsi="Arial" w:cs="Arial"/>
              <w:lang w:val="en-GB"/>
            </w:rPr>
            <w:t xml:space="preserve">The activities of the Agency with respect to REMIT </w:t>
          </w:r>
          <w:r w:rsidR="00301293" w:rsidRPr="00FF027F">
            <w:rPr>
              <w:rFonts w:ascii="Arial" w:hAnsi="Arial" w:cs="Arial"/>
              <w:lang w:val="en-GB"/>
            </w:rPr>
            <w:t xml:space="preserve">are </w:t>
          </w:r>
          <w:r w:rsidRPr="00FF027F">
            <w:rPr>
              <w:rFonts w:ascii="Arial" w:hAnsi="Arial" w:cs="Arial"/>
              <w:lang w:val="en-GB"/>
            </w:rPr>
            <w:t>performed in two stages:</w:t>
          </w:r>
        </w:p>
        <w:p w14:paraId="6C1A0352" w14:textId="77777777" w:rsidR="0094480D" w:rsidRPr="00FF027F" w:rsidRDefault="0094480D" w:rsidP="006D214F">
          <w:pPr>
            <w:numPr>
              <w:ilvl w:val="0"/>
              <w:numId w:val="46"/>
            </w:numPr>
            <w:spacing w:before="360" w:after="240" w:line="360" w:lineRule="auto"/>
            <w:ind w:left="0" w:firstLine="0"/>
            <w:jc w:val="both"/>
            <w:rPr>
              <w:rFonts w:ascii="Arial" w:hAnsi="Arial" w:cs="Arial"/>
              <w:lang w:val="en-GB"/>
            </w:rPr>
          </w:pPr>
          <w:r w:rsidRPr="00FF027F">
            <w:rPr>
              <w:rFonts w:ascii="Arial" w:hAnsi="Arial" w:cs="Arial"/>
              <w:lang w:val="en-GB"/>
            </w:rPr>
            <w:t xml:space="preserve">The </w:t>
          </w:r>
          <w:r w:rsidRPr="00FF027F">
            <w:rPr>
              <w:rFonts w:ascii="Arial" w:hAnsi="Arial" w:cs="Arial"/>
              <w:b/>
              <w:i/>
              <w:lang w:val="en-GB"/>
            </w:rPr>
            <w:t>implementation stage</w:t>
          </w:r>
          <w:r w:rsidRPr="00FF027F">
            <w:rPr>
              <w:rFonts w:ascii="Arial" w:hAnsi="Arial" w:cs="Arial"/>
              <w:lang w:val="en-GB"/>
            </w:rPr>
            <w:t xml:space="preserve">, in which the Agency puts in place the IT tools and the procedures - including on data sharing with NRAs and other authorities, at national and EU level, with which the Agency will cooperate - for effectively monitoring wholesale energy markets. This stage started with the entry into force of REMIT on 28 December 2011. </w:t>
          </w:r>
        </w:p>
        <w:p w14:paraId="017214ED" w14:textId="26709ACE" w:rsidR="0094480D" w:rsidRPr="00FF027F" w:rsidRDefault="0094480D" w:rsidP="00301293">
          <w:pPr>
            <w:numPr>
              <w:ilvl w:val="0"/>
              <w:numId w:val="46"/>
            </w:numPr>
            <w:spacing w:before="360" w:after="240" w:line="360" w:lineRule="auto"/>
            <w:ind w:left="0" w:firstLine="0"/>
            <w:jc w:val="both"/>
            <w:rPr>
              <w:rFonts w:ascii="Arial" w:hAnsi="Arial" w:cs="Arial"/>
              <w:iCs/>
              <w:spacing w:val="1"/>
              <w:lang w:val="en-GB"/>
            </w:rPr>
          </w:pPr>
          <w:r w:rsidRPr="00FF027F">
            <w:rPr>
              <w:rFonts w:ascii="Arial" w:hAnsi="Arial" w:cs="Arial"/>
              <w:lang w:val="en-GB"/>
            </w:rPr>
            <w:t xml:space="preserve">The </w:t>
          </w:r>
          <w:r w:rsidRPr="00FF027F">
            <w:rPr>
              <w:rFonts w:ascii="Arial" w:hAnsi="Arial" w:cs="Arial"/>
              <w:b/>
              <w:i/>
              <w:lang w:val="en-GB"/>
            </w:rPr>
            <w:t>operational stage</w:t>
          </w:r>
          <w:r w:rsidRPr="00FF027F">
            <w:rPr>
              <w:rFonts w:ascii="Arial" w:hAnsi="Arial" w:cs="Arial"/>
              <w:lang w:val="en-GB"/>
            </w:rPr>
            <w:t xml:space="preserve">, in which the Agency will be responsible for actively monitoring trading in wholesale energy markets. </w:t>
          </w:r>
          <w:r w:rsidRPr="00FF027F">
            <w:rPr>
              <w:rFonts w:ascii="Arial" w:hAnsi="Arial" w:cs="Arial"/>
              <w:iCs/>
              <w:spacing w:val="1"/>
              <w:lang w:val="en-GB"/>
            </w:rPr>
            <w:t xml:space="preserve">As the operational stage will start </w:t>
          </w:r>
          <w:r w:rsidR="009A186A" w:rsidRPr="00FF027F">
            <w:rPr>
              <w:rFonts w:ascii="Arial" w:hAnsi="Arial" w:cs="Arial"/>
              <w:iCs/>
              <w:spacing w:val="1"/>
              <w:lang w:val="en-GB"/>
            </w:rPr>
            <w:t xml:space="preserve">early in </w:t>
          </w:r>
          <w:r w:rsidR="00960659" w:rsidRPr="00FF027F">
            <w:rPr>
              <w:rFonts w:ascii="Arial" w:hAnsi="Arial" w:cs="Arial"/>
              <w:iCs/>
              <w:spacing w:val="1"/>
              <w:lang w:val="en-GB"/>
            </w:rPr>
            <w:t>2015</w:t>
          </w:r>
          <w:r w:rsidRPr="00FF027F">
            <w:rPr>
              <w:rFonts w:ascii="Arial" w:hAnsi="Arial" w:cs="Arial"/>
              <w:iCs/>
              <w:spacing w:val="1"/>
              <w:lang w:val="en-GB"/>
            </w:rPr>
            <w:t xml:space="preserve">, this year will be crucial for the implementation of REMIT. </w:t>
          </w:r>
        </w:p>
        <w:p w14:paraId="10996B04" w14:textId="48EF886F" w:rsidR="009B63E1" w:rsidRPr="00FF027F" w:rsidRDefault="007C225C" w:rsidP="00EC6A0D">
          <w:pPr>
            <w:spacing w:before="360" w:after="240" w:line="360" w:lineRule="auto"/>
            <w:jc w:val="both"/>
            <w:rPr>
              <w:rFonts w:ascii="Arial" w:hAnsi="Arial" w:cs="Arial"/>
              <w:lang w:val="en-GB"/>
            </w:rPr>
          </w:pPr>
          <w:r w:rsidRPr="00FF027F">
            <w:rPr>
              <w:rFonts w:ascii="Arial" w:hAnsi="Arial" w:cs="Arial"/>
              <w:lang w:val="en-GB"/>
            </w:rPr>
            <w:t xml:space="preserve">The new TEN-E Regulation, which entered into force in May 2013, has extended the role of the Agency in the area of energy infrastructure planning assessment. In this case the required expertise is similar to </w:t>
          </w:r>
          <w:r w:rsidR="00FF5FF1" w:rsidRPr="00FF027F">
            <w:rPr>
              <w:rFonts w:ascii="Arial" w:hAnsi="Arial" w:cs="Arial"/>
              <w:lang w:val="en-GB"/>
            </w:rPr>
            <w:t xml:space="preserve">that </w:t>
          </w:r>
          <w:r w:rsidRPr="00FF027F">
            <w:rPr>
              <w:rFonts w:ascii="Arial" w:hAnsi="Arial" w:cs="Arial"/>
              <w:lang w:val="en-GB"/>
            </w:rPr>
            <w:t>used for some tasks under the A</w:t>
          </w:r>
          <w:r w:rsidR="009A186A" w:rsidRPr="00FF027F">
            <w:rPr>
              <w:rFonts w:ascii="Arial" w:hAnsi="Arial" w:cs="Arial"/>
              <w:lang w:val="en-GB"/>
            </w:rPr>
            <w:t>gency, the Electricity and the Gas</w:t>
          </w:r>
          <w:r w:rsidRPr="00FF027F">
            <w:rPr>
              <w:rFonts w:ascii="Arial" w:hAnsi="Arial" w:cs="Arial"/>
              <w:lang w:val="en-GB"/>
            </w:rPr>
            <w:t xml:space="preserve"> Regulation</w:t>
          </w:r>
          <w:r w:rsidR="009A186A" w:rsidRPr="00FF027F">
            <w:rPr>
              <w:rFonts w:ascii="Arial" w:hAnsi="Arial" w:cs="Arial"/>
              <w:lang w:val="en-GB"/>
            </w:rPr>
            <w:t>s</w:t>
          </w:r>
          <w:r w:rsidRPr="00FF027F">
            <w:rPr>
              <w:rFonts w:ascii="Arial" w:hAnsi="Arial" w:cs="Arial"/>
              <w:lang w:val="en-GB"/>
            </w:rPr>
            <w:t xml:space="preserve"> (i.e. the assessment of TYNDPs), but the scale of the required effort will be much greater.</w:t>
          </w:r>
        </w:p>
        <w:p w14:paraId="0D75BBF6" w14:textId="7A0EBEE6" w:rsidR="00852DC3" w:rsidRPr="00FF027F" w:rsidRDefault="009B63E1" w:rsidP="00EC6A0D">
          <w:pPr>
            <w:spacing w:before="360" w:after="240" w:line="360" w:lineRule="auto"/>
            <w:jc w:val="both"/>
            <w:rPr>
              <w:rFonts w:ascii="Arial" w:hAnsi="Arial" w:cs="Arial"/>
              <w:lang w:val="en-GB"/>
            </w:rPr>
          </w:pPr>
          <w:r w:rsidRPr="00FF027F">
            <w:rPr>
              <w:rFonts w:ascii="Arial" w:hAnsi="Arial" w:cs="Arial"/>
              <w:lang w:val="en-GB"/>
            </w:rPr>
            <w:t xml:space="preserve">The table below represents </w:t>
          </w:r>
          <w:r w:rsidR="00936F9B" w:rsidRPr="00FF027F">
            <w:rPr>
              <w:rFonts w:ascii="Arial" w:hAnsi="Arial" w:cs="Arial"/>
              <w:lang w:val="en-GB"/>
            </w:rPr>
            <w:t xml:space="preserve">an </w:t>
          </w:r>
          <w:r w:rsidRPr="00FF027F">
            <w:rPr>
              <w:rFonts w:ascii="Arial" w:hAnsi="Arial" w:cs="Arial"/>
              <w:lang w:val="en-GB"/>
            </w:rPr>
            <w:t xml:space="preserve">overview of </w:t>
          </w:r>
          <w:r w:rsidR="00936F9B" w:rsidRPr="00FF027F">
            <w:rPr>
              <w:rFonts w:ascii="Arial" w:hAnsi="Arial" w:cs="Arial"/>
              <w:lang w:val="en-GB"/>
            </w:rPr>
            <w:t xml:space="preserve">the </w:t>
          </w:r>
          <w:r w:rsidRPr="00FF027F">
            <w:rPr>
              <w:rFonts w:ascii="Arial" w:hAnsi="Arial" w:cs="Arial"/>
              <w:lang w:val="en-GB"/>
            </w:rPr>
            <w:t xml:space="preserve">staff population </w:t>
          </w:r>
          <w:r w:rsidR="006A4107" w:rsidRPr="00FF027F">
            <w:rPr>
              <w:rFonts w:ascii="Arial" w:hAnsi="Arial" w:cs="Arial"/>
              <w:lang w:val="en-GB"/>
            </w:rPr>
            <w:t xml:space="preserve">and evolution of the different staff categories as envisaged until 2017. It includes the estimated needs of the Agency with regards </w:t>
          </w:r>
          <w:r w:rsidR="00FF5FF1" w:rsidRPr="00FF027F">
            <w:rPr>
              <w:rFonts w:ascii="Arial" w:hAnsi="Arial" w:cs="Arial"/>
              <w:lang w:val="en-GB"/>
            </w:rPr>
            <w:t xml:space="preserve">to </w:t>
          </w:r>
          <w:r w:rsidR="006A4107" w:rsidRPr="00FF027F">
            <w:rPr>
              <w:rFonts w:ascii="Arial" w:hAnsi="Arial" w:cs="Arial"/>
              <w:lang w:val="en-GB"/>
            </w:rPr>
            <w:t xml:space="preserve">recruitment of additional staff </w:t>
          </w:r>
          <w:r w:rsidR="00FF5FF1" w:rsidRPr="00FF027F">
            <w:rPr>
              <w:rFonts w:ascii="Arial" w:hAnsi="Arial" w:cs="Arial"/>
              <w:lang w:val="en-GB"/>
            </w:rPr>
            <w:t xml:space="preserve">in order </w:t>
          </w:r>
          <w:r w:rsidR="006A4107" w:rsidRPr="00FF027F">
            <w:rPr>
              <w:rFonts w:ascii="Arial" w:hAnsi="Arial" w:cs="Arial"/>
              <w:lang w:val="en-GB"/>
            </w:rPr>
            <w:t xml:space="preserve">to </w:t>
          </w:r>
          <w:r w:rsidR="00FF5FF1" w:rsidRPr="00FF027F">
            <w:rPr>
              <w:rFonts w:ascii="Arial" w:hAnsi="Arial" w:cs="Arial"/>
              <w:lang w:val="en-GB"/>
            </w:rPr>
            <w:t>fulfil</w:t>
          </w:r>
          <w:r w:rsidR="006A4107" w:rsidRPr="00FF027F">
            <w:rPr>
              <w:rFonts w:ascii="Arial" w:hAnsi="Arial" w:cs="Arial"/>
              <w:lang w:val="en-GB"/>
            </w:rPr>
            <w:t xml:space="preserve"> </w:t>
          </w:r>
          <w:r w:rsidR="00FF5FF1" w:rsidRPr="00FF027F">
            <w:rPr>
              <w:rFonts w:ascii="Arial" w:hAnsi="Arial" w:cs="Arial"/>
              <w:lang w:val="en-GB"/>
            </w:rPr>
            <w:t xml:space="preserve">the new tasks and responsibilities in line with the </w:t>
          </w:r>
          <w:r w:rsidR="006A4107" w:rsidRPr="00FF027F">
            <w:rPr>
              <w:rFonts w:ascii="Arial" w:hAnsi="Arial" w:cs="Arial"/>
              <w:lang w:val="en-GB"/>
            </w:rPr>
            <w:t>two new Regulations.</w:t>
          </w:r>
        </w:p>
        <w:p w14:paraId="3850FB33" w14:textId="77777777" w:rsidR="000F0584" w:rsidRPr="00FF027F" w:rsidRDefault="000F0584" w:rsidP="00EC6A0D">
          <w:pPr>
            <w:spacing w:before="360" w:after="240" w:line="360" w:lineRule="auto"/>
            <w:jc w:val="both"/>
            <w:rPr>
              <w:rFonts w:ascii="Arial" w:eastAsia="Verdana" w:hAnsi="Arial" w:cs="Arial"/>
              <w:b/>
              <w:color w:val="FF0000"/>
              <w:lang w:val="en-GB" w:eastAsia="en-GB"/>
            </w:rPr>
            <w:sectPr w:rsidR="000F0584" w:rsidRPr="00FF027F" w:rsidSect="00FA063A">
              <w:headerReference w:type="default" r:id="rId13"/>
              <w:footerReference w:type="default" r:id="rId14"/>
              <w:headerReference w:type="first" r:id="rId15"/>
              <w:footerReference w:type="first" r:id="rId16"/>
              <w:pgSz w:w="11907" w:h="16839" w:code="9"/>
              <w:pgMar w:top="1440" w:right="1440" w:bottom="1440" w:left="1440" w:header="720" w:footer="720" w:gutter="0"/>
              <w:pgNumType w:start="0"/>
              <w:cols w:space="720"/>
              <w:titlePg/>
              <w:docGrid w:linePitch="360"/>
            </w:sectPr>
          </w:pPr>
        </w:p>
        <w:p w14:paraId="2016BB29" w14:textId="6D2A05DF" w:rsidR="00FA063A" w:rsidRPr="00FF027F" w:rsidRDefault="00FA063A" w:rsidP="004E115C">
          <w:pPr>
            <w:spacing w:after="0" w:line="240" w:lineRule="auto"/>
            <w:ind w:left="720"/>
            <w:jc w:val="center"/>
            <w:rPr>
              <w:rFonts w:ascii="Verdana" w:eastAsia="Verdana" w:hAnsi="Verdana" w:cs="Times New Roman"/>
              <w:b/>
              <w:sz w:val="20"/>
              <w:lang w:val="en-GB" w:eastAsia="en-GB"/>
            </w:rPr>
          </w:pPr>
          <w:r w:rsidRPr="00FF027F">
            <w:rPr>
              <w:rFonts w:ascii="Verdana" w:eastAsia="Verdana" w:hAnsi="Verdana" w:cs="Times New Roman"/>
              <w:b/>
              <w:sz w:val="20"/>
              <w:lang w:val="en-GB" w:eastAsia="en-GB"/>
            </w:rPr>
            <w:lastRenderedPageBreak/>
            <w:t>Staff population 2012 - 2017</w:t>
          </w:r>
        </w:p>
        <w:tbl>
          <w:tblPr>
            <w:tblpPr w:leftFromText="180" w:rightFromText="180" w:vertAnchor="text" w:horzAnchor="margin" w:tblpY="94"/>
            <w:tblW w:w="14743" w:type="dxa"/>
            <w:tblLayout w:type="fixed"/>
            <w:tblLook w:val="04A0" w:firstRow="1" w:lastRow="0" w:firstColumn="1" w:lastColumn="0" w:noHBand="0" w:noVBand="1"/>
          </w:tblPr>
          <w:tblGrid>
            <w:gridCol w:w="1419"/>
            <w:gridCol w:w="1134"/>
            <w:gridCol w:w="1701"/>
            <w:gridCol w:w="1701"/>
            <w:gridCol w:w="1842"/>
            <w:gridCol w:w="1843"/>
            <w:gridCol w:w="1701"/>
            <w:gridCol w:w="1701"/>
            <w:gridCol w:w="1701"/>
          </w:tblGrid>
          <w:tr w:rsidR="00FA063A" w:rsidRPr="00FF027F" w14:paraId="541743F3" w14:textId="77777777" w:rsidTr="00FA063A">
            <w:trPr>
              <w:trHeight w:val="1260"/>
            </w:trPr>
            <w:tc>
              <w:tcPr>
                <w:tcW w:w="255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D50707E"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1F87966"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 actually filled in 31.12.2012</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561FE9"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 envisaged in EU Budget 2013</w:t>
                </w:r>
              </w:p>
            </w:tc>
            <w:tc>
              <w:tcPr>
                <w:tcW w:w="18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13102D"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 actually filled at 31.12.2013</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6062B8"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 in voted EU Budget 2014</w:t>
                </w:r>
              </w:p>
            </w:tc>
            <w:tc>
              <w:tcPr>
                <w:tcW w:w="1701" w:type="dxa"/>
                <w:vMerge w:val="restart"/>
                <w:tcBorders>
                  <w:top w:val="single" w:sz="8" w:space="0" w:color="auto"/>
                  <w:left w:val="nil"/>
                  <w:bottom w:val="single" w:sz="8" w:space="0" w:color="000000"/>
                  <w:right w:val="nil"/>
                </w:tcBorders>
                <w:shd w:val="clear" w:color="auto" w:fill="auto"/>
                <w:vAlign w:val="center"/>
                <w:hideMark/>
              </w:tcPr>
              <w:p w14:paraId="39B7F48D"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 in Draft EU Budget 2015</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2D988B"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 envisaged in 2016</w:t>
                </w:r>
              </w:p>
            </w:tc>
            <w:tc>
              <w:tcPr>
                <w:tcW w:w="1701" w:type="dxa"/>
                <w:vMerge w:val="restart"/>
                <w:tcBorders>
                  <w:top w:val="single" w:sz="8" w:space="0" w:color="auto"/>
                  <w:left w:val="nil"/>
                  <w:bottom w:val="single" w:sz="8" w:space="0" w:color="000000"/>
                  <w:right w:val="single" w:sz="8" w:space="0" w:color="auto"/>
                </w:tcBorders>
                <w:shd w:val="clear" w:color="auto" w:fill="auto"/>
                <w:vAlign w:val="center"/>
                <w:hideMark/>
              </w:tcPr>
              <w:p w14:paraId="2D41E5BD" w14:textId="77777777" w:rsidR="00FA063A" w:rsidRPr="00FF027F" w:rsidRDefault="00FA063A" w:rsidP="00FA063A">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Staff population envisaged in 2017</w:t>
                </w:r>
              </w:p>
            </w:tc>
          </w:tr>
          <w:tr w:rsidR="00FA063A" w:rsidRPr="00FF027F" w14:paraId="34732ABB" w14:textId="77777777" w:rsidTr="004E115C">
            <w:trPr>
              <w:trHeight w:val="243"/>
            </w:trPr>
            <w:tc>
              <w:tcPr>
                <w:tcW w:w="2553" w:type="dxa"/>
                <w:gridSpan w:val="2"/>
                <w:vMerge/>
                <w:tcBorders>
                  <w:top w:val="single" w:sz="8" w:space="0" w:color="auto"/>
                  <w:left w:val="single" w:sz="8" w:space="0" w:color="auto"/>
                  <w:bottom w:val="single" w:sz="8" w:space="0" w:color="000000"/>
                  <w:right w:val="single" w:sz="8" w:space="0" w:color="000000"/>
                </w:tcBorders>
                <w:vAlign w:val="center"/>
                <w:hideMark/>
              </w:tcPr>
              <w:p w14:paraId="1B969546"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AE969A8"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78739F4"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c>
              <w:tcPr>
                <w:tcW w:w="1842" w:type="dxa"/>
                <w:vMerge/>
                <w:tcBorders>
                  <w:top w:val="single" w:sz="8" w:space="0" w:color="auto"/>
                  <w:left w:val="single" w:sz="8" w:space="0" w:color="auto"/>
                  <w:bottom w:val="single" w:sz="8" w:space="0" w:color="000000"/>
                  <w:right w:val="single" w:sz="8" w:space="0" w:color="auto"/>
                </w:tcBorders>
                <w:vAlign w:val="center"/>
                <w:hideMark/>
              </w:tcPr>
              <w:p w14:paraId="49C74372"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7C734547"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c>
              <w:tcPr>
                <w:tcW w:w="1701" w:type="dxa"/>
                <w:vMerge/>
                <w:tcBorders>
                  <w:top w:val="single" w:sz="8" w:space="0" w:color="auto"/>
                  <w:left w:val="nil"/>
                  <w:bottom w:val="single" w:sz="8" w:space="0" w:color="000000"/>
                  <w:right w:val="nil"/>
                </w:tcBorders>
                <w:vAlign w:val="center"/>
                <w:hideMark/>
              </w:tcPr>
              <w:p w14:paraId="6D359EF7"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205268"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c>
              <w:tcPr>
                <w:tcW w:w="1701" w:type="dxa"/>
                <w:vMerge/>
                <w:tcBorders>
                  <w:top w:val="single" w:sz="8" w:space="0" w:color="auto"/>
                  <w:left w:val="nil"/>
                  <w:bottom w:val="single" w:sz="8" w:space="0" w:color="000000"/>
                  <w:right w:val="single" w:sz="8" w:space="0" w:color="auto"/>
                </w:tcBorders>
                <w:vAlign w:val="center"/>
                <w:hideMark/>
              </w:tcPr>
              <w:p w14:paraId="1C06302F" w14:textId="77777777" w:rsidR="00FA063A" w:rsidRPr="00FF027F" w:rsidRDefault="00FA063A" w:rsidP="00FA063A">
                <w:pPr>
                  <w:spacing w:after="0" w:line="240" w:lineRule="auto"/>
                  <w:rPr>
                    <w:rFonts w:ascii="Verdana" w:eastAsia="Times New Roman" w:hAnsi="Verdana" w:cs="Times New Roman"/>
                    <w:b/>
                    <w:bCs/>
                    <w:color w:val="000000"/>
                    <w:sz w:val="20"/>
                    <w:szCs w:val="20"/>
                    <w:lang w:val="en-GB" w:eastAsia="en-GB"/>
                  </w:rPr>
                </w:pPr>
              </w:p>
            </w:tc>
          </w:tr>
          <w:tr w:rsidR="00FA063A" w:rsidRPr="00FF027F" w14:paraId="548E7E5B" w14:textId="77777777" w:rsidTr="00FA063A">
            <w:trPr>
              <w:trHeight w:val="330"/>
            </w:trPr>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14:paraId="413B0F7E" w14:textId="77777777" w:rsidR="00FA063A" w:rsidRPr="00FF027F" w:rsidRDefault="00FA063A" w:rsidP="00FA063A">
                <w:pPr>
                  <w:spacing w:after="0" w:line="240" w:lineRule="auto"/>
                  <w:jc w:val="center"/>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Officials</w:t>
                </w:r>
              </w:p>
            </w:tc>
            <w:tc>
              <w:tcPr>
                <w:tcW w:w="1134" w:type="dxa"/>
                <w:tcBorders>
                  <w:top w:val="nil"/>
                  <w:left w:val="nil"/>
                  <w:bottom w:val="single" w:sz="8" w:space="0" w:color="auto"/>
                  <w:right w:val="single" w:sz="8" w:space="0" w:color="auto"/>
                </w:tcBorders>
                <w:shd w:val="clear" w:color="auto" w:fill="auto"/>
                <w:vAlign w:val="center"/>
                <w:hideMark/>
              </w:tcPr>
              <w:p w14:paraId="11CE1A29"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AD</w:t>
                </w:r>
              </w:p>
            </w:tc>
            <w:tc>
              <w:tcPr>
                <w:tcW w:w="1701" w:type="dxa"/>
                <w:tcBorders>
                  <w:top w:val="nil"/>
                  <w:left w:val="nil"/>
                  <w:bottom w:val="nil"/>
                  <w:right w:val="single" w:sz="8" w:space="0" w:color="auto"/>
                </w:tcBorders>
                <w:shd w:val="clear" w:color="auto" w:fill="auto"/>
                <w:vAlign w:val="center"/>
                <w:hideMark/>
              </w:tcPr>
              <w:p w14:paraId="2ACE5204"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nil"/>
                  <w:right w:val="single" w:sz="8" w:space="0" w:color="auto"/>
                </w:tcBorders>
                <w:shd w:val="clear" w:color="auto" w:fill="auto"/>
                <w:vAlign w:val="center"/>
                <w:hideMark/>
              </w:tcPr>
              <w:p w14:paraId="482D22F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2" w:type="dxa"/>
                <w:tcBorders>
                  <w:top w:val="nil"/>
                  <w:left w:val="nil"/>
                  <w:bottom w:val="nil"/>
                  <w:right w:val="single" w:sz="8" w:space="0" w:color="auto"/>
                </w:tcBorders>
                <w:shd w:val="clear" w:color="auto" w:fill="auto"/>
                <w:vAlign w:val="center"/>
                <w:hideMark/>
              </w:tcPr>
              <w:p w14:paraId="06A4455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3" w:type="dxa"/>
                <w:tcBorders>
                  <w:top w:val="nil"/>
                  <w:left w:val="nil"/>
                  <w:bottom w:val="nil"/>
                  <w:right w:val="single" w:sz="8" w:space="0" w:color="auto"/>
                </w:tcBorders>
                <w:shd w:val="clear" w:color="auto" w:fill="auto"/>
                <w:vAlign w:val="center"/>
                <w:hideMark/>
              </w:tcPr>
              <w:p w14:paraId="6703DC23"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nil"/>
                  <w:right w:val="single" w:sz="8" w:space="0" w:color="auto"/>
                </w:tcBorders>
                <w:shd w:val="clear" w:color="auto" w:fill="auto"/>
                <w:vAlign w:val="center"/>
                <w:hideMark/>
              </w:tcPr>
              <w:p w14:paraId="1A210EE6"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nil"/>
                  <w:right w:val="single" w:sz="8" w:space="0" w:color="auto"/>
                </w:tcBorders>
                <w:shd w:val="clear" w:color="auto" w:fill="auto"/>
                <w:vAlign w:val="center"/>
                <w:hideMark/>
              </w:tcPr>
              <w:p w14:paraId="01453B6A"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58050B4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r>
          <w:tr w:rsidR="00FA063A" w:rsidRPr="00FF027F" w14:paraId="53B0D03D" w14:textId="77777777" w:rsidTr="00FA063A">
            <w:trPr>
              <w:trHeight w:val="330"/>
            </w:trPr>
            <w:tc>
              <w:tcPr>
                <w:tcW w:w="1419" w:type="dxa"/>
                <w:vMerge/>
                <w:tcBorders>
                  <w:top w:val="nil"/>
                  <w:left w:val="single" w:sz="8" w:space="0" w:color="auto"/>
                  <w:bottom w:val="single" w:sz="8" w:space="0" w:color="000000"/>
                  <w:right w:val="single" w:sz="8" w:space="0" w:color="auto"/>
                </w:tcBorders>
                <w:vAlign w:val="center"/>
                <w:hideMark/>
              </w:tcPr>
              <w:p w14:paraId="79924D02"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p>
            </w:tc>
            <w:tc>
              <w:tcPr>
                <w:tcW w:w="1134" w:type="dxa"/>
                <w:tcBorders>
                  <w:top w:val="nil"/>
                  <w:left w:val="nil"/>
                  <w:bottom w:val="single" w:sz="8" w:space="0" w:color="auto"/>
                  <w:right w:val="single" w:sz="8" w:space="0" w:color="auto"/>
                </w:tcBorders>
                <w:shd w:val="clear" w:color="auto" w:fill="auto"/>
                <w:vAlign w:val="center"/>
                <w:hideMark/>
              </w:tcPr>
              <w:p w14:paraId="7CA151C4"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AST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3CAB8C6"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31F656A"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14:paraId="0682530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14:paraId="50B8CE66"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5CD2ED2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14:paraId="22DFEF2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03E718D8"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r>
          <w:tr w:rsidR="00FA063A" w:rsidRPr="00FF027F" w14:paraId="0AC64C85" w14:textId="77777777" w:rsidTr="00FA063A">
            <w:trPr>
              <w:trHeight w:val="330"/>
            </w:trPr>
            <w:tc>
              <w:tcPr>
                <w:tcW w:w="1419" w:type="dxa"/>
                <w:vMerge/>
                <w:tcBorders>
                  <w:top w:val="nil"/>
                  <w:left w:val="single" w:sz="8" w:space="0" w:color="auto"/>
                  <w:bottom w:val="single" w:sz="8" w:space="0" w:color="000000"/>
                  <w:right w:val="single" w:sz="8" w:space="0" w:color="auto"/>
                </w:tcBorders>
                <w:vAlign w:val="center"/>
                <w:hideMark/>
              </w:tcPr>
              <w:p w14:paraId="41318FB9"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p>
            </w:tc>
            <w:tc>
              <w:tcPr>
                <w:tcW w:w="1134" w:type="dxa"/>
                <w:tcBorders>
                  <w:top w:val="nil"/>
                  <w:left w:val="nil"/>
                  <w:bottom w:val="single" w:sz="8" w:space="0" w:color="auto"/>
                  <w:right w:val="single" w:sz="8" w:space="0" w:color="auto"/>
                </w:tcBorders>
                <w:shd w:val="clear" w:color="auto" w:fill="auto"/>
                <w:vAlign w:val="center"/>
                <w:hideMark/>
              </w:tcPr>
              <w:p w14:paraId="256384B3"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AST/SC</w:t>
                </w:r>
              </w:p>
            </w:tc>
            <w:tc>
              <w:tcPr>
                <w:tcW w:w="1701" w:type="dxa"/>
                <w:tcBorders>
                  <w:top w:val="nil"/>
                  <w:left w:val="nil"/>
                  <w:bottom w:val="single" w:sz="8" w:space="0" w:color="auto"/>
                  <w:right w:val="single" w:sz="8" w:space="0" w:color="auto"/>
                </w:tcBorders>
                <w:shd w:val="clear" w:color="auto" w:fill="auto"/>
                <w:vAlign w:val="center"/>
                <w:hideMark/>
              </w:tcPr>
              <w:p w14:paraId="75E68E5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28F03644"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2" w:type="dxa"/>
                <w:tcBorders>
                  <w:top w:val="nil"/>
                  <w:left w:val="nil"/>
                  <w:bottom w:val="single" w:sz="8" w:space="0" w:color="auto"/>
                  <w:right w:val="single" w:sz="8" w:space="0" w:color="auto"/>
                </w:tcBorders>
                <w:shd w:val="clear" w:color="auto" w:fill="auto"/>
                <w:vAlign w:val="center"/>
                <w:hideMark/>
              </w:tcPr>
              <w:p w14:paraId="225E9643"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3" w:type="dxa"/>
                <w:tcBorders>
                  <w:top w:val="nil"/>
                  <w:left w:val="nil"/>
                  <w:bottom w:val="single" w:sz="8" w:space="0" w:color="auto"/>
                  <w:right w:val="single" w:sz="8" w:space="0" w:color="auto"/>
                </w:tcBorders>
                <w:shd w:val="clear" w:color="auto" w:fill="auto"/>
                <w:vAlign w:val="center"/>
                <w:hideMark/>
              </w:tcPr>
              <w:p w14:paraId="21B74DBA"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nil"/>
                </w:tcBorders>
                <w:shd w:val="clear" w:color="auto" w:fill="auto"/>
                <w:vAlign w:val="center"/>
                <w:hideMark/>
              </w:tcPr>
              <w:p w14:paraId="102D93B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single" w:sz="8" w:space="0" w:color="auto"/>
                  <w:bottom w:val="single" w:sz="8" w:space="0" w:color="auto"/>
                  <w:right w:val="single" w:sz="8" w:space="0" w:color="auto"/>
                </w:tcBorders>
                <w:shd w:val="clear" w:color="auto" w:fill="auto"/>
                <w:vAlign w:val="center"/>
                <w:hideMark/>
              </w:tcPr>
              <w:p w14:paraId="3F87ACD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52FE8F24"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r>
          <w:tr w:rsidR="00FA063A" w:rsidRPr="00FF027F" w14:paraId="660C4267" w14:textId="77777777" w:rsidTr="00FA063A">
            <w:trPr>
              <w:trHeight w:val="330"/>
            </w:trPr>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14:paraId="74724821" w14:textId="77777777" w:rsidR="00FA063A" w:rsidRPr="00FF027F" w:rsidRDefault="00FA063A" w:rsidP="00FA063A">
                <w:pPr>
                  <w:spacing w:after="0" w:line="240" w:lineRule="auto"/>
                  <w:jc w:val="center"/>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TA</w:t>
                </w:r>
              </w:p>
            </w:tc>
            <w:tc>
              <w:tcPr>
                <w:tcW w:w="1134" w:type="dxa"/>
                <w:tcBorders>
                  <w:top w:val="nil"/>
                  <w:left w:val="nil"/>
                  <w:bottom w:val="single" w:sz="8" w:space="0" w:color="auto"/>
                  <w:right w:val="single" w:sz="8" w:space="0" w:color="auto"/>
                </w:tcBorders>
                <w:shd w:val="clear" w:color="auto" w:fill="auto"/>
                <w:vAlign w:val="center"/>
                <w:hideMark/>
              </w:tcPr>
              <w:p w14:paraId="5F461492"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AD</w:t>
                </w:r>
              </w:p>
            </w:tc>
            <w:tc>
              <w:tcPr>
                <w:tcW w:w="1701" w:type="dxa"/>
                <w:tcBorders>
                  <w:top w:val="nil"/>
                  <w:left w:val="nil"/>
                  <w:bottom w:val="single" w:sz="8" w:space="0" w:color="auto"/>
                  <w:right w:val="single" w:sz="8" w:space="0" w:color="auto"/>
                </w:tcBorders>
                <w:shd w:val="clear" w:color="auto" w:fill="auto"/>
                <w:vAlign w:val="center"/>
                <w:hideMark/>
              </w:tcPr>
              <w:p w14:paraId="1E90052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30</w:t>
                </w:r>
              </w:p>
            </w:tc>
            <w:tc>
              <w:tcPr>
                <w:tcW w:w="1701" w:type="dxa"/>
                <w:tcBorders>
                  <w:top w:val="nil"/>
                  <w:left w:val="nil"/>
                  <w:bottom w:val="single" w:sz="8" w:space="0" w:color="auto"/>
                  <w:right w:val="single" w:sz="8" w:space="0" w:color="auto"/>
                </w:tcBorders>
                <w:shd w:val="clear" w:color="auto" w:fill="auto"/>
                <w:vAlign w:val="center"/>
                <w:hideMark/>
              </w:tcPr>
              <w:p w14:paraId="1623448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34</w:t>
                </w:r>
              </w:p>
            </w:tc>
            <w:tc>
              <w:tcPr>
                <w:tcW w:w="1842" w:type="dxa"/>
                <w:tcBorders>
                  <w:top w:val="nil"/>
                  <w:left w:val="nil"/>
                  <w:bottom w:val="single" w:sz="8" w:space="0" w:color="auto"/>
                  <w:right w:val="single" w:sz="8" w:space="0" w:color="auto"/>
                </w:tcBorders>
                <w:shd w:val="clear" w:color="auto" w:fill="auto"/>
                <w:vAlign w:val="center"/>
                <w:hideMark/>
              </w:tcPr>
              <w:p w14:paraId="62098759"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33</w:t>
                </w:r>
              </w:p>
            </w:tc>
            <w:tc>
              <w:tcPr>
                <w:tcW w:w="1843" w:type="dxa"/>
                <w:tcBorders>
                  <w:top w:val="nil"/>
                  <w:left w:val="nil"/>
                  <w:bottom w:val="single" w:sz="8" w:space="0" w:color="auto"/>
                  <w:right w:val="single" w:sz="8" w:space="0" w:color="auto"/>
                </w:tcBorders>
                <w:shd w:val="clear" w:color="auto" w:fill="auto"/>
                <w:vAlign w:val="center"/>
                <w:hideMark/>
              </w:tcPr>
              <w:p w14:paraId="229A4F0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39</w:t>
                </w:r>
              </w:p>
            </w:tc>
            <w:tc>
              <w:tcPr>
                <w:tcW w:w="1701" w:type="dxa"/>
                <w:tcBorders>
                  <w:top w:val="nil"/>
                  <w:left w:val="nil"/>
                  <w:bottom w:val="single" w:sz="8" w:space="0" w:color="auto"/>
                  <w:right w:val="single" w:sz="8" w:space="0" w:color="auto"/>
                </w:tcBorders>
                <w:shd w:val="clear" w:color="auto" w:fill="auto"/>
                <w:vAlign w:val="center"/>
                <w:hideMark/>
              </w:tcPr>
              <w:p w14:paraId="14D69663"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72</w:t>
                </w:r>
              </w:p>
            </w:tc>
            <w:tc>
              <w:tcPr>
                <w:tcW w:w="1701" w:type="dxa"/>
                <w:tcBorders>
                  <w:top w:val="nil"/>
                  <w:left w:val="nil"/>
                  <w:bottom w:val="single" w:sz="8" w:space="0" w:color="auto"/>
                  <w:right w:val="single" w:sz="8" w:space="0" w:color="auto"/>
                </w:tcBorders>
                <w:shd w:val="clear" w:color="auto" w:fill="auto"/>
                <w:vAlign w:val="center"/>
                <w:hideMark/>
              </w:tcPr>
              <w:p w14:paraId="07541B73"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72</w:t>
                </w:r>
              </w:p>
            </w:tc>
            <w:tc>
              <w:tcPr>
                <w:tcW w:w="1701" w:type="dxa"/>
                <w:tcBorders>
                  <w:top w:val="nil"/>
                  <w:left w:val="nil"/>
                  <w:bottom w:val="single" w:sz="8" w:space="0" w:color="auto"/>
                  <w:right w:val="single" w:sz="8" w:space="0" w:color="auto"/>
                </w:tcBorders>
                <w:shd w:val="clear" w:color="auto" w:fill="auto"/>
                <w:vAlign w:val="center"/>
                <w:hideMark/>
              </w:tcPr>
              <w:p w14:paraId="40ADC93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72</w:t>
                </w:r>
              </w:p>
            </w:tc>
          </w:tr>
          <w:tr w:rsidR="00FA063A" w:rsidRPr="00FF027F" w14:paraId="24212749" w14:textId="77777777" w:rsidTr="00FA063A">
            <w:trPr>
              <w:trHeight w:val="330"/>
            </w:trPr>
            <w:tc>
              <w:tcPr>
                <w:tcW w:w="1419" w:type="dxa"/>
                <w:vMerge/>
                <w:tcBorders>
                  <w:top w:val="nil"/>
                  <w:left w:val="single" w:sz="8" w:space="0" w:color="auto"/>
                  <w:bottom w:val="single" w:sz="8" w:space="0" w:color="000000"/>
                  <w:right w:val="single" w:sz="8" w:space="0" w:color="auto"/>
                </w:tcBorders>
                <w:vAlign w:val="center"/>
                <w:hideMark/>
              </w:tcPr>
              <w:p w14:paraId="7F5C4EF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p>
            </w:tc>
            <w:tc>
              <w:tcPr>
                <w:tcW w:w="1134" w:type="dxa"/>
                <w:tcBorders>
                  <w:top w:val="nil"/>
                  <w:left w:val="nil"/>
                  <w:bottom w:val="single" w:sz="8" w:space="0" w:color="auto"/>
                  <w:right w:val="single" w:sz="8" w:space="0" w:color="auto"/>
                </w:tcBorders>
                <w:shd w:val="clear" w:color="auto" w:fill="auto"/>
                <w:vAlign w:val="center"/>
                <w:hideMark/>
              </w:tcPr>
              <w:p w14:paraId="134D787A"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AST</w:t>
                </w:r>
              </w:p>
            </w:tc>
            <w:tc>
              <w:tcPr>
                <w:tcW w:w="1701" w:type="dxa"/>
                <w:tcBorders>
                  <w:top w:val="nil"/>
                  <w:left w:val="nil"/>
                  <w:bottom w:val="single" w:sz="8" w:space="0" w:color="auto"/>
                  <w:right w:val="single" w:sz="8" w:space="0" w:color="auto"/>
                </w:tcBorders>
                <w:shd w:val="clear" w:color="auto" w:fill="auto"/>
                <w:vAlign w:val="center"/>
                <w:hideMark/>
              </w:tcPr>
              <w:p w14:paraId="1E139CCA"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12</w:t>
                </w:r>
              </w:p>
            </w:tc>
            <w:tc>
              <w:tcPr>
                <w:tcW w:w="1701" w:type="dxa"/>
                <w:tcBorders>
                  <w:top w:val="nil"/>
                  <w:left w:val="nil"/>
                  <w:bottom w:val="single" w:sz="8" w:space="0" w:color="auto"/>
                  <w:right w:val="single" w:sz="8" w:space="0" w:color="auto"/>
                </w:tcBorders>
                <w:shd w:val="clear" w:color="auto" w:fill="auto"/>
                <w:vAlign w:val="center"/>
                <w:hideMark/>
              </w:tcPr>
              <w:p w14:paraId="7172BB42"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15</w:t>
                </w:r>
              </w:p>
            </w:tc>
            <w:tc>
              <w:tcPr>
                <w:tcW w:w="1842" w:type="dxa"/>
                <w:tcBorders>
                  <w:top w:val="nil"/>
                  <w:left w:val="nil"/>
                  <w:bottom w:val="single" w:sz="8" w:space="0" w:color="auto"/>
                  <w:right w:val="single" w:sz="8" w:space="0" w:color="auto"/>
                </w:tcBorders>
                <w:shd w:val="clear" w:color="auto" w:fill="auto"/>
                <w:vAlign w:val="center"/>
                <w:hideMark/>
              </w:tcPr>
              <w:p w14:paraId="5986D6E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14</w:t>
                </w:r>
              </w:p>
            </w:tc>
            <w:tc>
              <w:tcPr>
                <w:tcW w:w="1843" w:type="dxa"/>
                <w:tcBorders>
                  <w:top w:val="nil"/>
                  <w:left w:val="nil"/>
                  <w:bottom w:val="single" w:sz="8" w:space="0" w:color="auto"/>
                  <w:right w:val="single" w:sz="8" w:space="0" w:color="auto"/>
                </w:tcBorders>
                <w:shd w:val="clear" w:color="auto" w:fill="auto"/>
                <w:vAlign w:val="center"/>
                <w:hideMark/>
              </w:tcPr>
              <w:p w14:paraId="24F016F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15</w:t>
                </w:r>
              </w:p>
            </w:tc>
            <w:tc>
              <w:tcPr>
                <w:tcW w:w="1701" w:type="dxa"/>
                <w:tcBorders>
                  <w:top w:val="nil"/>
                  <w:left w:val="nil"/>
                  <w:bottom w:val="single" w:sz="8" w:space="0" w:color="auto"/>
                  <w:right w:val="single" w:sz="8" w:space="0" w:color="auto"/>
                </w:tcBorders>
                <w:shd w:val="clear" w:color="auto" w:fill="auto"/>
                <w:vAlign w:val="center"/>
                <w:hideMark/>
              </w:tcPr>
              <w:p w14:paraId="29AEE066"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23</w:t>
                </w:r>
              </w:p>
            </w:tc>
            <w:tc>
              <w:tcPr>
                <w:tcW w:w="1701" w:type="dxa"/>
                <w:tcBorders>
                  <w:top w:val="nil"/>
                  <w:left w:val="nil"/>
                  <w:bottom w:val="single" w:sz="8" w:space="0" w:color="auto"/>
                  <w:right w:val="single" w:sz="8" w:space="0" w:color="auto"/>
                </w:tcBorders>
                <w:shd w:val="clear" w:color="auto" w:fill="auto"/>
                <w:vAlign w:val="center"/>
                <w:hideMark/>
              </w:tcPr>
              <w:p w14:paraId="34E35F8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23</w:t>
                </w:r>
              </w:p>
            </w:tc>
            <w:tc>
              <w:tcPr>
                <w:tcW w:w="1701" w:type="dxa"/>
                <w:tcBorders>
                  <w:top w:val="nil"/>
                  <w:left w:val="nil"/>
                  <w:bottom w:val="single" w:sz="8" w:space="0" w:color="auto"/>
                  <w:right w:val="single" w:sz="8" w:space="0" w:color="auto"/>
                </w:tcBorders>
                <w:shd w:val="clear" w:color="auto" w:fill="auto"/>
                <w:vAlign w:val="center"/>
                <w:hideMark/>
              </w:tcPr>
              <w:p w14:paraId="11D499E8"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23</w:t>
                </w:r>
              </w:p>
            </w:tc>
          </w:tr>
          <w:tr w:rsidR="00FA063A" w:rsidRPr="00FF027F" w14:paraId="600B945C" w14:textId="77777777" w:rsidTr="00FA063A">
            <w:trPr>
              <w:trHeight w:val="330"/>
            </w:trPr>
            <w:tc>
              <w:tcPr>
                <w:tcW w:w="1419" w:type="dxa"/>
                <w:vMerge/>
                <w:tcBorders>
                  <w:top w:val="nil"/>
                  <w:left w:val="single" w:sz="8" w:space="0" w:color="auto"/>
                  <w:bottom w:val="single" w:sz="8" w:space="0" w:color="000000"/>
                  <w:right w:val="single" w:sz="8" w:space="0" w:color="auto"/>
                </w:tcBorders>
                <w:vAlign w:val="center"/>
                <w:hideMark/>
              </w:tcPr>
              <w:p w14:paraId="26ECD25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p>
            </w:tc>
            <w:tc>
              <w:tcPr>
                <w:tcW w:w="1134" w:type="dxa"/>
                <w:tcBorders>
                  <w:top w:val="nil"/>
                  <w:left w:val="nil"/>
                  <w:bottom w:val="single" w:sz="8" w:space="0" w:color="auto"/>
                  <w:right w:val="single" w:sz="8" w:space="0" w:color="auto"/>
                </w:tcBorders>
                <w:shd w:val="clear" w:color="auto" w:fill="auto"/>
                <w:vAlign w:val="center"/>
                <w:hideMark/>
              </w:tcPr>
              <w:p w14:paraId="664F387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AST/SC</w:t>
                </w:r>
              </w:p>
            </w:tc>
            <w:tc>
              <w:tcPr>
                <w:tcW w:w="1701" w:type="dxa"/>
                <w:tcBorders>
                  <w:top w:val="nil"/>
                  <w:left w:val="nil"/>
                  <w:bottom w:val="single" w:sz="8" w:space="0" w:color="auto"/>
                  <w:right w:val="single" w:sz="8" w:space="0" w:color="auto"/>
                </w:tcBorders>
                <w:shd w:val="clear" w:color="auto" w:fill="auto"/>
                <w:vAlign w:val="center"/>
                <w:hideMark/>
              </w:tcPr>
              <w:p w14:paraId="0836F32C"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701" w:type="dxa"/>
                <w:tcBorders>
                  <w:top w:val="nil"/>
                  <w:left w:val="nil"/>
                  <w:bottom w:val="single" w:sz="8" w:space="0" w:color="auto"/>
                  <w:right w:val="single" w:sz="8" w:space="0" w:color="auto"/>
                </w:tcBorders>
                <w:shd w:val="clear" w:color="auto" w:fill="auto"/>
                <w:vAlign w:val="center"/>
                <w:hideMark/>
              </w:tcPr>
              <w:p w14:paraId="3F1B97B5"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2" w:type="dxa"/>
                <w:tcBorders>
                  <w:top w:val="nil"/>
                  <w:left w:val="nil"/>
                  <w:bottom w:val="single" w:sz="8" w:space="0" w:color="auto"/>
                  <w:right w:val="single" w:sz="8" w:space="0" w:color="auto"/>
                </w:tcBorders>
                <w:shd w:val="clear" w:color="auto" w:fill="auto"/>
                <w:vAlign w:val="center"/>
                <w:hideMark/>
              </w:tcPr>
              <w:p w14:paraId="2097C17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3" w:type="dxa"/>
                <w:tcBorders>
                  <w:top w:val="nil"/>
                  <w:left w:val="nil"/>
                  <w:bottom w:val="single" w:sz="8" w:space="0" w:color="auto"/>
                  <w:right w:val="single" w:sz="8" w:space="0" w:color="auto"/>
                </w:tcBorders>
                <w:shd w:val="clear" w:color="auto" w:fill="auto"/>
                <w:vAlign w:val="center"/>
                <w:hideMark/>
              </w:tcPr>
              <w:p w14:paraId="78E69DD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42433619"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277F3F04"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57A13F70"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r>
          <w:tr w:rsidR="00FA063A" w:rsidRPr="00FF027F" w14:paraId="1813D5BA" w14:textId="77777777" w:rsidTr="00FA063A">
            <w:trPr>
              <w:trHeight w:val="330"/>
            </w:trPr>
            <w:tc>
              <w:tcPr>
                <w:tcW w:w="25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47841C"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Total</w:t>
                </w:r>
              </w:p>
            </w:tc>
            <w:tc>
              <w:tcPr>
                <w:tcW w:w="1701" w:type="dxa"/>
                <w:tcBorders>
                  <w:top w:val="nil"/>
                  <w:left w:val="nil"/>
                  <w:bottom w:val="single" w:sz="8" w:space="0" w:color="auto"/>
                  <w:right w:val="single" w:sz="8" w:space="0" w:color="auto"/>
                </w:tcBorders>
                <w:shd w:val="clear" w:color="auto" w:fill="auto"/>
                <w:vAlign w:val="center"/>
                <w:hideMark/>
              </w:tcPr>
              <w:p w14:paraId="4DA3F539"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42</w:t>
                </w:r>
              </w:p>
            </w:tc>
            <w:tc>
              <w:tcPr>
                <w:tcW w:w="1701" w:type="dxa"/>
                <w:tcBorders>
                  <w:top w:val="nil"/>
                  <w:left w:val="nil"/>
                  <w:bottom w:val="single" w:sz="8" w:space="0" w:color="auto"/>
                  <w:right w:val="single" w:sz="8" w:space="0" w:color="auto"/>
                </w:tcBorders>
                <w:shd w:val="clear" w:color="auto" w:fill="auto"/>
                <w:vAlign w:val="center"/>
                <w:hideMark/>
              </w:tcPr>
              <w:p w14:paraId="26035763"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49</w:t>
                </w:r>
              </w:p>
            </w:tc>
            <w:tc>
              <w:tcPr>
                <w:tcW w:w="1842" w:type="dxa"/>
                <w:tcBorders>
                  <w:top w:val="nil"/>
                  <w:left w:val="nil"/>
                  <w:bottom w:val="single" w:sz="8" w:space="0" w:color="auto"/>
                  <w:right w:val="single" w:sz="8" w:space="0" w:color="auto"/>
                </w:tcBorders>
                <w:shd w:val="clear" w:color="auto" w:fill="auto"/>
                <w:vAlign w:val="center"/>
                <w:hideMark/>
              </w:tcPr>
              <w:p w14:paraId="693C35F9"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47</w:t>
                </w:r>
              </w:p>
            </w:tc>
            <w:tc>
              <w:tcPr>
                <w:tcW w:w="1843" w:type="dxa"/>
                <w:tcBorders>
                  <w:top w:val="nil"/>
                  <w:left w:val="nil"/>
                  <w:bottom w:val="single" w:sz="8" w:space="0" w:color="auto"/>
                  <w:right w:val="single" w:sz="8" w:space="0" w:color="auto"/>
                </w:tcBorders>
                <w:shd w:val="clear" w:color="auto" w:fill="auto"/>
                <w:vAlign w:val="center"/>
                <w:hideMark/>
              </w:tcPr>
              <w:p w14:paraId="45EF7676"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54</w:t>
                </w:r>
              </w:p>
            </w:tc>
            <w:tc>
              <w:tcPr>
                <w:tcW w:w="1701" w:type="dxa"/>
                <w:tcBorders>
                  <w:top w:val="nil"/>
                  <w:left w:val="nil"/>
                  <w:bottom w:val="single" w:sz="8" w:space="0" w:color="auto"/>
                  <w:right w:val="single" w:sz="8" w:space="0" w:color="auto"/>
                </w:tcBorders>
                <w:shd w:val="clear" w:color="auto" w:fill="auto"/>
                <w:vAlign w:val="center"/>
                <w:hideMark/>
              </w:tcPr>
              <w:p w14:paraId="0EA06104"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95</w:t>
                </w:r>
              </w:p>
            </w:tc>
            <w:tc>
              <w:tcPr>
                <w:tcW w:w="1701" w:type="dxa"/>
                <w:tcBorders>
                  <w:top w:val="nil"/>
                  <w:left w:val="nil"/>
                  <w:bottom w:val="single" w:sz="8" w:space="0" w:color="auto"/>
                  <w:right w:val="single" w:sz="8" w:space="0" w:color="auto"/>
                </w:tcBorders>
                <w:shd w:val="clear" w:color="auto" w:fill="auto"/>
                <w:vAlign w:val="center"/>
                <w:hideMark/>
              </w:tcPr>
              <w:p w14:paraId="39B68941"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95</w:t>
                </w:r>
              </w:p>
            </w:tc>
            <w:tc>
              <w:tcPr>
                <w:tcW w:w="1701" w:type="dxa"/>
                <w:tcBorders>
                  <w:top w:val="nil"/>
                  <w:left w:val="nil"/>
                  <w:bottom w:val="single" w:sz="8" w:space="0" w:color="auto"/>
                  <w:right w:val="single" w:sz="8" w:space="0" w:color="auto"/>
                </w:tcBorders>
                <w:shd w:val="clear" w:color="auto" w:fill="auto"/>
                <w:vAlign w:val="center"/>
                <w:hideMark/>
              </w:tcPr>
              <w:p w14:paraId="2ABC624C"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95</w:t>
                </w:r>
              </w:p>
            </w:tc>
          </w:tr>
          <w:tr w:rsidR="00FA063A" w:rsidRPr="00FF027F" w14:paraId="716ED5FF" w14:textId="77777777" w:rsidTr="00FA063A">
            <w:trPr>
              <w:trHeight w:val="420"/>
            </w:trPr>
            <w:tc>
              <w:tcPr>
                <w:tcW w:w="1419" w:type="dxa"/>
                <w:tcBorders>
                  <w:top w:val="nil"/>
                  <w:left w:val="single" w:sz="8" w:space="0" w:color="auto"/>
                  <w:bottom w:val="single" w:sz="8" w:space="0" w:color="auto"/>
                  <w:right w:val="nil"/>
                </w:tcBorders>
                <w:shd w:val="clear" w:color="000000" w:fill="A6A6A6"/>
                <w:noWrap/>
                <w:vAlign w:val="center"/>
                <w:hideMark/>
              </w:tcPr>
              <w:p w14:paraId="4BFB0B6C"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134" w:type="dxa"/>
                <w:tcBorders>
                  <w:top w:val="nil"/>
                  <w:left w:val="nil"/>
                  <w:bottom w:val="single" w:sz="8" w:space="0" w:color="auto"/>
                  <w:right w:val="nil"/>
                </w:tcBorders>
                <w:shd w:val="clear" w:color="000000" w:fill="A6A6A6"/>
                <w:noWrap/>
                <w:vAlign w:val="bottom"/>
                <w:hideMark/>
              </w:tcPr>
              <w:p w14:paraId="78F219A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701" w:type="dxa"/>
                <w:tcBorders>
                  <w:top w:val="nil"/>
                  <w:left w:val="nil"/>
                  <w:bottom w:val="single" w:sz="8" w:space="0" w:color="auto"/>
                  <w:right w:val="nil"/>
                </w:tcBorders>
                <w:shd w:val="clear" w:color="000000" w:fill="A6A6A6"/>
                <w:noWrap/>
                <w:vAlign w:val="bottom"/>
                <w:hideMark/>
              </w:tcPr>
              <w:p w14:paraId="7AD0142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701" w:type="dxa"/>
                <w:tcBorders>
                  <w:top w:val="nil"/>
                  <w:left w:val="nil"/>
                  <w:bottom w:val="single" w:sz="8" w:space="0" w:color="auto"/>
                  <w:right w:val="nil"/>
                </w:tcBorders>
                <w:shd w:val="clear" w:color="000000" w:fill="A6A6A6"/>
                <w:noWrap/>
                <w:vAlign w:val="bottom"/>
                <w:hideMark/>
              </w:tcPr>
              <w:p w14:paraId="1BA31F2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842" w:type="dxa"/>
                <w:tcBorders>
                  <w:top w:val="nil"/>
                  <w:left w:val="nil"/>
                  <w:bottom w:val="single" w:sz="8" w:space="0" w:color="auto"/>
                  <w:right w:val="nil"/>
                </w:tcBorders>
                <w:shd w:val="clear" w:color="000000" w:fill="A6A6A6"/>
                <w:noWrap/>
                <w:vAlign w:val="bottom"/>
                <w:hideMark/>
              </w:tcPr>
              <w:p w14:paraId="5BEFBB9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843" w:type="dxa"/>
                <w:tcBorders>
                  <w:top w:val="nil"/>
                  <w:left w:val="nil"/>
                  <w:bottom w:val="single" w:sz="8" w:space="0" w:color="auto"/>
                  <w:right w:val="nil"/>
                </w:tcBorders>
                <w:shd w:val="clear" w:color="000000" w:fill="A6A6A6"/>
                <w:noWrap/>
                <w:vAlign w:val="bottom"/>
                <w:hideMark/>
              </w:tcPr>
              <w:p w14:paraId="16FB88B0"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701" w:type="dxa"/>
                <w:tcBorders>
                  <w:top w:val="nil"/>
                  <w:left w:val="nil"/>
                  <w:bottom w:val="single" w:sz="8" w:space="0" w:color="auto"/>
                  <w:right w:val="nil"/>
                </w:tcBorders>
                <w:shd w:val="clear" w:color="000000" w:fill="A6A6A6"/>
                <w:noWrap/>
                <w:vAlign w:val="bottom"/>
                <w:hideMark/>
              </w:tcPr>
              <w:p w14:paraId="4AB787B3"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701" w:type="dxa"/>
                <w:tcBorders>
                  <w:top w:val="nil"/>
                  <w:left w:val="nil"/>
                  <w:bottom w:val="single" w:sz="8" w:space="0" w:color="auto"/>
                  <w:right w:val="nil"/>
                </w:tcBorders>
                <w:shd w:val="clear" w:color="000000" w:fill="A6A6A6"/>
                <w:noWrap/>
                <w:vAlign w:val="bottom"/>
                <w:hideMark/>
              </w:tcPr>
              <w:p w14:paraId="7DDDCDF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701" w:type="dxa"/>
                <w:tcBorders>
                  <w:top w:val="nil"/>
                  <w:left w:val="nil"/>
                  <w:bottom w:val="single" w:sz="8" w:space="0" w:color="auto"/>
                  <w:right w:val="single" w:sz="8" w:space="0" w:color="auto"/>
                </w:tcBorders>
                <w:shd w:val="clear" w:color="000000" w:fill="A6A6A6"/>
                <w:noWrap/>
                <w:vAlign w:val="bottom"/>
                <w:hideMark/>
              </w:tcPr>
              <w:p w14:paraId="41338B2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r>
          <w:tr w:rsidR="00FA063A" w:rsidRPr="00FF027F" w14:paraId="43D918E0" w14:textId="77777777" w:rsidTr="00FA063A">
            <w:trPr>
              <w:trHeight w:val="539"/>
            </w:trPr>
            <w:tc>
              <w:tcPr>
                <w:tcW w:w="25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4148E9F"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CA GFIV</w:t>
                </w:r>
              </w:p>
            </w:tc>
            <w:tc>
              <w:tcPr>
                <w:tcW w:w="1701" w:type="dxa"/>
                <w:tcBorders>
                  <w:top w:val="nil"/>
                  <w:left w:val="nil"/>
                  <w:bottom w:val="single" w:sz="8" w:space="0" w:color="auto"/>
                  <w:right w:val="single" w:sz="8" w:space="0" w:color="auto"/>
                </w:tcBorders>
                <w:shd w:val="clear" w:color="auto" w:fill="auto"/>
                <w:vAlign w:val="center"/>
                <w:hideMark/>
              </w:tcPr>
              <w:p w14:paraId="63B054AF"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w:t>
                </w:r>
              </w:p>
            </w:tc>
            <w:tc>
              <w:tcPr>
                <w:tcW w:w="1701" w:type="dxa"/>
                <w:tcBorders>
                  <w:top w:val="nil"/>
                  <w:left w:val="nil"/>
                  <w:bottom w:val="single" w:sz="8" w:space="0" w:color="auto"/>
                  <w:right w:val="single" w:sz="8" w:space="0" w:color="auto"/>
                </w:tcBorders>
                <w:shd w:val="clear" w:color="auto" w:fill="auto"/>
                <w:vAlign w:val="center"/>
                <w:hideMark/>
              </w:tcPr>
              <w:p w14:paraId="7EAD9F2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1</w:t>
                </w:r>
              </w:p>
            </w:tc>
            <w:tc>
              <w:tcPr>
                <w:tcW w:w="1842" w:type="dxa"/>
                <w:tcBorders>
                  <w:top w:val="nil"/>
                  <w:left w:val="nil"/>
                  <w:bottom w:val="single" w:sz="8" w:space="0" w:color="auto"/>
                  <w:right w:val="single" w:sz="8" w:space="0" w:color="auto"/>
                </w:tcBorders>
                <w:shd w:val="clear" w:color="auto" w:fill="auto"/>
                <w:vAlign w:val="center"/>
                <w:hideMark/>
              </w:tcPr>
              <w:p w14:paraId="65BEA1D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w:t>
                </w:r>
              </w:p>
            </w:tc>
            <w:tc>
              <w:tcPr>
                <w:tcW w:w="1843" w:type="dxa"/>
                <w:tcBorders>
                  <w:top w:val="nil"/>
                  <w:left w:val="nil"/>
                  <w:bottom w:val="single" w:sz="8" w:space="0" w:color="auto"/>
                  <w:right w:val="single" w:sz="8" w:space="0" w:color="auto"/>
                </w:tcBorders>
                <w:shd w:val="clear" w:color="auto" w:fill="auto"/>
                <w:vAlign w:val="center"/>
                <w:hideMark/>
              </w:tcPr>
              <w:p w14:paraId="5D544BEA"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5</w:t>
                </w:r>
              </w:p>
            </w:tc>
            <w:tc>
              <w:tcPr>
                <w:tcW w:w="1701" w:type="dxa"/>
                <w:tcBorders>
                  <w:top w:val="nil"/>
                  <w:left w:val="nil"/>
                  <w:bottom w:val="single" w:sz="8" w:space="0" w:color="auto"/>
                  <w:right w:val="single" w:sz="8" w:space="0" w:color="auto"/>
                </w:tcBorders>
                <w:shd w:val="clear" w:color="auto" w:fill="auto"/>
                <w:vAlign w:val="center"/>
                <w:hideMark/>
              </w:tcPr>
              <w:p w14:paraId="05F1256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9</w:t>
                </w:r>
              </w:p>
            </w:tc>
            <w:tc>
              <w:tcPr>
                <w:tcW w:w="1701" w:type="dxa"/>
                <w:tcBorders>
                  <w:top w:val="nil"/>
                  <w:left w:val="nil"/>
                  <w:bottom w:val="single" w:sz="8" w:space="0" w:color="auto"/>
                  <w:right w:val="single" w:sz="8" w:space="0" w:color="auto"/>
                </w:tcBorders>
                <w:shd w:val="clear" w:color="auto" w:fill="auto"/>
                <w:vAlign w:val="center"/>
                <w:hideMark/>
              </w:tcPr>
              <w:p w14:paraId="0F35A323"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9</w:t>
                </w:r>
              </w:p>
            </w:tc>
            <w:tc>
              <w:tcPr>
                <w:tcW w:w="1701" w:type="dxa"/>
                <w:tcBorders>
                  <w:top w:val="nil"/>
                  <w:left w:val="nil"/>
                  <w:bottom w:val="single" w:sz="8" w:space="0" w:color="auto"/>
                  <w:right w:val="single" w:sz="8" w:space="0" w:color="auto"/>
                </w:tcBorders>
                <w:shd w:val="clear" w:color="auto" w:fill="auto"/>
                <w:noWrap/>
                <w:vAlign w:val="center"/>
                <w:hideMark/>
              </w:tcPr>
              <w:p w14:paraId="17C035B5"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9</w:t>
                </w:r>
              </w:p>
            </w:tc>
          </w:tr>
          <w:tr w:rsidR="00FA063A" w:rsidRPr="00FF027F" w14:paraId="187B31DB" w14:textId="77777777" w:rsidTr="00FA063A">
            <w:trPr>
              <w:trHeight w:val="418"/>
            </w:trPr>
            <w:tc>
              <w:tcPr>
                <w:tcW w:w="25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A9C2515"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CA GF III</w:t>
                </w:r>
              </w:p>
            </w:tc>
            <w:tc>
              <w:tcPr>
                <w:tcW w:w="1701" w:type="dxa"/>
                <w:tcBorders>
                  <w:top w:val="nil"/>
                  <w:left w:val="nil"/>
                  <w:bottom w:val="single" w:sz="8" w:space="0" w:color="auto"/>
                  <w:right w:val="single" w:sz="8" w:space="0" w:color="auto"/>
                </w:tcBorders>
                <w:shd w:val="clear" w:color="auto" w:fill="auto"/>
                <w:vAlign w:val="center"/>
                <w:hideMark/>
              </w:tcPr>
              <w:p w14:paraId="5347A36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7E552565"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842" w:type="dxa"/>
                <w:tcBorders>
                  <w:top w:val="nil"/>
                  <w:left w:val="nil"/>
                  <w:bottom w:val="single" w:sz="8" w:space="0" w:color="auto"/>
                  <w:right w:val="single" w:sz="8" w:space="0" w:color="auto"/>
                </w:tcBorders>
                <w:shd w:val="clear" w:color="auto" w:fill="auto"/>
                <w:vAlign w:val="center"/>
                <w:hideMark/>
              </w:tcPr>
              <w:p w14:paraId="2388989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3" w:type="dxa"/>
                <w:tcBorders>
                  <w:top w:val="nil"/>
                  <w:left w:val="nil"/>
                  <w:bottom w:val="single" w:sz="8" w:space="0" w:color="auto"/>
                  <w:right w:val="single" w:sz="8" w:space="0" w:color="auto"/>
                </w:tcBorders>
                <w:shd w:val="clear" w:color="auto" w:fill="auto"/>
                <w:vAlign w:val="center"/>
                <w:hideMark/>
              </w:tcPr>
              <w:p w14:paraId="4A53A1D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701" w:type="dxa"/>
                <w:tcBorders>
                  <w:top w:val="nil"/>
                  <w:left w:val="nil"/>
                  <w:bottom w:val="single" w:sz="8" w:space="0" w:color="auto"/>
                  <w:right w:val="single" w:sz="8" w:space="0" w:color="auto"/>
                </w:tcBorders>
                <w:shd w:val="clear" w:color="auto" w:fill="auto"/>
                <w:vAlign w:val="center"/>
                <w:hideMark/>
              </w:tcPr>
              <w:p w14:paraId="05758B88"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701" w:type="dxa"/>
                <w:tcBorders>
                  <w:top w:val="nil"/>
                  <w:left w:val="nil"/>
                  <w:bottom w:val="single" w:sz="8" w:space="0" w:color="auto"/>
                  <w:right w:val="single" w:sz="8" w:space="0" w:color="auto"/>
                </w:tcBorders>
                <w:shd w:val="clear" w:color="auto" w:fill="auto"/>
                <w:vAlign w:val="center"/>
                <w:hideMark/>
              </w:tcPr>
              <w:p w14:paraId="097697A2"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701" w:type="dxa"/>
                <w:tcBorders>
                  <w:top w:val="nil"/>
                  <w:left w:val="nil"/>
                  <w:bottom w:val="single" w:sz="8" w:space="0" w:color="auto"/>
                  <w:right w:val="single" w:sz="8" w:space="0" w:color="auto"/>
                </w:tcBorders>
                <w:shd w:val="clear" w:color="auto" w:fill="auto"/>
                <w:noWrap/>
                <w:vAlign w:val="center"/>
                <w:hideMark/>
              </w:tcPr>
              <w:p w14:paraId="25A3D04F"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r>
          <w:tr w:rsidR="00FA063A" w:rsidRPr="00FF027F" w14:paraId="43C43AE1" w14:textId="77777777" w:rsidTr="00FA063A">
            <w:trPr>
              <w:trHeight w:val="396"/>
            </w:trPr>
            <w:tc>
              <w:tcPr>
                <w:tcW w:w="25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34592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CA GF II</w:t>
                </w:r>
              </w:p>
            </w:tc>
            <w:tc>
              <w:tcPr>
                <w:tcW w:w="1701" w:type="dxa"/>
                <w:tcBorders>
                  <w:top w:val="nil"/>
                  <w:left w:val="nil"/>
                  <w:bottom w:val="single" w:sz="8" w:space="0" w:color="auto"/>
                  <w:right w:val="single" w:sz="8" w:space="0" w:color="auto"/>
                </w:tcBorders>
                <w:shd w:val="clear" w:color="auto" w:fill="auto"/>
                <w:vAlign w:val="center"/>
                <w:hideMark/>
              </w:tcPr>
              <w:p w14:paraId="784D08A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3</w:t>
                </w:r>
              </w:p>
            </w:tc>
            <w:tc>
              <w:tcPr>
                <w:tcW w:w="1701" w:type="dxa"/>
                <w:tcBorders>
                  <w:top w:val="nil"/>
                  <w:left w:val="nil"/>
                  <w:bottom w:val="single" w:sz="8" w:space="0" w:color="auto"/>
                  <w:right w:val="single" w:sz="8" w:space="0" w:color="auto"/>
                </w:tcBorders>
                <w:shd w:val="clear" w:color="auto" w:fill="auto"/>
                <w:vAlign w:val="center"/>
                <w:hideMark/>
              </w:tcPr>
              <w:p w14:paraId="3E51E68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6</w:t>
                </w:r>
              </w:p>
            </w:tc>
            <w:tc>
              <w:tcPr>
                <w:tcW w:w="1842" w:type="dxa"/>
                <w:tcBorders>
                  <w:top w:val="nil"/>
                  <w:left w:val="nil"/>
                  <w:bottom w:val="single" w:sz="8" w:space="0" w:color="auto"/>
                  <w:right w:val="single" w:sz="8" w:space="0" w:color="auto"/>
                </w:tcBorders>
                <w:shd w:val="clear" w:color="auto" w:fill="auto"/>
                <w:vAlign w:val="center"/>
                <w:hideMark/>
              </w:tcPr>
              <w:p w14:paraId="6706A109"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6</w:t>
                </w:r>
              </w:p>
            </w:tc>
            <w:tc>
              <w:tcPr>
                <w:tcW w:w="1843" w:type="dxa"/>
                <w:tcBorders>
                  <w:top w:val="nil"/>
                  <w:left w:val="nil"/>
                  <w:bottom w:val="single" w:sz="8" w:space="0" w:color="auto"/>
                  <w:right w:val="single" w:sz="8" w:space="0" w:color="auto"/>
                </w:tcBorders>
                <w:shd w:val="clear" w:color="auto" w:fill="auto"/>
                <w:vAlign w:val="center"/>
                <w:hideMark/>
              </w:tcPr>
              <w:p w14:paraId="045CD31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6</w:t>
                </w:r>
              </w:p>
            </w:tc>
            <w:tc>
              <w:tcPr>
                <w:tcW w:w="1701" w:type="dxa"/>
                <w:tcBorders>
                  <w:top w:val="nil"/>
                  <w:left w:val="nil"/>
                  <w:bottom w:val="single" w:sz="8" w:space="0" w:color="auto"/>
                  <w:right w:val="single" w:sz="8" w:space="0" w:color="auto"/>
                </w:tcBorders>
                <w:shd w:val="clear" w:color="auto" w:fill="auto"/>
                <w:vAlign w:val="center"/>
                <w:hideMark/>
              </w:tcPr>
              <w:p w14:paraId="781B5772"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6</w:t>
                </w:r>
              </w:p>
            </w:tc>
            <w:tc>
              <w:tcPr>
                <w:tcW w:w="1701" w:type="dxa"/>
                <w:tcBorders>
                  <w:top w:val="nil"/>
                  <w:left w:val="nil"/>
                  <w:bottom w:val="single" w:sz="8" w:space="0" w:color="auto"/>
                  <w:right w:val="single" w:sz="8" w:space="0" w:color="auto"/>
                </w:tcBorders>
                <w:shd w:val="clear" w:color="auto" w:fill="auto"/>
                <w:vAlign w:val="center"/>
                <w:hideMark/>
              </w:tcPr>
              <w:p w14:paraId="4BF6A9CC"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6</w:t>
                </w:r>
              </w:p>
            </w:tc>
            <w:tc>
              <w:tcPr>
                <w:tcW w:w="1701" w:type="dxa"/>
                <w:tcBorders>
                  <w:top w:val="nil"/>
                  <w:left w:val="nil"/>
                  <w:bottom w:val="single" w:sz="8" w:space="0" w:color="auto"/>
                  <w:right w:val="single" w:sz="8" w:space="0" w:color="auto"/>
                </w:tcBorders>
                <w:shd w:val="clear" w:color="auto" w:fill="auto"/>
                <w:noWrap/>
                <w:vAlign w:val="center"/>
                <w:hideMark/>
              </w:tcPr>
              <w:p w14:paraId="50DCDAD7"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6</w:t>
                </w:r>
              </w:p>
            </w:tc>
          </w:tr>
          <w:tr w:rsidR="00FA063A" w:rsidRPr="00FF027F" w14:paraId="2099DC85" w14:textId="77777777" w:rsidTr="00FA063A">
            <w:trPr>
              <w:trHeight w:val="330"/>
            </w:trPr>
            <w:tc>
              <w:tcPr>
                <w:tcW w:w="255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A139C3C"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CA GFI</w:t>
                </w:r>
              </w:p>
            </w:tc>
            <w:tc>
              <w:tcPr>
                <w:tcW w:w="1701" w:type="dxa"/>
                <w:tcBorders>
                  <w:top w:val="nil"/>
                  <w:left w:val="nil"/>
                  <w:bottom w:val="single" w:sz="8" w:space="0" w:color="auto"/>
                  <w:right w:val="single" w:sz="8" w:space="0" w:color="auto"/>
                </w:tcBorders>
                <w:shd w:val="clear" w:color="auto" w:fill="auto"/>
                <w:vAlign w:val="center"/>
                <w:hideMark/>
              </w:tcPr>
              <w:p w14:paraId="3D5D831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477BB6C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842" w:type="dxa"/>
                <w:tcBorders>
                  <w:top w:val="nil"/>
                  <w:left w:val="nil"/>
                  <w:bottom w:val="single" w:sz="8" w:space="0" w:color="auto"/>
                  <w:right w:val="single" w:sz="8" w:space="0" w:color="auto"/>
                </w:tcBorders>
                <w:shd w:val="clear" w:color="auto" w:fill="auto"/>
                <w:vAlign w:val="center"/>
                <w:hideMark/>
              </w:tcPr>
              <w:p w14:paraId="7020599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843" w:type="dxa"/>
                <w:tcBorders>
                  <w:top w:val="nil"/>
                  <w:left w:val="nil"/>
                  <w:bottom w:val="single" w:sz="8" w:space="0" w:color="auto"/>
                  <w:right w:val="single" w:sz="8" w:space="0" w:color="auto"/>
                </w:tcBorders>
                <w:shd w:val="clear" w:color="auto" w:fill="auto"/>
                <w:vAlign w:val="center"/>
                <w:hideMark/>
              </w:tcPr>
              <w:p w14:paraId="241AF45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701" w:type="dxa"/>
                <w:tcBorders>
                  <w:top w:val="nil"/>
                  <w:left w:val="nil"/>
                  <w:bottom w:val="single" w:sz="8" w:space="0" w:color="auto"/>
                  <w:right w:val="single" w:sz="8" w:space="0" w:color="auto"/>
                </w:tcBorders>
                <w:shd w:val="clear" w:color="auto" w:fill="auto"/>
                <w:vAlign w:val="center"/>
                <w:hideMark/>
              </w:tcPr>
              <w:p w14:paraId="391D7844"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0</w:t>
                </w:r>
              </w:p>
            </w:tc>
            <w:tc>
              <w:tcPr>
                <w:tcW w:w="1701" w:type="dxa"/>
                <w:tcBorders>
                  <w:top w:val="nil"/>
                  <w:left w:val="nil"/>
                  <w:bottom w:val="single" w:sz="8" w:space="0" w:color="auto"/>
                  <w:right w:val="single" w:sz="8" w:space="0" w:color="auto"/>
                </w:tcBorders>
                <w:shd w:val="clear" w:color="auto" w:fill="auto"/>
                <w:vAlign w:val="center"/>
                <w:hideMark/>
              </w:tcPr>
              <w:p w14:paraId="3A9B926F"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noWrap/>
                <w:vAlign w:val="center"/>
                <w:hideMark/>
              </w:tcPr>
              <w:p w14:paraId="7D4D7BF8"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r>
          <w:tr w:rsidR="00FA063A" w:rsidRPr="00FF027F" w14:paraId="7B781B38" w14:textId="77777777" w:rsidTr="00FA063A">
            <w:trPr>
              <w:trHeight w:val="330"/>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49ADA4DF"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Total CA</w:t>
                </w:r>
              </w:p>
            </w:tc>
            <w:tc>
              <w:tcPr>
                <w:tcW w:w="1134" w:type="dxa"/>
                <w:tcBorders>
                  <w:top w:val="nil"/>
                  <w:left w:val="nil"/>
                  <w:bottom w:val="single" w:sz="8" w:space="0" w:color="auto"/>
                  <w:right w:val="single" w:sz="8" w:space="0" w:color="auto"/>
                </w:tcBorders>
                <w:shd w:val="clear" w:color="auto" w:fill="auto"/>
                <w:vAlign w:val="center"/>
                <w:hideMark/>
              </w:tcPr>
              <w:p w14:paraId="259ACE96"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3EF42696"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4</w:t>
                </w:r>
              </w:p>
            </w:tc>
            <w:tc>
              <w:tcPr>
                <w:tcW w:w="1701" w:type="dxa"/>
                <w:tcBorders>
                  <w:top w:val="nil"/>
                  <w:left w:val="nil"/>
                  <w:bottom w:val="single" w:sz="8" w:space="0" w:color="auto"/>
                  <w:right w:val="single" w:sz="8" w:space="0" w:color="auto"/>
                </w:tcBorders>
                <w:shd w:val="clear" w:color="auto" w:fill="auto"/>
                <w:vAlign w:val="center"/>
                <w:hideMark/>
              </w:tcPr>
              <w:p w14:paraId="37791705"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7</w:t>
                </w:r>
              </w:p>
            </w:tc>
            <w:tc>
              <w:tcPr>
                <w:tcW w:w="1842" w:type="dxa"/>
                <w:tcBorders>
                  <w:top w:val="nil"/>
                  <w:left w:val="nil"/>
                  <w:bottom w:val="single" w:sz="8" w:space="0" w:color="auto"/>
                  <w:right w:val="single" w:sz="8" w:space="0" w:color="auto"/>
                </w:tcBorders>
                <w:shd w:val="clear" w:color="auto" w:fill="auto"/>
                <w:vAlign w:val="center"/>
                <w:hideMark/>
              </w:tcPr>
              <w:p w14:paraId="3B74DC14"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7</w:t>
                </w:r>
              </w:p>
            </w:tc>
            <w:tc>
              <w:tcPr>
                <w:tcW w:w="1843" w:type="dxa"/>
                <w:tcBorders>
                  <w:top w:val="nil"/>
                  <w:left w:val="nil"/>
                  <w:bottom w:val="single" w:sz="8" w:space="0" w:color="auto"/>
                  <w:right w:val="single" w:sz="8" w:space="0" w:color="auto"/>
                </w:tcBorders>
                <w:shd w:val="clear" w:color="auto" w:fill="auto"/>
                <w:vAlign w:val="center"/>
                <w:hideMark/>
              </w:tcPr>
              <w:p w14:paraId="0D2BCD20"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11</w:t>
                </w:r>
              </w:p>
            </w:tc>
            <w:tc>
              <w:tcPr>
                <w:tcW w:w="1701" w:type="dxa"/>
                <w:tcBorders>
                  <w:top w:val="nil"/>
                  <w:left w:val="nil"/>
                  <w:bottom w:val="single" w:sz="8" w:space="0" w:color="auto"/>
                  <w:right w:val="single" w:sz="8" w:space="0" w:color="auto"/>
                </w:tcBorders>
                <w:shd w:val="clear" w:color="auto" w:fill="auto"/>
                <w:vAlign w:val="center"/>
                <w:hideMark/>
              </w:tcPr>
              <w:p w14:paraId="646900A4"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15</w:t>
                </w:r>
              </w:p>
            </w:tc>
            <w:tc>
              <w:tcPr>
                <w:tcW w:w="1701" w:type="dxa"/>
                <w:tcBorders>
                  <w:top w:val="nil"/>
                  <w:left w:val="nil"/>
                  <w:bottom w:val="single" w:sz="8" w:space="0" w:color="auto"/>
                  <w:right w:val="single" w:sz="8" w:space="0" w:color="auto"/>
                </w:tcBorders>
                <w:shd w:val="clear" w:color="auto" w:fill="auto"/>
                <w:vAlign w:val="center"/>
                <w:hideMark/>
              </w:tcPr>
              <w:p w14:paraId="2B4A8060"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15</w:t>
                </w:r>
              </w:p>
            </w:tc>
            <w:tc>
              <w:tcPr>
                <w:tcW w:w="1701" w:type="dxa"/>
                <w:tcBorders>
                  <w:top w:val="nil"/>
                  <w:left w:val="nil"/>
                  <w:bottom w:val="single" w:sz="8" w:space="0" w:color="auto"/>
                  <w:right w:val="single" w:sz="8" w:space="0" w:color="auto"/>
                </w:tcBorders>
                <w:shd w:val="clear" w:color="auto" w:fill="auto"/>
                <w:noWrap/>
                <w:vAlign w:val="center"/>
                <w:hideMark/>
              </w:tcPr>
              <w:p w14:paraId="642BB2D2"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15</w:t>
                </w:r>
              </w:p>
            </w:tc>
          </w:tr>
          <w:tr w:rsidR="00FA063A" w:rsidRPr="00FF027F" w14:paraId="545F36DE" w14:textId="77777777" w:rsidTr="00FA063A">
            <w:trPr>
              <w:trHeight w:val="330"/>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49B939FD"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SNE</w:t>
                </w:r>
              </w:p>
            </w:tc>
            <w:tc>
              <w:tcPr>
                <w:tcW w:w="1134" w:type="dxa"/>
                <w:tcBorders>
                  <w:top w:val="nil"/>
                  <w:left w:val="nil"/>
                  <w:bottom w:val="single" w:sz="8" w:space="0" w:color="auto"/>
                  <w:right w:val="single" w:sz="8" w:space="0" w:color="auto"/>
                </w:tcBorders>
                <w:shd w:val="clear" w:color="auto" w:fill="auto"/>
                <w:vAlign w:val="center"/>
                <w:hideMark/>
              </w:tcPr>
              <w:p w14:paraId="61F2887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701" w:type="dxa"/>
                <w:tcBorders>
                  <w:top w:val="nil"/>
                  <w:left w:val="nil"/>
                  <w:bottom w:val="single" w:sz="8" w:space="0" w:color="auto"/>
                  <w:right w:val="single" w:sz="8" w:space="0" w:color="auto"/>
                </w:tcBorders>
                <w:shd w:val="clear" w:color="auto" w:fill="auto"/>
                <w:vAlign w:val="center"/>
                <w:hideMark/>
              </w:tcPr>
              <w:p w14:paraId="306AD444"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8</w:t>
                </w:r>
              </w:p>
            </w:tc>
            <w:tc>
              <w:tcPr>
                <w:tcW w:w="1701" w:type="dxa"/>
                <w:tcBorders>
                  <w:top w:val="nil"/>
                  <w:left w:val="nil"/>
                  <w:bottom w:val="single" w:sz="8" w:space="0" w:color="auto"/>
                  <w:right w:val="single" w:sz="8" w:space="0" w:color="auto"/>
                </w:tcBorders>
                <w:shd w:val="clear" w:color="auto" w:fill="auto"/>
                <w:vAlign w:val="center"/>
                <w:hideMark/>
              </w:tcPr>
              <w:p w14:paraId="0D5DF8A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16</w:t>
                </w:r>
              </w:p>
            </w:tc>
            <w:tc>
              <w:tcPr>
                <w:tcW w:w="1842" w:type="dxa"/>
                <w:tcBorders>
                  <w:top w:val="nil"/>
                  <w:left w:val="nil"/>
                  <w:bottom w:val="single" w:sz="8" w:space="0" w:color="auto"/>
                  <w:right w:val="single" w:sz="8" w:space="0" w:color="auto"/>
                </w:tcBorders>
                <w:shd w:val="clear" w:color="auto" w:fill="auto"/>
                <w:vAlign w:val="center"/>
                <w:hideMark/>
              </w:tcPr>
              <w:p w14:paraId="691961E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15</w:t>
                </w:r>
              </w:p>
            </w:tc>
            <w:tc>
              <w:tcPr>
                <w:tcW w:w="1843" w:type="dxa"/>
                <w:tcBorders>
                  <w:top w:val="nil"/>
                  <w:left w:val="nil"/>
                  <w:bottom w:val="single" w:sz="8" w:space="0" w:color="auto"/>
                  <w:right w:val="single" w:sz="8" w:space="0" w:color="auto"/>
                </w:tcBorders>
                <w:shd w:val="clear" w:color="auto" w:fill="auto"/>
                <w:vAlign w:val="center"/>
                <w:hideMark/>
              </w:tcPr>
              <w:p w14:paraId="0DCECEF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12</w:t>
                </w:r>
              </w:p>
            </w:tc>
            <w:tc>
              <w:tcPr>
                <w:tcW w:w="1701" w:type="dxa"/>
                <w:tcBorders>
                  <w:top w:val="nil"/>
                  <w:left w:val="nil"/>
                  <w:bottom w:val="single" w:sz="8" w:space="0" w:color="auto"/>
                  <w:right w:val="single" w:sz="8" w:space="0" w:color="auto"/>
                </w:tcBorders>
                <w:shd w:val="clear" w:color="auto" w:fill="auto"/>
                <w:vAlign w:val="center"/>
                <w:hideMark/>
              </w:tcPr>
              <w:p w14:paraId="51E5A11B"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8</w:t>
                </w:r>
              </w:p>
            </w:tc>
            <w:tc>
              <w:tcPr>
                <w:tcW w:w="1701" w:type="dxa"/>
                <w:tcBorders>
                  <w:top w:val="nil"/>
                  <w:left w:val="nil"/>
                  <w:bottom w:val="single" w:sz="8" w:space="0" w:color="auto"/>
                  <w:right w:val="single" w:sz="8" w:space="0" w:color="auto"/>
                </w:tcBorders>
                <w:shd w:val="clear" w:color="auto" w:fill="auto"/>
                <w:vAlign w:val="center"/>
                <w:hideMark/>
              </w:tcPr>
              <w:p w14:paraId="7162736E"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8</w:t>
                </w:r>
              </w:p>
            </w:tc>
            <w:tc>
              <w:tcPr>
                <w:tcW w:w="1701" w:type="dxa"/>
                <w:tcBorders>
                  <w:top w:val="nil"/>
                  <w:left w:val="nil"/>
                  <w:bottom w:val="single" w:sz="8" w:space="0" w:color="auto"/>
                  <w:right w:val="single" w:sz="8" w:space="0" w:color="auto"/>
                </w:tcBorders>
                <w:shd w:val="clear" w:color="auto" w:fill="auto"/>
                <w:noWrap/>
                <w:vAlign w:val="center"/>
                <w:hideMark/>
              </w:tcPr>
              <w:p w14:paraId="68F32F01"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8</w:t>
                </w:r>
              </w:p>
            </w:tc>
          </w:tr>
          <w:tr w:rsidR="00FA063A" w:rsidRPr="00FF027F" w14:paraId="1704889C" w14:textId="77777777" w:rsidTr="00FA063A">
            <w:trPr>
              <w:trHeight w:val="330"/>
            </w:trPr>
            <w:tc>
              <w:tcPr>
                <w:tcW w:w="1419" w:type="dxa"/>
                <w:tcBorders>
                  <w:top w:val="nil"/>
                  <w:left w:val="single" w:sz="8" w:space="0" w:color="auto"/>
                  <w:bottom w:val="single" w:sz="8" w:space="0" w:color="auto"/>
                  <w:right w:val="single" w:sz="8" w:space="0" w:color="auto"/>
                </w:tcBorders>
                <w:shd w:val="clear" w:color="auto" w:fill="auto"/>
                <w:vAlign w:val="center"/>
                <w:hideMark/>
              </w:tcPr>
              <w:p w14:paraId="63C8C600" w14:textId="77777777" w:rsidR="00FA063A" w:rsidRPr="00FF027F" w:rsidRDefault="00FA063A" w:rsidP="00FA063A">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TOTAL</w:t>
                </w:r>
              </w:p>
            </w:tc>
            <w:tc>
              <w:tcPr>
                <w:tcW w:w="1134" w:type="dxa"/>
                <w:tcBorders>
                  <w:top w:val="nil"/>
                  <w:left w:val="nil"/>
                  <w:bottom w:val="single" w:sz="8" w:space="0" w:color="auto"/>
                  <w:right w:val="single" w:sz="8" w:space="0" w:color="auto"/>
                </w:tcBorders>
                <w:shd w:val="clear" w:color="auto" w:fill="auto"/>
                <w:vAlign w:val="center"/>
                <w:hideMark/>
              </w:tcPr>
              <w:p w14:paraId="2860E8A9"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0</w:t>
                </w:r>
              </w:p>
            </w:tc>
            <w:tc>
              <w:tcPr>
                <w:tcW w:w="1701" w:type="dxa"/>
                <w:tcBorders>
                  <w:top w:val="nil"/>
                  <w:left w:val="nil"/>
                  <w:bottom w:val="single" w:sz="8" w:space="0" w:color="auto"/>
                  <w:right w:val="single" w:sz="8" w:space="0" w:color="auto"/>
                </w:tcBorders>
                <w:shd w:val="clear" w:color="auto" w:fill="auto"/>
                <w:vAlign w:val="center"/>
                <w:hideMark/>
              </w:tcPr>
              <w:p w14:paraId="28CA5C22"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54</w:t>
                </w:r>
              </w:p>
            </w:tc>
            <w:tc>
              <w:tcPr>
                <w:tcW w:w="1701" w:type="dxa"/>
                <w:tcBorders>
                  <w:top w:val="nil"/>
                  <w:left w:val="nil"/>
                  <w:bottom w:val="single" w:sz="8" w:space="0" w:color="auto"/>
                  <w:right w:val="single" w:sz="8" w:space="0" w:color="auto"/>
                </w:tcBorders>
                <w:shd w:val="clear" w:color="auto" w:fill="auto"/>
                <w:vAlign w:val="center"/>
                <w:hideMark/>
              </w:tcPr>
              <w:p w14:paraId="763D5BCA"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72</w:t>
                </w:r>
              </w:p>
            </w:tc>
            <w:tc>
              <w:tcPr>
                <w:tcW w:w="1842" w:type="dxa"/>
                <w:tcBorders>
                  <w:top w:val="nil"/>
                  <w:left w:val="nil"/>
                  <w:bottom w:val="single" w:sz="8" w:space="0" w:color="auto"/>
                  <w:right w:val="single" w:sz="8" w:space="0" w:color="auto"/>
                </w:tcBorders>
                <w:shd w:val="clear" w:color="auto" w:fill="auto"/>
                <w:vAlign w:val="center"/>
                <w:hideMark/>
              </w:tcPr>
              <w:p w14:paraId="2AF7539D"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69</w:t>
                </w:r>
              </w:p>
            </w:tc>
            <w:tc>
              <w:tcPr>
                <w:tcW w:w="1843" w:type="dxa"/>
                <w:tcBorders>
                  <w:top w:val="nil"/>
                  <w:left w:val="nil"/>
                  <w:bottom w:val="single" w:sz="8" w:space="0" w:color="auto"/>
                  <w:right w:val="single" w:sz="8" w:space="0" w:color="auto"/>
                </w:tcBorders>
                <w:shd w:val="clear" w:color="auto" w:fill="auto"/>
                <w:vAlign w:val="center"/>
                <w:hideMark/>
              </w:tcPr>
              <w:p w14:paraId="6D4F71FE"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77</w:t>
                </w:r>
              </w:p>
            </w:tc>
            <w:tc>
              <w:tcPr>
                <w:tcW w:w="1701" w:type="dxa"/>
                <w:tcBorders>
                  <w:top w:val="nil"/>
                  <w:left w:val="nil"/>
                  <w:bottom w:val="single" w:sz="8" w:space="0" w:color="auto"/>
                  <w:right w:val="single" w:sz="8" w:space="0" w:color="auto"/>
                </w:tcBorders>
                <w:shd w:val="clear" w:color="auto" w:fill="auto"/>
                <w:vAlign w:val="center"/>
                <w:hideMark/>
              </w:tcPr>
              <w:p w14:paraId="1BD513D0"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118</w:t>
                </w:r>
              </w:p>
            </w:tc>
            <w:tc>
              <w:tcPr>
                <w:tcW w:w="1701" w:type="dxa"/>
                <w:tcBorders>
                  <w:top w:val="nil"/>
                  <w:left w:val="nil"/>
                  <w:bottom w:val="single" w:sz="8" w:space="0" w:color="auto"/>
                  <w:right w:val="single" w:sz="8" w:space="0" w:color="auto"/>
                </w:tcBorders>
                <w:shd w:val="clear" w:color="auto" w:fill="auto"/>
                <w:vAlign w:val="center"/>
                <w:hideMark/>
              </w:tcPr>
              <w:p w14:paraId="5865D3D3"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118</w:t>
                </w:r>
              </w:p>
            </w:tc>
            <w:tc>
              <w:tcPr>
                <w:tcW w:w="1701" w:type="dxa"/>
                <w:tcBorders>
                  <w:top w:val="nil"/>
                  <w:left w:val="nil"/>
                  <w:bottom w:val="single" w:sz="8" w:space="0" w:color="auto"/>
                  <w:right w:val="single" w:sz="8" w:space="0" w:color="auto"/>
                </w:tcBorders>
                <w:shd w:val="clear" w:color="auto" w:fill="auto"/>
                <w:noWrap/>
                <w:vAlign w:val="center"/>
                <w:hideMark/>
              </w:tcPr>
              <w:p w14:paraId="557C2782" w14:textId="77777777" w:rsidR="00FA063A" w:rsidRPr="00FF027F" w:rsidRDefault="00FA063A" w:rsidP="00FA063A">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118</w:t>
                </w:r>
              </w:p>
            </w:tc>
          </w:tr>
        </w:tbl>
        <w:p w14:paraId="1258B241" w14:textId="643AEE84" w:rsidR="00FA063A" w:rsidRPr="00FF027F" w:rsidRDefault="00FA063A" w:rsidP="00FA063A">
          <w:pPr>
            <w:rPr>
              <w:rFonts w:ascii="Verdana" w:eastAsia="Verdana" w:hAnsi="Verdana" w:cs="Times New Roman"/>
              <w:sz w:val="20"/>
              <w:lang w:val="en-GB" w:eastAsia="en-GB"/>
            </w:rPr>
          </w:pPr>
        </w:p>
        <w:p w14:paraId="43DD1D1D" w14:textId="77777777" w:rsidR="00FA063A" w:rsidRPr="00FF027F" w:rsidRDefault="00FA063A" w:rsidP="00FA063A">
          <w:pPr>
            <w:rPr>
              <w:rFonts w:ascii="Verdana" w:eastAsia="Verdana" w:hAnsi="Verdana" w:cs="Times New Roman"/>
              <w:sz w:val="20"/>
              <w:lang w:val="en-GB" w:eastAsia="en-GB"/>
            </w:rPr>
            <w:sectPr w:rsidR="00FA063A" w:rsidRPr="00FF027F" w:rsidSect="004E115C">
              <w:headerReference w:type="first" r:id="rId17"/>
              <w:footerReference w:type="first" r:id="rId18"/>
              <w:pgSz w:w="16839" w:h="11907" w:orient="landscape" w:code="9"/>
              <w:pgMar w:top="964" w:right="1440" w:bottom="964" w:left="1440" w:header="720" w:footer="720" w:gutter="0"/>
              <w:cols w:space="720"/>
              <w:titlePg/>
              <w:docGrid w:linePitch="360"/>
            </w:sectPr>
          </w:pPr>
        </w:p>
        <w:p w14:paraId="1405D540" w14:textId="44451FCF" w:rsidR="00A626B4" w:rsidRPr="00FF027F" w:rsidRDefault="00450106" w:rsidP="00450106">
          <w:pPr>
            <w:pStyle w:val="Heading2"/>
            <w:rPr>
              <w:rFonts w:eastAsia="Verdana"/>
            </w:rPr>
          </w:pPr>
          <w:bookmarkStart w:id="63" w:name="_Toc396913773"/>
          <w:r w:rsidRPr="00FF027F">
            <w:rPr>
              <w:rFonts w:eastAsia="Verdana"/>
            </w:rPr>
            <w:t>Resource programming</w:t>
          </w:r>
          <w:bookmarkEnd w:id="63"/>
          <w:r w:rsidRPr="00FF027F">
            <w:rPr>
              <w:rFonts w:eastAsia="Verdana"/>
            </w:rPr>
            <w:t xml:space="preserve"> </w:t>
          </w:r>
        </w:p>
        <w:p w14:paraId="3ED2A668" w14:textId="77777777" w:rsidR="00176B7C" w:rsidRPr="00FF027F" w:rsidRDefault="00176B7C" w:rsidP="00176B7C">
          <w:pPr>
            <w:pStyle w:val="Heading3"/>
            <w:rPr>
              <w:rFonts w:eastAsia="Verdana"/>
              <w:color w:val="4F81BD" w:themeColor="accent1"/>
              <w:lang w:eastAsia="en-GB"/>
            </w:rPr>
          </w:pPr>
          <w:bookmarkStart w:id="64" w:name="_Toc396913774"/>
          <w:r w:rsidRPr="00FF027F">
            <w:rPr>
              <w:rFonts w:eastAsia="Verdana"/>
              <w:color w:val="4F81BD" w:themeColor="accent1"/>
              <w:lang w:eastAsia="en-GB"/>
            </w:rPr>
            <w:t>Financial resources</w:t>
          </w:r>
          <w:bookmarkEnd w:id="64"/>
        </w:p>
        <w:p w14:paraId="3246B96D" w14:textId="28A9C94F" w:rsidR="00734CDE" w:rsidRPr="00FF027F" w:rsidRDefault="00734CDE" w:rsidP="00D8019F">
          <w:pPr>
            <w:pStyle w:val="11ptVerdanaBold"/>
            <w:spacing w:before="360" w:after="240" w:line="360" w:lineRule="auto"/>
            <w:jc w:val="both"/>
            <w:rPr>
              <w:rFonts w:ascii="Arial" w:eastAsia="Verdana" w:hAnsi="Arial" w:cs="Arial"/>
              <w:b w:val="0"/>
              <w:szCs w:val="22"/>
            </w:rPr>
          </w:pPr>
          <w:r w:rsidRPr="00FF027F">
            <w:rPr>
              <w:rFonts w:ascii="Arial" w:eastAsia="Verdana" w:hAnsi="Arial" w:cs="Arial"/>
              <w:b w:val="0"/>
              <w:szCs w:val="22"/>
            </w:rPr>
            <w:t>In order to implement its tasks</w:t>
          </w:r>
          <w:r w:rsidR="00D8019F" w:rsidRPr="00FF027F">
            <w:rPr>
              <w:rFonts w:ascii="Arial" w:eastAsia="Verdana" w:hAnsi="Arial" w:cs="Arial"/>
              <w:b w:val="0"/>
              <w:szCs w:val="22"/>
            </w:rPr>
            <w:t xml:space="preserve"> in 2015,</w:t>
          </w:r>
          <w:r w:rsidRPr="00FF027F">
            <w:rPr>
              <w:rFonts w:ascii="Arial" w:eastAsia="Verdana" w:hAnsi="Arial" w:cs="Arial"/>
              <w:b w:val="0"/>
              <w:szCs w:val="22"/>
            </w:rPr>
            <w:t xml:space="preserve"> </w:t>
          </w:r>
          <w:r w:rsidR="00D8019F" w:rsidRPr="00FF027F">
            <w:rPr>
              <w:rFonts w:ascii="Arial" w:eastAsia="Verdana" w:hAnsi="Arial" w:cs="Arial"/>
              <w:b w:val="0"/>
              <w:szCs w:val="22"/>
            </w:rPr>
            <w:t xml:space="preserve">the </w:t>
          </w:r>
          <w:r w:rsidRPr="00FF027F">
            <w:rPr>
              <w:rFonts w:ascii="Arial" w:eastAsia="Verdana" w:hAnsi="Arial" w:cs="Arial"/>
              <w:b w:val="0"/>
              <w:szCs w:val="22"/>
            </w:rPr>
            <w:t xml:space="preserve">Agency </w:t>
          </w:r>
          <w:r w:rsidR="00D8019F" w:rsidRPr="00FF027F">
            <w:rPr>
              <w:rFonts w:ascii="Arial" w:eastAsia="Verdana" w:hAnsi="Arial" w:cs="Arial"/>
              <w:b w:val="0"/>
              <w:szCs w:val="22"/>
            </w:rPr>
            <w:t xml:space="preserve">requires a 52.19% increase in available financial resources </w:t>
          </w:r>
          <w:r w:rsidRPr="00FF027F">
            <w:rPr>
              <w:rFonts w:ascii="Arial" w:eastAsia="Verdana" w:hAnsi="Arial" w:cs="Arial"/>
              <w:b w:val="0"/>
              <w:szCs w:val="22"/>
            </w:rPr>
            <w:t>compared to 2014</w:t>
          </w:r>
          <w:r w:rsidR="00D8019F" w:rsidRPr="00FF027F">
            <w:rPr>
              <w:rFonts w:ascii="Arial" w:eastAsia="Verdana" w:hAnsi="Arial" w:cs="Arial"/>
              <w:b w:val="0"/>
              <w:szCs w:val="22"/>
            </w:rPr>
            <w:t>, as indicated in</w:t>
          </w:r>
          <w:r w:rsidRPr="00FF027F">
            <w:rPr>
              <w:rFonts w:ascii="Arial" w:eastAsia="Verdana" w:hAnsi="Arial" w:cs="Arial"/>
              <w:b w:val="0"/>
              <w:szCs w:val="22"/>
            </w:rPr>
            <w:t xml:space="preserve"> the table below</w:t>
          </w:r>
          <w:r w:rsidR="009A186A" w:rsidRPr="00FF027F">
            <w:rPr>
              <w:rFonts w:ascii="Arial" w:eastAsia="Verdana" w:hAnsi="Arial" w:cs="Arial"/>
              <w:b w:val="0"/>
              <w:szCs w:val="22"/>
            </w:rPr>
            <w:t>. This increase is areflection of the extended mandate assigned to the Agency by REMIT and the TEN-E Regulation.</w:t>
          </w:r>
        </w:p>
        <w:p w14:paraId="5E4455AD" w14:textId="77777777" w:rsidR="00734CDE" w:rsidRPr="00FF027F" w:rsidRDefault="00734CDE" w:rsidP="00483A63">
          <w:pPr>
            <w:pStyle w:val="11ptVerdanaBold"/>
            <w:rPr>
              <w:rFonts w:eastAsia="Verdana" w:cs="Arial"/>
              <w:b w:val="0"/>
              <w:sz w:val="20"/>
            </w:rPr>
          </w:pPr>
        </w:p>
        <w:tbl>
          <w:tblPr>
            <w:tblW w:w="7670" w:type="dxa"/>
            <w:tblInd w:w="93" w:type="dxa"/>
            <w:tblLook w:val="04A0" w:firstRow="1" w:lastRow="0" w:firstColumn="1" w:lastColumn="0" w:noHBand="0" w:noVBand="1"/>
          </w:tblPr>
          <w:tblGrid>
            <w:gridCol w:w="3040"/>
            <w:gridCol w:w="1500"/>
            <w:gridCol w:w="1500"/>
            <w:gridCol w:w="1630"/>
          </w:tblGrid>
          <w:tr w:rsidR="00734CDE" w:rsidRPr="00FF027F" w14:paraId="59DDB41F" w14:textId="77777777" w:rsidTr="000E630C">
            <w:trPr>
              <w:trHeight w:val="600"/>
            </w:trPr>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97A7D5" w14:textId="77777777" w:rsidR="00734CDE" w:rsidRPr="00FF027F" w:rsidRDefault="00734CDE" w:rsidP="00734CDE">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0E9C5A" w14:textId="77777777" w:rsidR="00734CDE" w:rsidRPr="00FF027F" w:rsidRDefault="00734CDE" w:rsidP="00734CDE">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2015</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A90F9D8" w14:textId="77777777" w:rsidR="00734CDE" w:rsidRPr="00FF027F" w:rsidRDefault="00734CDE" w:rsidP="00734CDE">
                <w:pPr>
                  <w:spacing w:after="0" w:line="240" w:lineRule="auto"/>
                  <w:jc w:val="center"/>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2014</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14:paraId="46CDA271" w14:textId="77777777" w:rsidR="00734CDE" w:rsidRPr="00FF027F" w:rsidRDefault="00734CDE" w:rsidP="00734CDE">
                <w:pPr>
                  <w:spacing w:after="0" w:line="240" w:lineRule="auto"/>
                  <w:rPr>
                    <w:rFonts w:ascii="Verdana" w:eastAsia="Times New Roman" w:hAnsi="Verdana" w:cs="Times New Roman"/>
                    <w:b/>
                    <w:bCs/>
                    <w:color w:val="000000"/>
                    <w:sz w:val="20"/>
                    <w:szCs w:val="20"/>
                    <w:lang w:val="en-GB" w:eastAsia="en-GB"/>
                  </w:rPr>
                </w:pPr>
                <w:r w:rsidRPr="00FF027F">
                  <w:rPr>
                    <w:rFonts w:ascii="Verdana" w:eastAsia="Times New Roman" w:hAnsi="Verdana" w:cs="Times New Roman"/>
                    <w:b/>
                    <w:bCs/>
                    <w:color w:val="000000"/>
                    <w:sz w:val="20"/>
                    <w:szCs w:val="20"/>
                    <w:lang w:val="en-GB" w:eastAsia="en-GB"/>
                  </w:rPr>
                  <w:t>Variation</w:t>
                </w:r>
                <w:r w:rsidRPr="00FF027F">
                  <w:rPr>
                    <w:rFonts w:ascii="Verdana" w:eastAsia="Times New Roman" w:hAnsi="Verdana" w:cs="Times New Roman"/>
                    <w:b/>
                    <w:bCs/>
                    <w:color w:val="000000"/>
                    <w:sz w:val="20"/>
                    <w:szCs w:val="20"/>
                    <w:lang w:val="en-GB" w:eastAsia="en-GB"/>
                  </w:rPr>
                  <w:br/>
                  <w:t>2015/2014</w:t>
                </w:r>
              </w:p>
            </w:tc>
          </w:tr>
          <w:tr w:rsidR="00734CDE" w:rsidRPr="00FF027F" w14:paraId="7A034E90" w14:textId="77777777" w:rsidTr="000E630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953F8C2" w14:textId="77777777" w:rsidR="00734CDE" w:rsidRPr="00FF027F" w:rsidRDefault="00734CDE" w:rsidP="003025B3">
                <w:pPr>
                  <w:spacing w:after="0" w:line="240" w:lineRule="auto"/>
                  <w:jc w:val="center"/>
                  <w:rPr>
                    <w:rFonts w:ascii="Verdana" w:eastAsia="Times New Roman" w:hAnsi="Verdana" w:cs="Times New Roman"/>
                    <w:bCs/>
                    <w:color w:val="000000"/>
                    <w:sz w:val="20"/>
                    <w:szCs w:val="20"/>
                    <w:lang w:val="en-GB" w:eastAsia="en-GB"/>
                  </w:rPr>
                </w:pPr>
                <w:r w:rsidRPr="00FF027F">
                  <w:rPr>
                    <w:rFonts w:ascii="Verdana" w:eastAsia="Times New Roman" w:hAnsi="Verdana" w:cs="Times New Roman"/>
                    <w:bCs/>
                    <w:color w:val="000000"/>
                    <w:sz w:val="20"/>
                    <w:szCs w:val="20"/>
                    <w:lang w:val="en-GB" w:eastAsia="en-GB"/>
                  </w:rPr>
                  <w:t>Title 1</w:t>
                </w:r>
              </w:p>
            </w:tc>
            <w:tc>
              <w:tcPr>
                <w:tcW w:w="1500" w:type="dxa"/>
                <w:tcBorders>
                  <w:top w:val="nil"/>
                  <w:left w:val="nil"/>
                  <w:bottom w:val="single" w:sz="4" w:space="0" w:color="auto"/>
                  <w:right w:val="single" w:sz="4" w:space="0" w:color="auto"/>
                </w:tcBorders>
                <w:shd w:val="clear" w:color="auto" w:fill="auto"/>
                <w:noWrap/>
                <w:vAlign w:val="bottom"/>
                <w:hideMark/>
              </w:tcPr>
              <w:p w14:paraId="157AE8BF" w14:textId="77777777" w:rsidR="00734CDE" w:rsidRPr="00FF027F" w:rsidRDefault="00734CDE" w:rsidP="00734CDE">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xml:space="preserve">         11,096,236 </w:t>
                </w:r>
              </w:p>
            </w:tc>
            <w:tc>
              <w:tcPr>
                <w:tcW w:w="1500" w:type="dxa"/>
                <w:tcBorders>
                  <w:top w:val="nil"/>
                  <w:left w:val="nil"/>
                  <w:bottom w:val="single" w:sz="4" w:space="0" w:color="auto"/>
                  <w:right w:val="single" w:sz="4" w:space="0" w:color="auto"/>
                </w:tcBorders>
                <w:shd w:val="clear" w:color="auto" w:fill="auto"/>
                <w:noWrap/>
                <w:vAlign w:val="bottom"/>
                <w:hideMark/>
              </w:tcPr>
              <w:p w14:paraId="273F98B1" w14:textId="77777777" w:rsidR="00734CDE" w:rsidRPr="00FF027F" w:rsidRDefault="00734CDE" w:rsidP="00734CDE">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xml:space="preserve">           6,572,375 </w:t>
                </w:r>
              </w:p>
            </w:tc>
            <w:tc>
              <w:tcPr>
                <w:tcW w:w="1630" w:type="dxa"/>
                <w:tcBorders>
                  <w:top w:val="nil"/>
                  <w:left w:val="nil"/>
                  <w:bottom w:val="single" w:sz="4" w:space="0" w:color="auto"/>
                  <w:right w:val="single" w:sz="4" w:space="0" w:color="auto"/>
                </w:tcBorders>
                <w:shd w:val="clear" w:color="auto" w:fill="auto"/>
                <w:noWrap/>
                <w:vAlign w:val="bottom"/>
                <w:hideMark/>
              </w:tcPr>
              <w:p w14:paraId="4DD185B5" w14:textId="77777777" w:rsidR="00734CDE" w:rsidRPr="00FF027F" w:rsidRDefault="00734CDE" w:rsidP="00734CDE">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68.83%</w:t>
                </w:r>
              </w:p>
            </w:tc>
          </w:tr>
          <w:tr w:rsidR="00734CDE" w:rsidRPr="00FF027F" w14:paraId="773E37DB" w14:textId="77777777" w:rsidTr="000E630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BE9D409" w14:textId="77777777" w:rsidR="00734CDE" w:rsidRPr="00FF027F" w:rsidRDefault="00734CDE" w:rsidP="00734CDE">
                <w:pPr>
                  <w:spacing w:after="0" w:line="240" w:lineRule="auto"/>
                  <w:jc w:val="center"/>
                  <w:rPr>
                    <w:rFonts w:ascii="Verdana" w:eastAsia="Times New Roman" w:hAnsi="Verdana" w:cs="Times New Roman"/>
                    <w:bCs/>
                    <w:color w:val="000000"/>
                    <w:sz w:val="20"/>
                    <w:szCs w:val="20"/>
                    <w:lang w:val="en-GB" w:eastAsia="en-GB"/>
                  </w:rPr>
                </w:pPr>
                <w:r w:rsidRPr="00FF027F">
                  <w:rPr>
                    <w:rFonts w:ascii="Verdana" w:eastAsia="Times New Roman" w:hAnsi="Verdana" w:cs="Times New Roman"/>
                    <w:bCs/>
                    <w:color w:val="000000"/>
                    <w:sz w:val="20"/>
                    <w:szCs w:val="20"/>
                    <w:lang w:val="en-GB" w:eastAsia="en-GB"/>
                  </w:rPr>
                  <w:t>Title 2</w:t>
                </w:r>
              </w:p>
            </w:tc>
            <w:tc>
              <w:tcPr>
                <w:tcW w:w="1500" w:type="dxa"/>
                <w:tcBorders>
                  <w:top w:val="nil"/>
                  <w:left w:val="nil"/>
                  <w:bottom w:val="single" w:sz="4" w:space="0" w:color="auto"/>
                  <w:right w:val="single" w:sz="4" w:space="0" w:color="auto"/>
                </w:tcBorders>
                <w:shd w:val="clear" w:color="auto" w:fill="auto"/>
                <w:noWrap/>
                <w:vAlign w:val="bottom"/>
                <w:hideMark/>
              </w:tcPr>
              <w:p w14:paraId="04784280" w14:textId="77777777" w:rsidR="00734CDE" w:rsidRPr="00FF027F" w:rsidRDefault="00734CDE" w:rsidP="00734CDE">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xml:space="preserve">           2,732,251 </w:t>
                </w:r>
              </w:p>
            </w:tc>
            <w:tc>
              <w:tcPr>
                <w:tcW w:w="1500" w:type="dxa"/>
                <w:tcBorders>
                  <w:top w:val="nil"/>
                  <w:left w:val="nil"/>
                  <w:bottom w:val="single" w:sz="4" w:space="0" w:color="auto"/>
                  <w:right w:val="single" w:sz="4" w:space="0" w:color="auto"/>
                </w:tcBorders>
                <w:shd w:val="clear" w:color="auto" w:fill="auto"/>
                <w:noWrap/>
                <w:vAlign w:val="bottom"/>
                <w:hideMark/>
              </w:tcPr>
              <w:p w14:paraId="149BEB44" w14:textId="77777777" w:rsidR="00734CDE" w:rsidRPr="00FF027F" w:rsidRDefault="00734CDE" w:rsidP="00734CDE">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xml:space="preserve">           2,424,825 </w:t>
                </w:r>
              </w:p>
            </w:tc>
            <w:tc>
              <w:tcPr>
                <w:tcW w:w="1630" w:type="dxa"/>
                <w:tcBorders>
                  <w:top w:val="nil"/>
                  <w:left w:val="nil"/>
                  <w:bottom w:val="single" w:sz="4" w:space="0" w:color="auto"/>
                  <w:right w:val="single" w:sz="4" w:space="0" w:color="auto"/>
                </w:tcBorders>
                <w:shd w:val="clear" w:color="auto" w:fill="auto"/>
                <w:noWrap/>
                <w:vAlign w:val="bottom"/>
                <w:hideMark/>
              </w:tcPr>
              <w:p w14:paraId="3C9D3D1C" w14:textId="77777777" w:rsidR="00734CDE" w:rsidRPr="00FF027F" w:rsidRDefault="00734CDE" w:rsidP="00734CDE">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12.68%</w:t>
                </w:r>
              </w:p>
            </w:tc>
          </w:tr>
          <w:tr w:rsidR="00734CDE" w:rsidRPr="00FF027F" w14:paraId="7B192B39" w14:textId="77777777" w:rsidTr="000E630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8F1C0D9" w14:textId="77777777" w:rsidR="00734CDE" w:rsidRPr="00FF027F" w:rsidRDefault="00734CDE" w:rsidP="00734CDE">
                <w:pPr>
                  <w:spacing w:after="0" w:line="240" w:lineRule="auto"/>
                  <w:jc w:val="center"/>
                  <w:rPr>
                    <w:rFonts w:ascii="Verdana" w:eastAsia="Times New Roman" w:hAnsi="Verdana" w:cs="Times New Roman"/>
                    <w:bCs/>
                    <w:color w:val="000000"/>
                    <w:sz w:val="20"/>
                    <w:szCs w:val="20"/>
                    <w:lang w:val="en-GB" w:eastAsia="en-GB"/>
                  </w:rPr>
                </w:pPr>
                <w:r w:rsidRPr="00FF027F">
                  <w:rPr>
                    <w:rFonts w:ascii="Verdana" w:eastAsia="Times New Roman" w:hAnsi="Verdana" w:cs="Times New Roman"/>
                    <w:bCs/>
                    <w:color w:val="000000"/>
                    <w:sz w:val="20"/>
                    <w:szCs w:val="20"/>
                    <w:lang w:val="en-GB" w:eastAsia="en-GB"/>
                  </w:rPr>
                  <w:t>Title 3</w:t>
                </w:r>
              </w:p>
            </w:tc>
            <w:tc>
              <w:tcPr>
                <w:tcW w:w="1500" w:type="dxa"/>
                <w:tcBorders>
                  <w:top w:val="nil"/>
                  <w:left w:val="nil"/>
                  <w:bottom w:val="single" w:sz="4" w:space="0" w:color="auto"/>
                  <w:right w:val="single" w:sz="4" w:space="0" w:color="auto"/>
                </w:tcBorders>
                <w:shd w:val="clear" w:color="auto" w:fill="auto"/>
                <w:noWrap/>
                <w:vAlign w:val="bottom"/>
                <w:hideMark/>
              </w:tcPr>
              <w:p w14:paraId="5D801B13" w14:textId="77777777" w:rsidR="00734CDE" w:rsidRPr="00FF027F" w:rsidRDefault="00734CDE" w:rsidP="00734CDE">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xml:space="preserve">           2,730,100 </w:t>
                </w:r>
              </w:p>
            </w:tc>
            <w:tc>
              <w:tcPr>
                <w:tcW w:w="1500" w:type="dxa"/>
                <w:tcBorders>
                  <w:top w:val="nil"/>
                  <w:left w:val="nil"/>
                  <w:bottom w:val="single" w:sz="4" w:space="0" w:color="auto"/>
                  <w:right w:val="single" w:sz="4" w:space="0" w:color="auto"/>
                </w:tcBorders>
                <w:shd w:val="clear" w:color="auto" w:fill="auto"/>
                <w:noWrap/>
                <w:vAlign w:val="bottom"/>
                <w:hideMark/>
              </w:tcPr>
              <w:p w14:paraId="169B845E" w14:textId="77777777" w:rsidR="00734CDE" w:rsidRPr="00FF027F" w:rsidRDefault="00734CDE" w:rsidP="00734CDE">
                <w:pPr>
                  <w:spacing w:after="0" w:line="240" w:lineRule="auto"/>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 xml:space="preserve">           1,882,800 </w:t>
                </w:r>
              </w:p>
            </w:tc>
            <w:tc>
              <w:tcPr>
                <w:tcW w:w="1630" w:type="dxa"/>
                <w:tcBorders>
                  <w:top w:val="nil"/>
                  <w:left w:val="nil"/>
                  <w:bottom w:val="single" w:sz="4" w:space="0" w:color="auto"/>
                  <w:right w:val="single" w:sz="4" w:space="0" w:color="auto"/>
                </w:tcBorders>
                <w:shd w:val="clear" w:color="auto" w:fill="auto"/>
                <w:noWrap/>
                <w:vAlign w:val="bottom"/>
                <w:hideMark/>
              </w:tcPr>
              <w:p w14:paraId="6731C32B" w14:textId="77777777" w:rsidR="00734CDE" w:rsidRPr="00FF027F" w:rsidRDefault="00734CDE" w:rsidP="00734CDE">
                <w:pPr>
                  <w:spacing w:after="0" w:line="240" w:lineRule="auto"/>
                  <w:jc w:val="right"/>
                  <w:rPr>
                    <w:rFonts w:ascii="Verdana" w:eastAsia="Times New Roman" w:hAnsi="Verdana" w:cs="Times New Roman"/>
                    <w:color w:val="000000"/>
                    <w:sz w:val="20"/>
                    <w:szCs w:val="20"/>
                    <w:lang w:val="en-GB" w:eastAsia="en-GB"/>
                  </w:rPr>
                </w:pPr>
                <w:r w:rsidRPr="00FF027F">
                  <w:rPr>
                    <w:rFonts w:ascii="Verdana" w:eastAsia="Times New Roman" w:hAnsi="Verdana" w:cs="Times New Roman"/>
                    <w:color w:val="000000"/>
                    <w:sz w:val="20"/>
                    <w:szCs w:val="20"/>
                    <w:lang w:val="en-GB" w:eastAsia="en-GB"/>
                  </w:rPr>
                  <w:t>45.00%</w:t>
                </w:r>
              </w:p>
            </w:tc>
          </w:tr>
          <w:tr w:rsidR="00734CDE" w:rsidRPr="00FF027F" w14:paraId="4532283F" w14:textId="77777777" w:rsidTr="000E630C">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F9C2B69" w14:textId="77777777" w:rsidR="00734CDE" w:rsidRPr="00FF027F" w:rsidRDefault="00734CDE" w:rsidP="00734CDE">
                <w:pPr>
                  <w:spacing w:after="0" w:line="240" w:lineRule="auto"/>
                  <w:jc w:val="center"/>
                  <w:rPr>
                    <w:rFonts w:ascii="Verdana" w:eastAsia="Times New Roman" w:hAnsi="Verdana" w:cs="Times New Roman"/>
                    <w:bCs/>
                    <w:color w:val="000000"/>
                    <w:sz w:val="20"/>
                    <w:szCs w:val="20"/>
                    <w:lang w:val="en-GB" w:eastAsia="en-GB"/>
                  </w:rPr>
                </w:pPr>
                <w:r w:rsidRPr="00FF027F">
                  <w:rPr>
                    <w:rFonts w:ascii="Verdana" w:eastAsia="Times New Roman" w:hAnsi="Verdana" w:cs="Times New Roman"/>
                    <w:bCs/>
                    <w:color w:val="000000"/>
                    <w:sz w:val="20"/>
                    <w:szCs w:val="20"/>
                    <w:lang w:val="en-GB" w:eastAsia="en-GB"/>
                  </w:rPr>
                  <w:t>Total requested budget</w:t>
                </w:r>
              </w:p>
            </w:tc>
            <w:tc>
              <w:tcPr>
                <w:tcW w:w="1500" w:type="dxa"/>
                <w:tcBorders>
                  <w:top w:val="nil"/>
                  <w:left w:val="nil"/>
                  <w:bottom w:val="single" w:sz="4" w:space="0" w:color="auto"/>
                  <w:right w:val="single" w:sz="4" w:space="0" w:color="auto"/>
                </w:tcBorders>
                <w:shd w:val="clear" w:color="auto" w:fill="auto"/>
                <w:noWrap/>
                <w:vAlign w:val="bottom"/>
                <w:hideMark/>
              </w:tcPr>
              <w:p w14:paraId="753A1ECD" w14:textId="77777777" w:rsidR="00734CDE" w:rsidRPr="00FF027F" w:rsidRDefault="00734CDE" w:rsidP="00734CDE">
                <w:pPr>
                  <w:spacing w:after="0" w:line="240" w:lineRule="auto"/>
                  <w:jc w:val="center"/>
                  <w:rPr>
                    <w:rFonts w:ascii="Verdana" w:eastAsia="Times New Roman" w:hAnsi="Verdana" w:cs="Times New Roman"/>
                    <w:bCs/>
                    <w:color w:val="000000"/>
                    <w:sz w:val="20"/>
                    <w:szCs w:val="20"/>
                    <w:lang w:val="en-GB" w:eastAsia="en-GB"/>
                  </w:rPr>
                </w:pPr>
                <w:r w:rsidRPr="00FF027F">
                  <w:rPr>
                    <w:rFonts w:ascii="Verdana" w:eastAsia="Times New Roman" w:hAnsi="Verdana" w:cs="Times New Roman"/>
                    <w:bCs/>
                    <w:color w:val="000000"/>
                    <w:sz w:val="20"/>
                    <w:szCs w:val="20"/>
                    <w:lang w:val="en-GB" w:eastAsia="en-GB"/>
                  </w:rPr>
                  <w:t xml:space="preserve">         16,558,587 </w:t>
                </w:r>
              </w:p>
            </w:tc>
            <w:tc>
              <w:tcPr>
                <w:tcW w:w="1500" w:type="dxa"/>
                <w:tcBorders>
                  <w:top w:val="nil"/>
                  <w:left w:val="nil"/>
                  <w:bottom w:val="single" w:sz="4" w:space="0" w:color="auto"/>
                  <w:right w:val="single" w:sz="4" w:space="0" w:color="auto"/>
                </w:tcBorders>
                <w:shd w:val="clear" w:color="auto" w:fill="auto"/>
                <w:noWrap/>
                <w:vAlign w:val="bottom"/>
                <w:hideMark/>
              </w:tcPr>
              <w:p w14:paraId="51BC9F80" w14:textId="77777777" w:rsidR="00734CDE" w:rsidRPr="00FF027F" w:rsidRDefault="00734CDE" w:rsidP="00734CDE">
                <w:pPr>
                  <w:spacing w:after="0" w:line="240" w:lineRule="auto"/>
                  <w:jc w:val="center"/>
                  <w:rPr>
                    <w:rFonts w:ascii="Verdana" w:eastAsia="Times New Roman" w:hAnsi="Verdana" w:cs="Times New Roman"/>
                    <w:bCs/>
                    <w:color w:val="000000"/>
                    <w:sz w:val="20"/>
                    <w:szCs w:val="20"/>
                    <w:lang w:val="en-GB" w:eastAsia="en-GB"/>
                  </w:rPr>
                </w:pPr>
                <w:r w:rsidRPr="00FF027F">
                  <w:rPr>
                    <w:rFonts w:ascii="Verdana" w:eastAsia="Times New Roman" w:hAnsi="Verdana" w:cs="Times New Roman"/>
                    <w:bCs/>
                    <w:color w:val="000000"/>
                    <w:sz w:val="20"/>
                    <w:szCs w:val="20"/>
                    <w:lang w:val="en-GB" w:eastAsia="en-GB"/>
                  </w:rPr>
                  <w:t xml:space="preserve">         10,880,000 </w:t>
                </w:r>
              </w:p>
            </w:tc>
            <w:tc>
              <w:tcPr>
                <w:tcW w:w="1630" w:type="dxa"/>
                <w:tcBorders>
                  <w:top w:val="nil"/>
                  <w:left w:val="nil"/>
                  <w:bottom w:val="single" w:sz="4" w:space="0" w:color="auto"/>
                  <w:right w:val="single" w:sz="4" w:space="0" w:color="auto"/>
                </w:tcBorders>
                <w:shd w:val="clear" w:color="auto" w:fill="auto"/>
                <w:noWrap/>
                <w:vAlign w:val="bottom"/>
                <w:hideMark/>
              </w:tcPr>
              <w:p w14:paraId="4C3FC33F" w14:textId="77777777" w:rsidR="00734CDE" w:rsidRPr="00FF027F" w:rsidRDefault="00734CDE" w:rsidP="00734CDE">
                <w:pPr>
                  <w:spacing w:after="0" w:line="240" w:lineRule="auto"/>
                  <w:jc w:val="right"/>
                  <w:rPr>
                    <w:rFonts w:ascii="Verdana" w:eastAsia="Times New Roman" w:hAnsi="Verdana" w:cs="Times New Roman"/>
                    <w:bCs/>
                    <w:color w:val="000000"/>
                    <w:sz w:val="20"/>
                    <w:szCs w:val="20"/>
                    <w:lang w:val="en-GB" w:eastAsia="en-GB"/>
                  </w:rPr>
                </w:pPr>
                <w:r w:rsidRPr="00FF027F">
                  <w:rPr>
                    <w:rFonts w:ascii="Verdana" w:eastAsia="Times New Roman" w:hAnsi="Verdana" w:cs="Times New Roman"/>
                    <w:bCs/>
                    <w:color w:val="000000"/>
                    <w:sz w:val="20"/>
                    <w:szCs w:val="20"/>
                    <w:lang w:val="en-GB" w:eastAsia="en-GB"/>
                  </w:rPr>
                  <w:t>52.19%</w:t>
                </w:r>
              </w:p>
            </w:tc>
          </w:tr>
        </w:tbl>
        <w:p w14:paraId="303EC2FE" w14:textId="77777777" w:rsidR="00734CDE" w:rsidRPr="00FF027F" w:rsidRDefault="00734CDE" w:rsidP="00483A63">
          <w:pPr>
            <w:pStyle w:val="11ptVerdanaBold"/>
            <w:rPr>
              <w:rFonts w:eastAsia="Verdana" w:cs="Arial"/>
              <w:b w:val="0"/>
              <w:sz w:val="20"/>
            </w:rPr>
          </w:pPr>
        </w:p>
        <w:p w14:paraId="72CB5666" w14:textId="77777777" w:rsidR="00734CDE" w:rsidRPr="00FF027F" w:rsidRDefault="00734CDE" w:rsidP="00D8019F">
          <w:pPr>
            <w:pStyle w:val="11ptVerdanaBold"/>
            <w:spacing w:before="360" w:after="240" w:line="360" w:lineRule="auto"/>
            <w:jc w:val="both"/>
            <w:rPr>
              <w:rFonts w:ascii="Arial" w:eastAsia="Verdana" w:hAnsi="Arial" w:cs="Arial"/>
              <w:b w:val="0"/>
              <w:szCs w:val="22"/>
            </w:rPr>
          </w:pPr>
          <w:r w:rsidRPr="00FF027F">
            <w:rPr>
              <w:rFonts w:ascii="Arial" w:eastAsia="Verdana" w:hAnsi="Arial" w:cs="Arial"/>
              <w:b w:val="0"/>
              <w:szCs w:val="22"/>
            </w:rPr>
            <w:t xml:space="preserve">The budget of the Agency is </w:t>
          </w:r>
          <w:r w:rsidR="00471E0D" w:rsidRPr="00FF027F">
            <w:rPr>
              <w:rFonts w:ascii="Arial" w:eastAsia="Verdana" w:hAnsi="Arial" w:cs="Arial"/>
              <w:b w:val="0"/>
              <w:szCs w:val="22"/>
            </w:rPr>
            <w:t xml:space="preserve">fully subsidised from the general budget of the European Union and </w:t>
          </w:r>
          <w:r w:rsidRPr="00FF027F">
            <w:rPr>
              <w:rFonts w:ascii="Arial" w:eastAsia="Verdana" w:hAnsi="Arial" w:cs="Arial"/>
              <w:b w:val="0"/>
              <w:szCs w:val="22"/>
            </w:rPr>
            <w:t>prepared in accordance with the principle of equilibrium</w:t>
          </w:r>
          <w:r w:rsidR="00D8019F" w:rsidRPr="00FF027F">
            <w:rPr>
              <w:rFonts w:ascii="Arial" w:eastAsia="Verdana" w:hAnsi="Arial" w:cs="Arial"/>
              <w:b w:val="0"/>
              <w:szCs w:val="22"/>
            </w:rPr>
            <w:t>,</w:t>
          </w:r>
          <w:r w:rsidRPr="00FF027F">
            <w:rPr>
              <w:rFonts w:ascii="Arial" w:eastAsia="Verdana" w:hAnsi="Arial" w:cs="Arial"/>
              <w:b w:val="0"/>
              <w:szCs w:val="22"/>
            </w:rPr>
            <w:t xml:space="preserve"> </w:t>
          </w:r>
          <w:r w:rsidR="00D8019F" w:rsidRPr="00FF027F">
            <w:rPr>
              <w:rFonts w:ascii="Arial" w:eastAsia="Verdana" w:hAnsi="Arial" w:cs="Arial"/>
              <w:b w:val="0"/>
              <w:szCs w:val="22"/>
            </w:rPr>
            <w:t xml:space="preserve">with </w:t>
          </w:r>
          <w:r w:rsidRPr="00FF027F">
            <w:rPr>
              <w:rFonts w:ascii="Arial" w:eastAsia="Verdana" w:hAnsi="Arial" w:cs="Arial"/>
              <w:b w:val="0"/>
              <w:szCs w:val="22"/>
            </w:rPr>
            <w:t xml:space="preserve">revenue </w:t>
          </w:r>
          <w:r w:rsidR="00D8019F" w:rsidRPr="00FF027F">
            <w:rPr>
              <w:rFonts w:ascii="Arial" w:eastAsia="Verdana" w:hAnsi="Arial" w:cs="Arial"/>
              <w:b w:val="0"/>
              <w:szCs w:val="22"/>
            </w:rPr>
            <w:t xml:space="preserve">equal to </w:t>
          </w:r>
          <w:r w:rsidRPr="00FF027F">
            <w:rPr>
              <w:rFonts w:ascii="Arial" w:eastAsia="Verdana" w:hAnsi="Arial" w:cs="Arial"/>
              <w:b w:val="0"/>
              <w:szCs w:val="22"/>
            </w:rPr>
            <w:t>expenditure.</w:t>
          </w:r>
        </w:p>
        <w:p w14:paraId="7DBE75DF" w14:textId="77777777" w:rsidR="00DB39FF" w:rsidRPr="00FF027F" w:rsidRDefault="0037069B" w:rsidP="00D8019F">
          <w:pPr>
            <w:pStyle w:val="11ptVerdanaBold"/>
            <w:spacing w:before="360" w:after="240" w:line="360" w:lineRule="auto"/>
            <w:jc w:val="both"/>
            <w:rPr>
              <w:rFonts w:ascii="Arial" w:eastAsia="Verdana" w:hAnsi="Arial" w:cs="Arial"/>
              <w:b w:val="0"/>
              <w:szCs w:val="22"/>
            </w:rPr>
          </w:pPr>
          <w:r w:rsidRPr="00FF027F">
            <w:rPr>
              <w:rFonts w:ascii="Arial" w:eastAsia="Verdana" w:hAnsi="Arial" w:cs="Arial"/>
              <w:b w:val="0"/>
              <w:szCs w:val="22"/>
            </w:rPr>
            <w:t xml:space="preserve">Detailed </w:t>
          </w:r>
          <w:r w:rsidR="00DB39FF" w:rsidRPr="00FF027F">
            <w:rPr>
              <w:rFonts w:ascii="Arial" w:eastAsia="Verdana" w:hAnsi="Arial" w:cs="Arial"/>
              <w:b w:val="0"/>
              <w:szCs w:val="22"/>
            </w:rPr>
            <w:t>revenue and expenditure tables can be found in Annex II.</w:t>
          </w:r>
        </w:p>
        <w:p w14:paraId="0EBCDEBB" w14:textId="77777777" w:rsidR="00471E0D" w:rsidRPr="00FF027F" w:rsidRDefault="00471E0D" w:rsidP="00D8019F">
          <w:pPr>
            <w:pStyle w:val="11ptVerdanaBold"/>
            <w:spacing w:before="360" w:after="240" w:line="360" w:lineRule="auto"/>
            <w:jc w:val="both"/>
            <w:rPr>
              <w:rFonts w:ascii="Arial" w:eastAsia="Verdana" w:hAnsi="Arial" w:cs="Arial"/>
              <w:b w:val="0"/>
              <w:szCs w:val="22"/>
            </w:rPr>
          </w:pPr>
          <w:r w:rsidRPr="00FF027F">
            <w:rPr>
              <w:rFonts w:ascii="Arial" w:eastAsia="Verdana" w:hAnsi="Arial" w:cs="Arial"/>
              <w:b w:val="0"/>
              <w:szCs w:val="22"/>
            </w:rPr>
            <w:t>The variances between the 2015 and 2014 budget per Title are explained as follows:</w:t>
          </w:r>
        </w:p>
        <w:p w14:paraId="7EB96301" w14:textId="77777777" w:rsidR="00471E0D" w:rsidRPr="00FF027F" w:rsidRDefault="00471E0D" w:rsidP="00D8019F">
          <w:pPr>
            <w:pStyle w:val="agencesnormal"/>
            <w:spacing w:before="360" w:after="240" w:line="360" w:lineRule="auto"/>
            <w:jc w:val="both"/>
            <w:rPr>
              <w:rFonts w:ascii="Arial" w:hAnsi="Arial" w:cs="Arial"/>
              <w:b/>
              <w:sz w:val="22"/>
            </w:rPr>
          </w:pPr>
          <w:r w:rsidRPr="00FF027F">
            <w:rPr>
              <w:rFonts w:ascii="Arial" w:hAnsi="Arial" w:cs="Arial"/>
              <w:b/>
              <w:sz w:val="22"/>
            </w:rPr>
            <w:t>Title I</w:t>
          </w:r>
        </w:p>
        <w:p w14:paraId="29180A9C" w14:textId="77777777" w:rsidR="00471E0D" w:rsidRPr="00FF027F" w:rsidRDefault="00D8019F" w:rsidP="00D8019F">
          <w:pPr>
            <w:pStyle w:val="agencesnormal"/>
            <w:spacing w:before="360" w:after="240" w:line="360" w:lineRule="auto"/>
            <w:jc w:val="both"/>
            <w:rPr>
              <w:rFonts w:ascii="Arial" w:hAnsi="Arial" w:cs="Arial"/>
              <w:sz w:val="22"/>
            </w:rPr>
          </w:pPr>
          <w:r w:rsidRPr="00FF027F">
            <w:rPr>
              <w:rFonts w:ascii="Arial" w:hAnsi="Arial" w:cs="Arial"/>
              <w:sz w:val="22"/>
            </w:rPr>
            <w:t xml:space="preserve">The </w:t>
          </w:r>
          <w:r w:rsidR="00CC7F60" w:rsidRPr="00FF027F">
            <w:rPr>
              <w:rFonts w:ascii="Arial" w:hAnsi="Arial" w:cs="Arial"/>
              <w:sz w:val="22"/>
            </w:rPr>
            <w:t xml:space="preserve">68.83% </w:t>
          </w:r>
          <w:r w:rsidRPr="00FF027F">
            <w:rPr>
              <w:rFonts w:ascii="Arial" w:hAnsi="Arial" w:cs="Arial"/>
              <w:sz w:val="22"/>
            </w:rPr>
            <w:t xml:space="preserve">increase </w:t>
          </w:r>
          <w:r w:rsidR="00471E0D" w:rsidRPr="00FF027F">
            <w:rPr>
              <w:rFonts w:ascii="Arial" w:hAnsi="Arial" w:cs="Arial"/>
              <w:sz w:val="22"/>
            </w:rPr>
            <w:t xml:space="preserve">in the financial resources requested under Title I is </w:t>
          </w:r>
          <w:r w:rsidR="00CC7F60" w:rsidRPr="00FF027F">
            <w:rPr>
              <w:rFonts w:ascii="Arial" w:hAnsi="Arial" w:cs="Arial"/>
              <w:sz w:val="22"/>
            </w:rPr>
            <w:t xml:space="preserve">needed </w:t>
          </w:r>
          <w:r w:rsidR="00471E0D" w:rsidRPr="00FF027F">
            <w:rPr>
              <w:rFonts w:ascii="Arial" w:hAnsi="Arial" w:cs="Arial"/>
              <w:sz w:val="22"/>
            </w:rPr>
            <w:t>to cover the costs of staff in active employment during the financial year 2015 as compared to 2014. This is a result of</w:t>
          </w:r>
          <w:r w:rsidR="00CC7F60" w:rsidRPr="00FF027F">
            <w:rPr>
              <w:rFonts w:ascii="Arial" w:hAnsi="Arial" w:cs="Arial"/>
              <w:sz w:val="22"/>
            </w:rPr>
            <w:t xml:space="preserve"> the following</w:t>
          </w:r>
          <w:r w:rsidR="00471E0D" w:rsidRPr="00FF027F">
            <w:rPr>
              <w:rFonts w:ascii="Arial" w:hAnsi="Arial" w:cs="Arial"/>
              <w:sz w:val="22"/>
            </w:rPr>
            <w:t>:</w:t>
          </w:r>
        </w:p>
        <w:p w14:paraId="606A202F" w14:textId="5015D99E" w:rsidR="009A186A" w:rsidRPr="00FF027F" w:rsidRDefault="009A186A" w:rsidP="009A186A">
          <w:pPr>
            <w:pStyle w:val="agencesnormal"/>
            <w:spacing w:before="360" w:after="240" w:line="360" w:lineRule="auto"/>
            <w:jc w:val="both"/>
            <w:rPr>
              <w:rFonts w:ascii="Arial" w:hAnsi="Arial" w:cs="Arial"/>
              <w:sz w:val="22"/>
            </w:rPr>
          </w:pPr>
          <w:r w:rsidRPr="00FF027F">
            <w:rPr>
              <w:rFonts w:ascii="Arial" w:hAnsi="Arial" w:cs="Arial"/>
              <w:sz w:val="22"/>
            </w:rPr>
            <w:t xml:space="preserve">- an increase in the number of human resources needed for the implementation of REMIT. For the implementation of the energy market monitoring task 30 additional positions have been envisaged for the financial year 2015. </w:t>
          </w:r>
        </w:p>
        <w:p w14:paraId="1A5BD638" w14:textId="42811D9A" w:rsidR="00471E0D" w:rsidRPr="00FF027F" w:rsidRDefault="00471E0D" w:rsidP="00D8019F">
          <w:pPr>
            <w:pStyle w:val="agencesnormal"/>
            <w:spacing w:before="360" w:after="240" w:line="360" w:lineRule="auto"/>
            <w:jc w:val="both"/>
            <w:rPr>
              <w:rFonts w:ascii="Arial" w:hAnsi="Arial" w:cs="Arial"/>
              <w:sz w:val="22"/>
            </w:rPr>
          </w:pPr>
          <w:r w:rsidRPr="00FF027F">
            <w:rPr>
              <w:rFonts w:ascii="Arial" w:hAnsi="Arial" w:cs="Arial"/>
              <w:sz w:val="22"/>
            </w:rPr>
            <w:t xml:space="preserve">- </w:t>
          </w:r>
          <w:r w:rsidR="009A186A" w:rsidRPr="00FF027F">
            <w:rPr>
              <w:rFonts w:ascii="Arial" w:hAnsi="Arial" w:cs="Arial"/>
              <w:sz w:val="22"/>
            </w:rPr>
            <w:t>an increase in the number of human resources needed for the implementation of the</w:t>
          </w:r>
          <w:r w:rsidR="00DC15CE" w:rsidRPr="00FF027F">
            <w:rPr>
              <w:rFonts w:ascii="Arial" w:hAnsi="Arial" w:cs="Arial"/>
              <w:sz w:val="22"/>
            </w:rPr>
            <w:t xml:space="preserve"> TEN-E Regulation</w:t>
          </w:r>
          <w:r w:rsidR="009A186A" w:rsidRPr="00FF027F">
            <w:rPr>
              <w:rFonts w:ascii="Arial" w:hAnsi="Arial" w:cs="Arial"/>
              <w:sz w:val="22"/>
            </w:rPr>
            <w:t>. T</w:t>
          </w:r>
          <w:r w:rsidRPr="00FF027F">
            <w:rPr>
              <w:rFonts w:ascii="Arial" w:hAnsi="Arial" w:cs="Arial"/>
              <w:sz w:val="22"/>
            </w:rPr>
            <w:t xml:space="preserve">he Agency </w:t>
          </w:r>
          <w:r w:rsidR="00CC7F60" w:rsidRPr="00FF027F">
            <w:rPr>
              <w:rFonts w:ascii="Arial" w:hAnsi="Arial" w:cs="Arial"/>
              <w:sz w:val="22"/>
            </w:rPr>
            <w:t>envisages</w:t>
          </w:r>
          <w:r w:rsidRPr="00FF027F">
            <w:rPr>
              <w:rFonts w:ascii="Arial" w:hAnsi="Arial" w:cs="Arial"/>
              <w:sz w:val="22"/>
            </w:rPr>
            <w:t xml:space="preserve"> for 2015 </w:t>
          </w:r>
          <w:r w:rsidR="00CC7F60" w:rsidRPr="00FF027F">
            <w:rPr>
              <w:rFonts w:ascii="Arial" w:hAnsi="Arial" w:cs="Arial"/>
              <w:sz w:val="22"/>
            </w:rPr>
            <w:t xml:space="preserve">the employment of </w:t>
          </w:r>
          <w:r w:rsidR="001E04B9" w:rsidRPr="00FF027F">
            <w:rPr>
              <w:rFonts w:ascii="Arial" w:hAnsi="Arial" w:cs="Arial"/>
              <w:sz w:val="22"/>
            </w:rPr>
            <w:t xml:space="preserve">6 </w:t>
          </w:r>
          <w:r w:rsidRPr="00FF027F">
            <w:rPr>
              <w:rFonts w:ascii="Arial" w:hAnsi="Arial" w:cs="Arial"/>
              <w:sz w:val="22"/>
            </w:rPr>
            <w:t xml:space="preserve">additional </w:t>
          </w:r>
          <w:r w:rsidR="00CC7F60" w:rsidRPr="00FF027F">
            <w:rPr>
              <w:rFonts w:ascii="Arial" w:hAnsi="Arial" w:cs="Arial"/>
              <w:sz w:val="22"/>
            </w:rPr>
            <w:t xml:space="preserve">staff members </w:t>
          </w:r>
          <w:r w:rsidRPr="00FF027F">
            <w:rPr>
              <w:rFonts w:ascii="Arial" w:hAnsi="Arial" w:cs="Arial"/>
              <w:sz w:val="22"/>
            </w:rPr>
            <w:t xml:space="preserve">in order to </w:t>
          </w:r>
          <w:r w:rsidR="00DC15CE" w:rsidRPr="00FF027F">
            <w:rPr>
              <w:rFonts w:ascii="Arial" w:hAnsi="Arial" w:cs="Arial"/>
              <w:sz w:val="22"/>
            </w:rPr>
            <w:t>deliver on its extended mandate</w:t>
          </w:r>
          <w:r w:rsidRPr="00FF027F">
            <w:rPr>
              <w:rFonts w:ascii="Arial" w:hAnsi="Arial" w:cs="Arial"/>
              <w:sz w:val="22"/>
            </w:rPr>
            <w:t>.</w:t>
          </w:r>
        </w:p>
        <w:p w14:paraId="3F63A7EA" w14:textId="6E596DB7" w:rsidR="00471E0D" w:rsidRPr="00FF027F" w:rsidRDefault="00471E0D" w:rsidP="00D8019F">
          <w:pPr>
            <w:pStyle w:val="11ptVerdanaBold"/>
            <w:spacing w:before="360" w:after="240" w:line="360" w:lineRule="auto"/>
            <w:jc w:val="both"/>
            <w:rPr>
              <w:rFonts w:ascii="Arial" w:hAnsi="Arial" w:cs="Arial"/>
              <w:b w:val="0"/>
              <w:szCs w:val="22"/>
            </w:rPr>
          </w:pPr>
          <w:r w:rsidRPr="00FF027F">
            <w:rPr>
              <w:rFonts w:ascii="Arial" w:hAnsi="Arial" w:cs="Arial"/>
              <w:b w:val="0"/>
              <w:szCs w:val="22"/>
            </w:rPr>
            <w:t xml:space="preserve">- </w:t>
          </w:r>
          <w:r w:rsidR="009A186A" w:rsidRPr="00FF027F">
            <w:rPr>
              <w:rFonts w:ascii="Arial" w:hAnsi="Arial" w:cs="Arial"/>
              <w:b w:val="0"/>
              <w:szCs w:val="22"/>
            </w:rPr>
            <w:t>t</w:t>
          </w:r>
          <w:r w:rsidRPr="00FF027F">
            <w:rPr>
              <w:rFonts w:ascii="Arial" w:hAnsi="Arial" w:cs="Arial"/>
              <w:b w:val="0"/>
              <w:szCs w:val="22"/>
            </w:rPr>
            <w:t>o support the increase in the volume of services envisaged by the Agency</w:t>
          </w:r>
          <w:r w:rsidR="009178C8" w:rsidRPr="00FF027F">
            <w:rPr>
              <w:rFonts w:ascii="Arial" w:hAnsi="Arial" w:cs="Arial"/>
              <w:b w:val="0"/>
              <w:szCs w:val="22"/>
            </w:rPr>
            <w:t>,</w:t>
          </w:r>
          <w:r w:rsidRPr="00FF027F">
            <w:rPr>
              <w:rFonts w:ascii="Arial" w:hAnsi="Arial" w:cs="Arial"/>
              <w:b w:val="0"/>
              <w:szCs w:val="22"/>
            </w:rPr>
            <w:t xml:space="preserve"> </w:t>
          </w:r>
          <w:r w:rsidR="001E04B9" w:rsidRPr="00FF027F">
            <w:rPr>
              <w:rFonts w:ascii="Arial" w:hAnsi="Arial" w:cs="Arial"/>
              <w:b w:val="0"/>
              <w:szCs w:val="22"/>
            </w:rPr>
            <w:t xml:space="preserve">5 </w:t>
          </w:r>
          <w:r w:rsidRPr="00FF027F">
            <w:rPr>
              <w:rFonts w:ascii="Arial" w:hAnsi="Arial" w:cs="Arial"/>
              <w:b w:val="0"/>
              <w:szCs w:val="22"/>
            </w:rPr>
            <w:t>additional human resources are required to provide the related horizontal services.</w:t>
          </w:r>
        </w:p>
        <w:p w14:paraId="6D2D9120" w14:textId="77777777" w:rsidR="00471E0D" w:rsidRPr="00FF027F" w:rsidRDefault="00471E0D" w:rsidP="00D8019F">
          <w:pPr>
            <w:pStyle w:val="11ptVerdanaBold"/>
            <w:spacing w:before="360" w:after="240" w:line="360" w:lineRule="auto"/>
            <w:jc w:val="both"/>
            <w:rPr>
              <w:rFonts w:ascii="Arial" w:hAnsi="Arial" w:cs="Arial"/>
              <w:szCs w:val="22"/>
            </w:rPr>
          </w:pPr>
          <w:r w:rsidRPr="00FF027F">
            <w:rPr>
              <w:rFonts w:ascii="Arial" w:hAnsi="Arial" w:cs="Arial"/>
              <w:szCs w:val="22"/>
            </w:rPr>
            <w:t>Title II</w:t>
          </w:r>
        </w:p>
        <w:p w14:paraId="08255FA8" w14:textId="77777777" w:rsidR="00471E0D" w:rsidRPr="00FF027F" w:rsidRDefault="009178C8" w:rsidP="00D8019F">
          <w:pPr>
            <w:pStyle w:val="11ptVerdanaBold"/>
            <w:spacing w:before="360" w:after="240" w:line="360" w:lineRule="auto"/>
            <w:jc w:val="both"/>
            <w:rPr>
              <w:rFonts w:ascii="Arial" w:hAnsi="Arial" w:cs="Arial"/>
              <w:b w:val="0"/>
              <w:szCs w:val="22"/>
            </w:rPr>
          </w:pPr>
          <w:r w:rsidRPr="00FF027F">
            <w:rPr>
              <w:rFonts w:ascii="Arial" w:hAnsi="Arial" w:cs="Arial"/>
              <w:b w:val="0"/>
              <w:szCs w:val="22"/>
            </w:rPr>
            <w:t xml:space="preserve">The 12.68% increase compared to 2014 in </w:t>
          </w:r>
          <w:r w:rsidR="00471E0D" w:rsidRPr="00FF027F">
            <w:rPr>
              <w:rFonts w:ascii="Arial" w:hAnsi="Arial" w:cs="Arial"/>
              <w:b w:val="0"/>
              <w:szCs w:val="22"/>
            </w:rPr>
            <w:t xml:space="preserve">expenditure within Title II is </w:t>
          </w:r>
          <w:r w:rsidRPr="00FF027F">
            <w:rPr>
              <w:rFonts w:ascii="Arial" w:hAnsi="Arial" w:cs="Arial"/>
              <w:b w:val="0"/>
              <w:szCs w:val="22"/>
            </w:rPr>
            <w:t xml:space="preserve">primarily </w:t>
          </w:r>
          <w:r w:rsidR="00471E0D" w:rsidRPr="00FF027F">
            <w:rPr>
              <w:rFonts w:ascii="Arial" w:hAnsi="Arial" w:cs="Arial"/>
              <w:b w:val="0"/>
              <w:szCs w:val="22"/>
            </w:rPr>
            <w:t>due to the need to rent additional parking spaces for staff and purchases of furniture for the office space</w:t>
          </w:r>
          <w:r w:rsidRPr="00FF027F">
            <w:rPr>
              <w:rFonts w:ascii="Arial" w:hAnsi="Arial" w:cs="Arial"/>
              <w:b w:val="0"/>
              <w:szCs w:val="22"/>
            </w:rPr>
            <w:t xml:space="preserve"> available in line with t</w:t>
          </w:r>
          <w:r w:rsidR="00471E0D" w:rsidRPr="00FF027F">
            <w:rPr>
              <w:rFonts w:ascii="Arial" w:hAnsi="Arial" w:cs="Arial"/>
              <w:b w:val="0"/>
              <w:szCs w:val="22"/>
            </w:rPr>
            <w:t>he new rental contract</w:t>
          </w:r>
          <w:r w:rsidRPr="00FF027F">
            <w:rPr>
              <w:rFonts w:ascii="Arial" w:hAnsi="Arial" w:cs="Arial"/>
              <w:b w:val="0"/>
              <w:szCs w:val="22"/>
            </w:rPr>
            <w:t xml:space="preserve"> which entered </w:t>
          </w:r>
          <w:r w:rsidR="00471E0D" w:rsidRPr="00FF027F">
            <w:rPr>
              <w:rFonts w:ascii="Arial" w:hAnsi="Arial" w:cs="Arial"/>
              <w:b w:val="0"/>
              <w:szCs w:val="22"/>
            </w:rPr>
            <w:t xml:space="preserve">into force </w:t>
          </w:r>
          <w:r w:rsidRPr="00FF027F">
            <w:rPr>
              <w:rFonts w:ascii="Arial" w:hAnsi="Arial" w:cs="Arial"/>
              <w:b w:val="0"/>
              <w:szCs w:val="22"/>
            </w:rPr>
            <w:t xml:space="preserve">on </w:t>
          </w:r>
          <w:r w:rsidR="00471E0D" w:rsidRPr="00FF027F">
            <w:rPr>
              <w:rFonts w:ascii="Arial" w:hAnsi="Arial" w:cs="Arial"/>
              <w:b w:val="0"/>
              <w:szCs w:val="22"/>
            </w:rPr>
            <w:t>1 February 2014.</w:t>
          </w:r>
        </w:p>
        <w:p w14:paraId="1CD35A38" w14:textId="77777777" w:rsidR="00471E0D" w:rsidRPr="00FF027F" w:rsidRDefault="00471E0D" w:rsidP="00D8019F">
          <w:pPr>
            <w:pStyle w:val="11ptVerdanaBold"/>
            <w:spacing w:before="360" w:after="240" w:line="360" w:lineRule="auto"/>
            <w:jc w:val="both"/>
            <w:rPr>
              <w:rFonts w:ascii="Arial" w:hAnsi="Arial" w:cs="Arial"/>
              <w:szCs w:val="22"/>
            </w:rPr>
          </w:pPr>
          <w:r w:rsidRPr="00FF027F">
            <w:rPr>
              <w:rFonts w:ascii="Arial" w:hAnsi="Arial" w:cs="Arial"/>
              <w:szCs w:val="22"/>
            </w:rPr>
            <w:t>Title III</w:t>
          </w:r>
        </w:p>
        <w:p w14:paraId="7338D3EF" w14:textId="77777777" w:rsidR="00471E0D" w:rsidRPr="00FF027F" w:rsidRDefault="00471E0D" w:rsidP="00D8019F">
          <w:pPr>
            <w:pStyle w:val="agencesnormal"/>
            <w:spacing w:before="360" w:after="240" w:line="360" w:lineRule="auto"/>
            <w:jc w:val="both"/>
            <w:rPr>
              <w:rFonts w:ascii="Arial" w:hAnsi="Arial" w:cs="Arial"/>
              <w:sz w:val="22"/>
            </w:rPr>
          </w:pPr>
          <w:r w:rsidRPr="00FF027F">
            <w:rPr>
              <w:rFonts w:ascii="Arial" w:hAnsi="Arial" w:cs="Arial"/>
              <w:sz w:val="22"/>
            </w:rPr>
            <w:t xml:space="preserve">The </w:t>
          </w:r>
          <w:r w:rsidR="009178C8" w:rsidRPr="00FF027F">
            <w:rPr>
              <w:rFonts w:ascii="Arial" w:hAnsi="Arial" w:cs="Arial"/>
              <w:sz w:val="22"/>
            </w:rPr>
            <w:t xml:space="preserve">45.00% </w:t>
          </w:r>
          <w:r w:rsidRPr="00FF027F">
            <w:rPr>
              <w:rFonts w:ascii="Arial" w:hAnsi="Arial" w:cs="Arial"/>
              <w:sz w:val="22"/>
            </w:rPr>
            <w:t>increase in the operational expenditure of Title III mainly relates to:</w:t>
          </w:r>
        </w:p>
        <w:p w14:paraId="66275D80" w14:textId="3848835F" w:rsidR="00471E0D" w:rsidRPr="00FF027F" w:rsidRDefault="00471E0D" w:rsidP="00D8019F">
          <w:pPr>
            <w:pStyle w:val="agencesnormal"/>
            <w:spacing w:before="360" w:after="240" w:line="360" w:lineRule="auto"/>
            <w:jc w:val="both"/>
            <w:rPr>
              <w:rFonts w:ascii="Arial" w:hAnsi="Arial" w:cs="Arial"/>
              <w:sz w:val="22"/>
            </w:rPr>
          </w:pPr>
          <w:r w:rsidRPr="00FF027F">
            <w:rPr>
              <w:rFonts w:ascii="Arial" w:hAnsi="Arial" w:cs="Arial"/>
              <w:sz w:val="22"/>
            </w:rPr>
            <w:t>- Expenditure to</w:t>
          </w:r>
          <w:r w:rsidR="009178C8" w:rsidRPr="00FF027F">
            <w:rPr>
              <w:rFonts w:ascii="Arial" w:hAnsi="Arial" w:cs="Arial"/>
              <w:sz w:val="22"/>
            </w:rPr>
            <w:t xml:space="preserve"> </w:t>
          </w:r>
          <w:r w:rsidRPr="00FF027F">
            <w:rPr>
              <w:rFonts w:ascii="Arial" w:hAnsi="Arial" w:cs="Arial"/>
              <w:sz w:val="22"/>
            </w:rPr>
            <w:t xml:space="preserve">cover costs related to the </w:t>
          </w:r>
          <w:r w:rsidR="009178C8" w:rsidRPr="00FF027F">
            <w:rPr>
              <w:rFonts w:ascii="Arial" w:hAnsi="Arial" w:cs="Arial"/>
              <w:sz w:val="22"/>
            </w:rPr>
            <w:t xml:space="preserve">implementation </w:t>
          </w:r>
          <w:r w:rsidRPr="00FF027F">
            <w:rPr>
              <w:rFonts w:ascii="Arial" w:hAnsi="Arial" w:cs="Arial"/>
              <w:sz w:val="22"/>
            </w:rPr>
            <w:t>of REMIT and the proposed implementing acts. According to the implementing rules (in the comitology procedure</w:t>
          </w:r>
          <w:r w:rsidR="009178C8" w:rsidRPr="00FF027F">
            <w:rPr>
              <w:rFonts w:ascii="Arial" w:hAnsi="Arial" w:cs="Arial"/>
              <w:sz w:val="22"/>
            </w:rPr>
            <w:t xml:space="preserve"> at the time of drafting this </w:t>
          </w:r>
          <w:r w:rsidR="00DC15CE" w:rsidRPr="00FF027F">
            <w:rPr>
              <w:rFonts w:ascii="Arial" w:hAnsi="Arial" w:cs="Arial"/>
              <w:sz w:val="22"/>
            </w:rPr>
            <w:t>W</w:t>
          </w:r>
          <w:r w:rsidR="009178C8" w:rsidRPr="00FF027F">
            <w:rPr>
              <w:rFonts w:ascii="Arial" w:hAnsi="Arial" w:cs="Arial"/>
              <w:sz w:val="22"/>
            </w:rPr>
            <w:t xml:space="preserve">ork </w:t>
          </w:r>
          <w:r w:rsidR="00DC15CE" w:rsidRPr="00FF027F">
            <w:rPr>
              <w:rFonts w:ascii="Arial" w:hAnsi="Arial" w:cs="Arial"/>
              <w:sz w:val="22"/>
            </w:rPr>
            <w:t>P</w:t>
          </w:r>
          <w:r w:rsidR="009178C8" w:rsidRPr="00FF027F">
            <w:rPr>
              <w:rFonts w:ascii="Arial" w:hAnsi="Arial" w:cs="Arial"/>
              <w:sz w:val="22"/>
            </w:rPr>
            <w:t>rogramme)</w:t>
          </w:r>
          <w:r w:rsidR="00DC15CE" w:rsidRPr="00FF027F">
            <w:rPr>
              <w:rFonts w:ascii="Arial" w:hAnsi="Arial" w:cs="Arial"/>
              <w:sz w:val="22"/>
            </w:rPr>
            <w:t>,</w:t>
          </w:r>
          <w:r w:rsidRPr="00FF027F">
            <w:rPr>
              <w:rFonts w:ascii="Arial" w:hAnsi="Arial" w:cs="Arial"/>
              <w:sz w:val="22"/>
            </w:rPr>
            <w:t xml:space="preserve"> the REMIT information system </w:t>
          </w:r>
          <w:r w:rsidR="00DC15CE" w:rsidRPr="00FF027F">
            <w:rPr>
              <w:rFonts w:ascii="Arial" w:hAnsi="Arial" w:cs="Arial"/>
              <w:sz w:val="22"/>
            </w:rPr>
            <w:t xml:space="preserve">(ARIS) </w:t>
          </w:r>
          <w:r w:rsidRPr="00FF027F">
            <w:rPr>
              <w:rFonts w:ascii="Arial" w:hAnsi="Arial" w:cs="Arial"/>
              <w:sz w:val="22"/>
            </w:rPr>
            <w:t xml:space="preserve">will go live </w:t>
          </w:r>
          <w:r w:rsidR="009A186A" w:rsidRPr="00FF027F">
            <w:rPr>
              <w:rFonts w:ascii="Arial" w:hAnsi="Arial" w:cs="Arial"/>
              <w:sz w:val="22"/>
            </w:rPr>
            <w:t xml:space="preserve">early </w:t>
          </w:r>
          <w:r w:rsidR="00960659" w:rsidRPr="00FF027F">
            <w:rPr>
              <w:rFonts w:ascii="Arial" w:hAnsi="Arial" w:cs="Arial"/>
              <w:sz w:val="22"/>
            </w:rPr>
            <w:t>in 2015</w:t>
          </w:r>
          <w:r w:rsidR="00106A98" w:rsidRPr="00FF027F">
            <w:rPr>
              <w:rFonts w:ascii="Arial" w:hAnsi="Arial" w:cs="Arial"/>
              <w:sz w:val="22"/>
            </w:rPr>
            <w:t>,</w:t>
          </w:r>
          <w:r w:rsidRPr="00FF027F">
            <w:rPr>
              <w:rFonts w:ascii="Arial" w:hAnsi="Arial" w:cs="Arial"/>
              <w:sz w:val="22"/>
            </w:rPr>
            <w:t xml:space="preserve"> using a phased approach for data collection during </w:t>
          </w:r>
          <w:r w:rsidR="009A186A" w:rsidRPr="00FF027F">
            <w:rPr>
              <w:rFonts w:ascii="Arial" w:hAnsi="Arial" w:cs="Arial"/>
              <w:sz w:val="22"/>
            </w:rPr>
            <w:t>the year</w:t>
          </w:r>
          <w:r w:rsidR="00106A98" w:rsidRPr="00FF027F">
            <w:rPr>
              <w:rFonts w:ascii="Arial" w:hAnsi="Arial" w:cs="Arial"/>
              <w:sz w:val="22"/>
            </w:rPr>
            <w:t>. This</w:t>
          </w:r>
          <w:r w:rsidRPr="00FF027F">
            <w:rPr>
              <w:rFonts w:ascii="Arial" w:hAnsi="Arial" w:cs="Arial"/>
              <w:sz w:val="22"/>
            </w:rPr>
            <w:t xml:space="preserve"> will require additional </w:t>
          </w:r>
          <w:r w:rsidR="00106A98" w:rsidRPr="00FF027F">
            <w:rPr>
              <w:rFonts w:ascii="Arial" w:hAnsi="Arial" w:cs="Arial"/>
              <w:sz w:val="22"/>
            </w:rPr>
            <w:t xml:space="preserve">upgrades, </w:t>
          </w:r>
          <w:r w:rsidRPr="00FF027F">
            <w:rPr>
              <w:rFonts w:ascii="Arial" w:hAnsi="Arial" w:cs="Arial"/>
              <w:sz w:val="22"/>
            </w:rPr>
            <w:t xml:space="preserve">including increased hardware capacity to accommodate the high </w:t>
          </w:r>
          <w:r w:rsidR="00106A98" w:rsidRPr="00FF027F">
            <w:rPr>
              <w:rFonts w:ascii="Arial" w:hAnsi="Arial" w:cs="Arial"/>
              <w:sz w:val="22"/>
            </w:rPr>
            <w:t>volume of data to be processed i</w:t>
          </w:r>
          <w:r w:rsidRPr="00FF027F">
            <w:rPr>
              <w:rFonts w:ascii="Arial" w:hAnsi="Arial" w:cs="Arial"/>
              <w:sz w:val="22"/>
            </w:rPr>
            <w:t xml:space="preserve">n the ARIS system.  </w:t>
          </w:r>
        </w:p>
        <w:p w14:paraId="0F3AE413" w14:textId="399C4DBA" w:rsidR="00471E0D" w:rsidRPr="00FF027F" w:rsidRDefault="00471E0D" w:rsidP="00D8019F">
          <w:pPr>
            <w:pStyle w:val="agencesnormal"/>
            <w:spacing w:before="360" w:after="240" w:line="360" w:lineRule="auto"/>
            <w:jc w:val="both"/>
            <w:rPr>
              <w:rFonts w:ascii="Arial" w:hAnsi="Arial" w:cs="Arial"/>
              <w:sz w:val="22"/>
            </w:rPr>
          </w:pPr>
          <w:r w:rsidRPr="00FF027F">
            <w:rPr>
              <w:rFonts w:ascii="Arial" w:hAnsi="Arial" w:cs="Arial"/>
              <w:sz w:val="22"/>
            </w:rPr>
            <w:t xml:space="preserve">- The launch in 2014 of the market monitoring software (SMARTS) will require additional consultancy services </w:t>
          </w:r>
          <w:r w:rsidR="002F286F" w:rsidRPr="00FF027F">
            <w:rPr>
              <w:rFonts w:ascii="Arial" w:hAnsi="Arial" w:cs="Arial"/>
              <w:sz w:val="22"/>
            </w:rPr>
            <w:t>in 2015</w:t>
          </w:r>
          <w:r w:rsidR="009A186A" w:rsidRPr="00FF027F">
            <w:rPr>
              <w:rFonts w:ascii="Arial" w:hAnsi="Arial" w:cs="Arial"/>
              <w:sz w:val="22"/>
            </w:rPr>
            <w:t>,</w:t>
          </w:r>
          <w:r w:rsidRPr="00FF027F">
            <w:rPr>
              <w:rFonts w:ascii="Arial" w:hAnsi="Arial" w:cs="Arial"/>
              <w:sz w:val="22"/>
            </w:rPr>
            <w:t xml:space="preserve"> includ</w:t>
          </w:r>
          <w:r w:rsidR="009A186A" w:rsidRPr="00FF027F">
            <w:rPr>
              <w:rFonts w:ascii="Arial" w:hAnsi="Arial" w:cs="Arial"/>
              <w:sz w:val="22"/>
            </w:rPr>
            <w:t>ing for</w:t>
          </w:r>
          <w:r w:rsidRPr="00FF027F">
            <w:rPr>
              <w:rFonts w:ascii="Arial" w:hAnsi="Arial" w:cs="Arial"/>
              <w:sz w:val="22"/>
            </w:rPr>
            <w:t xml:space="preserve"> </w:t>
          </w:r>
          <w:r w:rsidR="002F286F" w:rsidRPr="00FF027F">
            <w:rPr>
              <w:rFonts w:ascii="Arial" w:hAnsi="Arial" w:cs="Arial"/>
              <w:sz w:val="22"/>
            </w:rPr>
            <w:t xml:space="preserve">the </w:t>
          </w:r>
          <w:r w:rsidRPr="00FF027F">
            <w:rPr>
              <w:rFonts w:ascii="Arial" w:hAnsi="Arial" w:cs="Arial"/>
              <w:sz w:val="22"/>
            </w:rPr>
            <w:t xml:space="preserve">development of additional functionality and enhancements, additional alerts and training of new staff.  </w:t>
          </w:r>
        </w:p>
        <w:p w14:paraId="614C67F2" w14:textId="41BB9767" w:rsidR="00471E0D" w:rsidRPr="00FF027F" w:rsidRDefault="00471E0D" w:rsidP="00D8019F">
          <w:pPr>
            <w:pStyle w:val="agencesnormal"/>
            <w:spacing w:before="360" w:after="240" w:line="360" w:lineRule="auto"/>
            <w:jc w:val="both"/>
            <w:rPr>
              <w:rFonts w:ascii="Arial" w:hAnsi="Arial" w:cs="Arial"/>
              <w:sz w:val="22"/>
            </w:rPr>
          </w:pPr>
          <w:r w:rsidRPr="00FF027F">
            <w:rPr>
              <w:rFonts w:ascii="Arial" w:hAnsi="Arial" w:cs="Arial"/>
              <w:sz w:val="22"/>
            </w:rPr>
            <w:t>- The envisaged possibility for market participants to report data directly to the Agency</w:t>
          </w:r>
          <w:r w:rsidR="00DC15CE" w:rsidRPr="00FF027F">
            <w:rPr>
              <w:rFonts w:ascii="Arial" w:hAnsi="Arial" w:cs="Arial"/>
              <w:sz w:val="22"/>
            </w:rPr>
            <w:t>,</w:t>
          </w:r>
          <w:r w:rsidRPr="00FF027F">
            <w:rPr>
              <w:rFonts w:ascii="Arial" w:hAnsi="Arial" w:cs="Arial"/>
              <w:sz w:val="22"/>
            </w:rPr>
            <w:t xml:space="preserve"> included in the proposed implementing rules</w:t>
          </w:r>
          <w:r w:rsidR="00DC15CE" w:rsidRPr="00FF027F">
            <w:rPr>
              <w:rFonts w:ascii="Arial" w:hAnsi="Arial" w:cs="Arial"/>
              <w:sz w:val="22"/>
            </w:rPr>
            <w:t>,</w:t>
          </w:r>
          <w:r w:rsidRPr="00FF027F">
            <w:rPr>
              <w:rFonts w:ascii="Arial" w:hAnsi="Arial" w:cs="Arial"/>
              <w:sz w:val="22"/>
            </w:rPr>
            <w:t xml:space="preserve"> implies that the Agency will need to </w:t>
          </w:r>
          <w:r w:rsidR="00AB2645" w:rsidRPr="00FF027F">
            <w:rPr>
              <w:rFonts w:ascii="Arial" w:hAnsi="Arial" w:cs="Arial"/>
              <w:sz w:val="22"/>
            </w:rPr>
            <w:t>develop</w:t>
          </w:r>
          <w:r w:rsidRPr="00FF027F">
            <w:rPr>
              <w:rFonts w:ascii="Arial" w:hAnsi="Arial" w:cs="Arial"/>
              <w:sz w:val="22"/>
            </w:rPr>
            <w:t xml:space="preserve"> an additional data collection channel for which additional IT consultancy to support users will be required.</w:t>
          </w:r>
        </w:p>
        <w:p w14:paraId="4B3C8DD9" w14:textId="77777777" w:rsidR="00471E0D" w:rsidRPr="00FF027F" w:rsidRDefault="00471E0D" w:rsidP="00D8019F">
          <w:pPr>
            <w:pStyle w:val="11ptVerdanaBold"/>
            <w:spacing w:before="360" w:after="240" w:line="360" w:lineRule="auto"/>
            <w:jc w:val="both"/>
            <w:rPr>
              <w:rFonts w:ascii="Arial" w:eastAsia="Verdana" w:hAnsi="Arial" w:cs="Arial"/>
              <w:b w:val="0"/>
              <w:szCs w:val="22"/>
            </w:rPr>
          </w:pPr>
          <w:r w:rsidRPr="00FF027F">
            <w:rPr>
              <w:rFonts w:ascii="Arial" w:eastAsia="Verdana" w:hAnsi="Arial" w:cs="Arial"/>
              <w:b w:val="0"/>
              <w:szCs w:val="22"/>
            </w:rPr>
            <w:t>The Agency’s revenue for the year 2015 contains €415,924 in assigned revenue,</w:t>
          </w:r>
          <w:r w:rsidR="004F6FC2" w:rsidRPr="00FF027F">
            <w:rPr>
              <w:rFonts w:ascii="Arial" w:eastAsia="Verdana" w:hAnsi="Arial" w:cs="Arial"/>
              <w:b w:val="0"/>
              <w:szCs w:val="22"/>
            </w:rPr>
            <w:t xml:space="preserve"> being the budget outturn</w:t>
          </w:r>
          <w:r w:rsidRPr="00FF027F">
            <w:rPr>
              <w:rFonts w:ascii="Arial" w:eastAsia="Verdana" w:hAnsi="Arial" w:cs="Arial"/>
              <w:b w:val="0"/>
              <w:szCs w:val="22"/>
            </w:rPr>
            <w:t xml:space="preserve"> of the year 2013</w:t>
          </w:r>
          <w:r w:rsidR="004F6FC2" w:rsidRPr="00FF027F">
            <w:rPr>
              <w:rFonts w:ascii="Arial" w:eastAsia="Verdana" w:hAnsi="Arial" w:cs="Arial"/>
              <w:b w:val="0"/>
              <w:szCs w:val="22"/>
            </w:rPr>
            <w:t>. The following table shows the calculation of the 2013 budget outturn:</w:t>
          </w:r>
        </w:p>
        <w:p w14:paraId="6D1A9CFD" w14:textId="77777777" w:rsidR="004F6FC2" w:rsidRPr="00FF027F" w:rsidRDefault="004F6FC2" w:rsidP="000E630C">
          <w:pPr>
            <w:pStyle w:val="11ptVerdanaBold"/>
            <w:jc w:val="both"/>
            <w:rPr>
              <w:rFonts w:ascii="Arial" w:eastAsia="Verdana" w:hAnsi="Arial" w:cs="Arial"/>
              <w:b w:val="0"/>
              <w:szCs w:val="22"/>
            </w:rPr>
          </w:pPr>
        </w:p>
        <w:tbl>
          <w:tblPr>
            <w:tblW w:w="8924" w:type="dxa"/>
            <w:tblLayout w:type="fixed"/>
            <w:tblCellMar>
              <w:left w:w="142" w:type="dxa"/>
              <w:right w:w="284" w:type="dxa"/>
            </w:tblCellMar>
            <w:tblLook w:val="0000" w:firstRow="0" w:lastRow="0" w:firstColumn="0" w:lastColumn="0" w:noHBand="0" w:noVBand="0"/>
          </w:tblPr>
          <w:tblGrid>
            <w:gridCol w:w="6651"/>
            <w:gridCol w:w="2273"/>
          </w:tblGrid>
          <w:tr w:rsidR="004F6FC2" w:rsidRPr="00FF027F" w14:paraId="3B21B03A" w14:textId="77777777" w:rsidTr="00982F3D">
            <w:trPr>
              <w:cantSplit/>
              <w:trHeight w:val="305"/>
              <w:tblHeader/>
            </w:trPr>
            <w:tc>
              <w:tcPr>
                <w:tcW w:w="6651" w:type="dxa"/>
                <w:tcBorders>
                  <w:top w:val="single" w:sz="8" w:space="0" w:color="auto"/>
                  <w:left w:val="single" w:sz="8" w:space="0" w:color="auto"/>
                  <w:bottom w:val="single" w:sz="8" w:space="0" w:color="auto"/>
                  <w:right w:val="single" w:sz="8" w:space="0" w:color="auto"/>
                </w:tcBorders>
                <w:shd w:val="clear" w:color="auto" w:fill="F3F3F3"/>
                <w:noWrap/>
                <w:vAlign w:val="bottom"/>
              </w:tcPr>
              <w:p w14:paraId="310589FA" w14:textId="77777777" w:rsidR="004F6FC2" w:rsidRPr="00FF027F" w:rsidRDefault="004F6FC2" w:rsidP="004F6FC2">
                <w:pPr>
                  <w:spacing w:before="100" w:beforeAutospacing="1" w:after="100" w:afterAutospacing="1" w:line="240" w:lineRule="auto"/>
                  <w:jc w:val="center"/>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Budget outturn</w:t>
                </w:r>
              </w:p>
            </w:tc>
            <w:tc>
              <w:tcPr>
                <w:tcW w:w="2273" w:type="dxa"/>
                <w:tcBorders>
                  <w:top w:val="single" w:sz="8" w:space="0" w:color="auto"/>
                  <w:left w:val="nil"/>
                  <w:bottom w:val="single" w:sz="8" w:space="0" w:color="auto"/>
                  <w:right w:val="single" w:sz="8" w:space="0" w:color="auto"/>
                </w:tcBorders>
                <w:shd w:val="clear" w:color="auto" w:fill="F3F3F3"/>
                <w:noWrap/>
                <w:vAlign w:val="bottom"/>
              </w:tcPr>
              <w:p w14:paraId="3C8AFD3C" w14:textId="77777777" w:rsidR="004F6FC2" w:rsidRPr="00FF027F" w:rsidRDefault="004F6FC2" w:rsidP="004F6FC2">
                <w:pPr>
                  <w:spacing w:before="100" w:beforeAutospacing="1" w:after="100" w:afterAutospacing="1" w:line="240" w:lineRule="auto"/>
                  <w:jc w:val="center"/>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2013</w:t>
                </w:r>
              </w:p>
            </w:tc>
          </w:tr>
          <w:tr w:rsidR="004F6FC2" w:rsidRPr="00FF027F" w14:paraId="7465BA60" w14:textId="77777777" w:rsidTr="00982F3D">
            <w:trPr>
              <w:trHeight w:val="305"/>
            </w:trPr>
            <w:tc>
              <w:tcPr>
                <w:tcW w:w="6651" w:type="dxa"/>
                <w:tcBorders>
                  <w:top w:val="single" w:sz="8" w:space="0" w:color="auto"/>
                  <w:left w:val="single" w:sz="8" w:space="0" w:color="auto"/>
                  <w:bottom w:val="single" w:sz="8" w:space="0" w:color="auto"/>
                  <w:right w:val="single" w:sz="8" w:space="0" w:color="auto"/>
                </w:tcBorders>
                <w:shd w:val="clear" w:color="auto" w:fill="F3F3F3"/>
                <w:noWrap/>
                <w:vAlign w:val="bottom"/>
              </w:tcPr>
              <w:p w14:paraId="16727B36" w14:textId="77777777" w:rsidR="004F6FC2" w:rsidRPr="00FF027F" w:rsidRDefault="004F6FC2" w:rsidP="004F6FC2">
                <w:pPr>
                  <w:spacing w:before="30" w:after="30" w:line="240" w:lineRule="auto"/>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Revenue actually received (+)</w:t>
                </w:r>
              </w:p>
            </w:tc>
            <w:tc>
              <w:tcPr>
                <w:tcW w:w="2273" w:type="dxa"/>
                <w:tcBorders>
                  <w:top w:val="nil"/>
                  <w:left w:val="nil"/>
                  <w:bottom w:val="single" w:sz="8" w:space="0" w:color="auto"/>
                  <w:right w:val="single" w:sz="8" w:space="0" w:color="auto"/>
                </w:tcBorders>
                <w:shd w:val="clear" w:color="auto" w:fill="auto"/>
                <w:noWrap/>
                <w:vAlign w:val="bottom"/>
              </w:tcPr>
              <w:p w14:paraId="40ED8DCD" w14:textId="29CF28F0" w:rsidR="004F6FC2" w:rsidRPr="00FF027F" w:rsidRDefault="00A17A04" w:rsidP="004F6FC2">
                <w:pPr>
                  <w:spacing w:after="0" w:line="240" w:lineRule="auto"/>
                  <w:jc w:val="right"/>
                  <w:rPr>
                    <w:rFonts w:ascii="Verdana" w:eastAsia="Times New Roman" w:hAnsi="Verdana" w:cs="Times New Roman"/>
                    <w:sz w:val="20"/>
                    <w:szCs w:val="20"/>
                    <w:lang w:val="en-GB" w:eastAsia="en-GB"/>
                  </w:rPr>
                </w:pPr>
                <w:r w:rsidRPr="00FF027F">
                  <w:rPr>
                    <w:rFonts w:ascii="Verdana" w:eastAsia="Times New Roman" w:hAnsi="Verdana" w:cs="Times New Roman"/>
                    <w:sz w:val="20"/>
                    <w:szCs w:val="20"/>
                    <w:lang w:val="en-GB" w:eastAsia="en-GB"/>
                  </w:rPr>
                  <w:t xml:space="preserve">   </w:t>
                </w:r>
                <w:r w:rsidR="004F6FC2" w:rsidRPr="00FF027F">
                  <w:rPr>
                    <w:rFonts w:ascii="Verdana" w:eastAsia="Times New Roman" w:hAnsi="Verdana" w:cs="Times New Roman"/>
                    <w:sz w:val="20"/>
                    <w:szCs w:val="20"/>
                    <w:lang w:val="en-GB" w:eastAsia="en-GB"/>
                  </w:rPr>
                  <w:t>11 934 419 </w:t>
                </w:r>
              </w:p>
            </w:tc>
          </w:tr>
          <w:tr w:rsidR="004F6FC2" w:rsidRPr="00FF027F" w14:paraId="0C91E66A" w14:textId="77777777" w:rsidTr="00982F3D">
            <w:trPr>
              <w:trHeight w:val="305"/>
            </w:trPr>
            <w:tc>
              <w:tcPr>
                <w:tcW w:w="6651" w:type="dxa"/>
                <w:tcBorders>
                  <w:top w:val="nil"/>
                  <w:left w:val="single" w:sz="8" w:space="0" w:color="auto"/>
                  <w:bottom w:val="single" w:sz="8" w:space="0" w:color="auto"/>
                  <w:right w:val="single" w:sz="8" w:space="0" w:color="auto"/>
                </w:tcBorders>
                <w:shd w:val="clear" w:color="auto" w:fill="F3F3F3"/>
                <w:noWrap/>
                <w:vAlign w:val="bottom"/>
              </w:tcPr>
              <w:p w14:paraId="7DABEAF5" w14:textId="77777777" w:rsidR="004F6FC2" w:rsidRPr="00FF027F" w:rsidRDefault="004F6FC2" w:rsidP="004F6FC2">
                <w:pPr>
                  <w:spacing w:before="30" w:after="30" w:line="240" w:lineRule="auto"/>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Payments made (-)</w:t>
                </w:r>
              </w:p>
            </w:tc>
            <w:tc>
              <w:tcPr>
                <w:tcW w:w="2273" w:type="dxa"/>
                <w:tcBorders>
                  <w:top w:val="nil"/>
                  <w:left w:val="nil"/>
                  <w:bottom w:val="single" w:sz="8" w:space="0" w:color="auto"/>
                  <w:right w:val="single" w:sz="8" w:space="0" w:color="auto"/>
                </w:tcBorders>
                <w:shd w:val="clear" w:color="auto" w:fill="auto"/>
                <w:noWrap/>
                <w:vAlign w:val="bottom"/>
              </w:tcPr>
              <w:p w14:paraId="4761C365" w14:textId="77777777" w:rsidR="004F6FC2" w:rsidRPr="00FF027F" w:rsidRDefault="004F6FC2" w:rsidP="004F6FC2">
                <w:pPr>
                  <w:spacing w:after="0" w:line="240" w:lineRule="auto"/>
                  <w:jc w:val="right"/>
                  <w:rPr>
                    <w:rFonts w:ascii="Verdana" w:eastAsia="Times New Roman" w:hAnsi="Verdana" w:cs="Times New Roman"/>
                    <w:sz w:val="20"/>
                    <w:szCs w:val="20"/>
                    <w:lang w:val="en-GB" w:eastAsia="en-GB"/>
                  </w:rPr>
                </w:pPr>
                <w:r w:rsidRPr="00FF027F">
                  <w:rPr>
                    <w:rFonts w:ascii="Verdana" w:eastAsia="Times New Roman" w:hAnsi="Verdana" w:cs="Times New Roman"/>
                    <w:sz w:val="20"/>
                    <w:szCs w:val="20"/>
                    <w:lang w:val="en-GB" w:eastAsia="en-GB"/>
                  </w:rPr>
                  <w:t>-6 561 834</w:t>
                </w:r>
              </w:p>
            </w:tc>
          </w:tr>
          <w:tr w:rsidR="004F6FC2" w:rsidRPr="00FF027F" w14:paraId="7A7F905A" w14:textId="77777777" w:rsidTr="00982F3D">
            <w:trPr>
              <w:trHeight w:val="305"/>
            </w:trPr>
            <w:tc>
              <w:tcPr>
                <w:tcW w:w="6651" w:type="dxa"/>
                <w:tcBorders>
                  <w:top w:val="nil"/>
                  <w:left w:val="single" w:sz="8" w:space="0" w:color="auto"/>
                  <w:bottom w:val="single" w:sz="8" w:space="0" w:color="auto"/>
                  <w:right w:val="single" w:sz="8" w:space="0" w:color="auto"/>
                </w:tcBorders>
                <w:shd w:val="clear" w:color="auto" w:fill="F3F3F3"/>
                <w:noWrap/>
                <w:vAlign w:val="bottom"/>
              </w:tcPr>
              <w:p w14:paraId="5441397D" w14:textId="77777777" w:rsidR="004F6FC2" w:rsidRPr="00FF027F" w:rsidRDefault="004F6FC2" w:rsidP="004F6FC2">
                <w:pPr>
                  <w:spacing w:before="30" w:after="30" w:line="240" w:lineRule="auto"/>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Carry-over of appropriations (-)</w:t>
                </w:r>
              </w:p>
            </w:tc>
            <w:tc>
              <w:tcPr>
                <w:tcW w:w="2273" w:type="dxa"/>
                <w:tcBorders>
                  <w:top w:val="nil"/>
                  <w:left w:val="nil"/>
                  <w:bottom w:val="single" w:sz="8" w:space="0" w:color="auto"/>
                  <w:right w:val="single" w:sz="8" w:space="0" w:color="auto"/>
                </w:tcBorders>
                <w:shd w:val="clear" w:color="auto" w:fill="auto"/>
                <w:noWrap/>
                <w:vAlign w:val="bottom"/>
              </w:tcPr>
              <w:p w14:paraId="6547471A" w14:textId="77777777" w:rsidR="004F6FC2" w:rsidRPr="00FF027F" w:rsidRDefault="004F6FC2" w:rsidP="004F6FC2">
                <w:pPr>
                  <w:spacing w:after="0" w:line="240" w:lineRule="auto"/>
                  <w:jc w:val="right"/>
                  <w:rPr>
                    <w:rFonts w:ascii="Verdana" w:eastAsia="Times New Roman" w:hAnsi="Verdana" w:cs="Times New Roman"/>
                    <w:sz w:val="20"/>
                    <w:szCs w:val="20"/>
                    <w:lang w:val="en-GB" w:eastAsia="en-GB"/>
                  </w:rPr>
                </w:pPr>
                <w:r w:rsidRPr="00FF027F">
                  <w:rPr>
                    <w:rFonts w:ascii="Verdana" w:eastAsia="Times New Roman" w:hAnsi="Verdana" w:cs="Times New Roman"/>
                    <w:sz w:val="20"/>
                    <w:szCs w:val="20"/>
                    <w:lang w:val="en-GB" w:eastAsia="en-GB"/>
                  </w:rPr>
                  <w:t>-5 075 003</w:t>
                </w:r>
              </w:p>
            </w:tc>
          </w:tr>
          <w:tr w:rsidR="004F6FC2" w:rsidRPr="00FF027F" w14:paraId="50073752" w14:textId="77777777" w:rsidTr="00982F3D">
            <w:trPr>
              <w:trHeight w:val="305"/>
            </w:trPr>
            <w:tc>
              <w:tcPr>
                <w:tcW w:w="6651" w:type="dxa"/>
                <w:tcBorders>
                  <w:top w:val="nil"/>
                  <w:left w:val="single" w:sz="8" w:space="0" w:color="auto"/>
                  <w:bottom w:val="single" w:sz="8" w:space="0" w:color="auto"/>
                  <w:right w:val="single" w:sz="8" w:space="0" w:color="auto"/>
                </w:tcBorders>
                <w:shd w:val="clear" w:color="auto" w:fill="F3F3F3"/>
                <w:noWrap/>
                <w:vAlign w:val="bottom"/>
              </w:tcPr>
              <w:p w14:paraId="0AD1B9B8" w14:textId="77777777" w:rsidR="004F6FC2" w:rsidRPr="00FF027F" w:rsidRDefault="004F6FC2" w:rsidP="004F6FC2">
                <w:pPr>
                  <w:spacing w:before="30" w:after="30" w:line="240" w:lineRule="auto"/>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Cancellation of appropriations carried over (+)</w:t>
                </w:r>
              </w:p>
            </w:tc>
            <w:tc>
              <w:tcPr>
                <w:tcW w:w="2273" w:type="dxa"/>
                <w:tcBorders>
                  <w:top w:val="nil"/>
                  <w:left w:val="nil"/>
                  <w:bottom w:val="single" w:sz="8" w:space="0" w:color="auto"/>
                  <w:right w:val="single" w:sz="8" w:space="0" w:color="auto"/>
                </w:tcBorders>
                <w:shd w:val="clear" w:color="auto" w:fill="auto"/>
                <w:noWrap/>
                <w:vAlign w:val="bottom"/>
              </w:tcPr>
              <w:p w14:paraId="2ACE8669" w14:textId="77777777" w:rsidR="004F6FC2" w:rsidRPr="00FF027F" w:rsidRDefault="004F6FC2" w:rsidP="004F6FC2">
                <w:pPr>
                  <w:spacing w:after="0" w:line="240" w:lineRule="auto"/>
                  <w:jc w:val="right"/>
                  <w:rPr>
                    <w:rFonts w:ascii="Verdana" w:eastAsia="Times New Roman" w:hAnsi="Verdana" w:cs="Times New Roman"/>
                    <w:sz w:val="20"/>
                    <w:szCs w:val="20"/>
                    <w:lang w:val="en-GB" w:eastAsia="en-GB"/>
                  </w:rPr>
                </w:pPr>
                <w:r w:rsidRPr="00FF027F">
                  <w:rPr>
                    <w:rFonts w:ascii="Verdana" w:eastAsia="Times New Roman" w:hAnsi="Verdana" w:cs="Times New Roman"/>
                    <w:sz w:val="20"/>
                    <w:szCs w:val="20"/>
                    <w:lang w:val="en-GB" w:eastAsia="en-GB"/>
                  </w:rPr>
                  <w:t>118 814</w:t>
                </w:r>
              </w:p>
            </w:tc>
          </w:tr>
          <w:tr w:rsidR="004F6FC2" w:rsidRPr="00FF027F" w14:paraId="3EC17D41" w14:textId="77777777" w:rsidTr="00982F3D">
            <w:trPr>
              <w:trHeight w:val="305"/>
            </w:trPr>
            <w:tc>
              <w:tcPr>
                <w:tcW w:w="6651" w:type="dxa"/>
                <w:tcBorders>
                  <w:top w:val="nil"/>
                  <w:left w:val="single" w:sz="8" w:space="0" w:color="auto"/>
                  <w:bottom w:val="single" w:sz="8" w:space="0" w:color="auto"/>
                  <w:right w:val="single" w:sz="8" w:space="0" w:color="auto"/>
                </w:tcBorders>
                <w:shd w:val="clear" w:color="auto" w:fill="F3F3F3"/>
                <w:noWrap/>
                <w:vAlign w:val="bottom"/>
              </w:tcPr>
              <w:p w14:paraId="3FE22213" w14:textId="77777777" w:rsidR="004F6FC2" w:rsidRPr="00FF027F" w:rsidRDefault="004F6FC2" w:rsidP="004F6FC2">
                <w:pPr>
                  <w:spacing w:before="30" w:after="30" w:line="240" w:lineRule="auto"/>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Exchange rate differences (+/-)</w:t>
                </w:r>
              </w:p>
            </w:tc>
            <w:tc>
              <w:tcPr>
                <w:tcW w:w="2273" w:type="dxa"/>
                <w:tcBorders>
                  <w:top w:val="nil"/>
                  <w:left w:val="nil"/>
                  <w:bottom w:val="single" w:sz="8" w:space="0" w:color="auto"/>
                  <w:right w:val="single" w:sz="8" w:space="0" w:color="auto"/>
                </w:tcBorders>
                <w:shd w:val="clear" w:color="auto" w:fill="auto"/>
                <w:noWrap/>
                <w:vAlign w:val="bottom"/>
              </w:tcPr>
              <w:p w14:paraId="61421236" w14:textId="77777777" w:rsidR="004F6FC2" w:rsidRPr="00FF027F" w:rsidRDefault="004F6FC2" w:rsidP="004F6FC2">
                <w:pPr>
                  <w:spacing w:after="0" w:line="240" w:lineRule="auto"/>
                  <w:jc w:val="right"/>
                  <w:rPr>
                    <w:rFonts w:ascii="Verdana" w:eastAsia="Times New Roman" w:hAnsi="Verdana" w:cs="Times New Roman"/>
                    <w:sz w:val="20"/>
                    <w:szCs w:val="20"/>
                    <w:lang w:val="en-GB" w:eastAsia="en-GB"/>
                  </w:rPr>
                </w:pPr>
                <w:r w:rsidRPr="00FF027F">
                  <w:rPr>
                    <w:rFonts w:ascii="Verdana" w:eastAsia="Times New Roman" w:hAnsi="Verdana" w:cs="Times New Roman"/>
                    <w:sz w:val="20"/>
                    <w:szCs w:val="20"/>
                    <w:lang w:val="en-GB" w:eastAsia="en-GB"/>
                  </w:rPr>
                  <w:t>-472</w:t>
                </w:r>
              </w:p>
            </w:tc>
          </w:tr>
          <w:tr w:rsidR="004F6FC2" w:rsidRPr="00FF027F" w14:paraId="44FE91C0" w14:textId="77777777" w:rsidTr="00982F3D">
            <w:trPr>
              <w:trHeight w:val="305"/>
            </w:trPr>
            <w:tc>
              <w:tcPr>
                <w:tcW w:w="6651" w:type="dxa"/>
                <w:tcBorders>
                  <w:top w:val="single" w:sz="8" w:space="0" w:color="auto"/>
                  <w:left w:val="single" w:sz="8" w:space="0" w:color="auto"/>
                  <w:bottom w:val="single" w:sz="8" w:space="0" w:color="auto"/>
                  <w:right w:val="single" w:sz="8" w:space="0" w:color="auto"/>
                </w:tcBorders>
                <w:shd w:val="clear" w:color="auto" w:fill="F3F3F3"/>
                <w:noWrap/>
                <w:vAlign w:val="bottom"/>
              </w:tcPr>
              <w:p w14:paraId="1FEF0613" w14:textId="77777777" w:rsidR="004F6FC2" w:rsidRPr="00FF027F" w:rsidRDefault="004F6FC2" w:rsidP="004F6FC2">
                <w:pPr>
                  <w:spacing w:before="30" w:after="30" w:line="240" w:lineRule="auto"/>
                  <w:rPr>
                    <w:rFonts w:ascii="Verdana" w:eastAsia="Times New Roman" w:hAnsi="Verdana" w:cs="Times New Roman"/>
                    <w:b/>
                    <w:sz w:val="20"/>
                    <w:szCs w:val="20"/>
                    <w:lang w:val="en-GB" w:eastAsia="en-GB"/>
                  </w:rPr>
                </w:pPr>
                <w:r w:rsidRPr="00FF027F">
                  <w:rPr>
                    <w:rFonts w:ascii="Verdana" w:eastAsia="Times New Roman" w:hAnsi="Verdana" w:cs="Times New Roman"/>
                    <w:b/>
                    <w:sz w:val="20"/>
                    <w:szCs w:val="20"/>
                    <w:lang w:val="en-GB" w:eastAsia="en-GB"/>
                  </w:rPr>
                  <w:t>Total</w:t>
                </w:r>
              </w:p>
            </w:tc>
            <w:tc>
              <w:tcPr>
                <w:tcW w:w="2273" w:type="dxa"/>
                <w:tcBorders>
                  <w:top w:val="single" w:sz="8" w:space="0" w:color="auto"/>
                  <w:left w:val="nil"/>
                  <w:bottom w:val="single" w:sz="8" w:space="0" w:color="auto"/>
                  <w:right w:val="single" w:sz="8" w:space="0" w:color="auto"/>
                </w:tcBorders>
                <w:shd w:val="clear" w:color="auto" w:fill="F3F3F3"/>
                <w:noWrap/>
                <w:vAlign w:val="bottom"/>
              </w:tcPr>
              <w:p w14:paraId="2FC8CA1D" w14:textId="77777777" w:rsidR="004F6FC2" w:rsidRPr="00FF027F" w:rsidRDefault="004F6FC2" w:rsidP="004F6FC2">
                <w:pPr>
                  <w:spacing w:after="0" w:line="240" w:lineRule="auto"/>
                  <w:jc w:val="right"/>
                  <w:rPr>
                    <w:rFonts w:ascii="Verdana" w:eastAsia="Times New Roman" w:hAnsi="Verdana" w:cs="Times New Roman"/>
                    <w:sz w:val="20"/>
                    <w:szCs w:val="20"/>
                    <w:lang w:val="en-GB" w:eastAsia="en-GB"/>
                  </w:rPr>
                </w:pPr>
                <w:r w:rsidRPr="00FF027F">
                  <w:rPr>
                    <w:rFonts w:ascii="Verdana" w:eastAsia="Times New Roman" w:hAnsi="Verdana" w:cs="Times New Roman"/>
                    <w:sz w:val="20"/>
                    <w:szCs w:val="20"/>
                    <w:lang w:val="en-GB" w:eastAsia="en-GB"/>
                  </w:rPr>
                  <w:t> 415 924</w:t>
                </w:r>
              </w:p>
            </w:tc>
          </w:tr>
        </w:tbl>
        <w:p w14:paraId="752A5D12" w14:textId="77777777" w:rsidR="004F6FC2" w:rsidRPr="00FF027F" w:rsidRDefault="004F6FC2" w:rsidP="00471E0D">
          <w:pPr>
            <w:pStyle w:val="11ptVerdanaBold"/>
            <w:rPr>
              <w:rFonts w:ascii="Arial" w:eastAsia="Verdana" w:hAnsi="Arial" w:cs="Arial"/>
              <w:b w:val="0"/>
              <w:szCs w:val="22"/>
            </w:rPr>
          </w:pPr>
        </w:p>
        <w:p w14:paraId="75417213" w14:textId="77777777" w:rsidR="004F6FC2" w:rsidRPr="00FF027F" w:rsidRDefault="00CC65D1" w:rsidP="00CF3719">
          <w:pPr>
            <w:pStyle w:val="agencesnormal"/>
            <w:spacing w:before="360" w:after="240" w:line="360" w:lineRule="auto"/>
            <w:jc w:val="both"/>
            <w:rPr>
              <w:rFonts w:ascii="Arial" w:hAnsi="Arial" w:cs="Arial"/>
              <w:sz w:val="22"/>
            </w:rPr>
          </w:pPr>
          <w:r w:rsidRPr="00FF027F">
            <w:rPr>
              <w:rFonts w:ascii="Arial" w:hAnsi="Arial" w:cs="Arial"/>
              <w:sz w:val="22"/>
            </w:rPr>
            <w:t>The t</w:t>
          </w:r>
          <w:r w:rsidR="004F6FC2" w:rsidRPr="00FF027F">
            <w:rPr>
              <w:rFonts w:ascii="Arial" w:hAnsi="Arial" w:cs="Arial"/>
              <w:sz w:val="22"/>
            </w:rPr>
            <w:t>otal budget outturn for the financial year 2013</w:t>
          </w:r>
          <w:r w:rsidRPr="00FF027F">
            <w:rPr>
              <w:rFonts w:ascii="Arial" w:hAnsi="Arial" w:cs="Arial"/>
              <w:sz w:val="22"/>
            </w:rPr>
            <w:t>,</w:t>
          </w:r>
          <w:r w:rsidR="004F6FC2" w:rsidRPr="00FF027F">
            <w:rPr>
              <w:rFonts w:ascii="Arial" w:hAnsi="Arial" w:cs="Arial"/>
              <w:sz w:val="22"/>
            </w:rPr>
            <w:t xml:space="preserve"> amounting to €415 924</w:t>
          </w:r>
          <w:r w:rsidRPr="00FF027F">
            <w:rPr>
              <w:rFonts w:ascii="Arial" w:hAnsi="Arial" w:cs="Arial"/>
              <w:sz w:val="22"/>
            </w:rPr>
            <w:t>,</w:t>
          </w:r>
          <w:r w:rsidR="004F6FC2" w:rsidRPr="00FF027F">
            <w:rPr>
              <w:rFonts w:ascii="Arial" w:hAnsi="Arial" w:cs="Arial"/>
              <w:sz w:val="22"/>
            </w:rPr>
            <w:t xml:space="preserve"> is composed of the unused budget appropriations of €295 045 and cancelled payment appropriation of €118 814 carried over from the financial year 2012.</w:t>
          </w:r>
        </w:p>
        <w:p w14:paraId="6AC22A87" w14:textId="3C5EB75B" w:rsidR="00DB39FF" w:rsidRPr="00FF027F" w:rsidRDefault="00DB39FF" w:rsidP="00CF3719">
          <w:pPr>
            <w:pStyle w:val="agencesnormal"/>
            <w:spacing w:before="360" w:after="240" w:line="360" w:lineRule="auto"/>
            <w:jc w:val="both"/>
            <w:rPr>
              <w:rFonts w:ascii="Arial" w:hAnsi="Arial" w:cs="Arial"/>
              <w:sz w:val="22"/>
            </w:rPr>
          </w:pPr>
          <w:r w:rsidRPr="00FF027F">
            <w:rPr>
              <w:rFonts w:ascii="Arial" w:hAnsi="Arial" w:cs="Arial"/>
              <w:sz w:val="22"/>
            </w:rPr>
            <w:t xml:space="preserve">Detailed </w:t>
          </w:r>
          <w:r w:rsidR="009A186A" w:rsidRPr="00FF027F">
            <w:rPr>
              <w:rFonts w:ascii="Arial" w:hAnsi="Arial" w:cs="Arial"/>
              <w:sz w:val="22"/>
            </w:rPr>
            <w:t>information,</w:t>
          </w:r>
          <w:r w:rsidRPr="00FF027F">
            <w:rPr>
              <w:rFonts w:ascii="Arial" w:hAnsi="Arial" w:cs="Arial"/>
              <w:sz w:val="22"/>
            </w:rPr>
            <w:t xml:space="preserve"> including </w:t>
          </w:r>
          <w:r w:rsidR="009A186A" w:rsidRPr="00FF027F">
            <w:rPr>
              <w:rFonts w:ascii="Arial" w:hAnsi="Arial" w:cs="Arial"/>
              <w:sz w:val="22"/>
            </w:rPr>
            <w:t xml:space="preserve">for </w:t>
          </w:r>
          <w:r w:rsidRPr="00FF027F">
            <w:rPr>
              <w:rFonts w:ascii="Arial" w:hAnsi="Arial" w:cs="Arial"/>
              <w:sz w:val="22"/>
            </w:rPr>
            <w:t>previous years</w:t>
          </w:r>
          <w:r w:rsidR="009A186A" w:rsidRPr="00FF027F">
            <w:rPr>
              <w:rFonts w:ascii="Arial" w:hAnsi="Arial" w:cs="Arial"/>
              <w:sz w:val="22"/>
            </w:rPr>
            <w:t>,</w:t>
          </w:r>
          <w:r w:rsidRPr="00FF027F">
            <w:rPr>
              <w:rFonts w:ascii="Arial" w:hAnsi="Arial" w:cs="Arial"/>
              <w:sz w:val="22"/>
            </w:rPr>
            <w:t xml:space="preserve"> can be found in Annex II.</w:t>
          </w:r>
        </w:p>
        <w:p w14:paraId="35E65EFA" w14:textId="77777777" w:rsidR="00483A63" w:rsidRPr="00FF027F" w:rsidRDefault="004C3C5A" w:rsidP="00176B7C">
          <w:pPr>
            <w:pStyle w:val="Heading3"/>
            <w:rPr>
              <w:rFonts w:eastAsia="Verdana"/>
              <w:lang w:eastAsia="en-GB"/>
            </w:rPr>
          </w:pPr>
          <w:bookmarkStart w:id="65" w:name="_Toc396913775"/>
          <w:r w:rsidRPr="00FF027F">
            <w:rPr>
              <w:rStyle w:val="Heading3Char"/>
              <w:rFonts w:eastAsia="Verdana"/>
              <w:b/>
              <w:color w:val="4F81BD" w:themeColor="accent1"/>
            </w:rPr>
            <w:t>Human resources</w:t>
          </w:r>
          <w:bookmarkEnd w:id="65"/>
          <w:r w:rsidRPr="00FF027F">
            <w:rPr>
              <w:rFonts w:eastAsia="Verdana"/>
              <w:lang w:eastAsia="en-GB"/>
            </w:rPr>
            <w:t xml:space="preserve"> </w:t>
          </w:r>
        </w:p>
        <w:p w14:paraId="61D65FCE" w14:textId="77777777" w:rsidR="002241FB" w:rsidRPr="00FF027F" w:rsidRDefault="004C04AF" w:rsidP="00967A5C">
          <w:pPr>
            <w:spacing w:before="360" w:after="240" w:line="360" w:lineRule="auto"/>
            <w:ind w:firstLine="720"/>
            <w:jc w:val="both"/>
            <w:rPr>
              <w:rFonts w:ascii="Arial" w:hAnsi="Arial" w:cs="Arial"/>
              <w:b/>
              <w:lang w:val="en-GB"/>
            </w:rPr>
          </w:pPr>
          <w:r w:rsidRPr="00FF027F">
            <w:rPr>
              <w:rFonts w:ascii="Arial" w:hAnsi="Arial" w:cs="Arial"/>
              <w:b/>
              <w:lang w:val="en-GB"/>
            </w:rPr>
            <w:t xml:space="preserve">New tasks, </w:t>
          </w:r>
          <w:r w:rsidR="002241FB" w:rsidRPr="00FF027F">
            <w:rPr>
              <w:rFonts w:ascii="Arial" w:hAnsi="Arial" w:cs="Arial"/>
              <w:b/>
              <w:lang w:val="en-GB"/>
            </w:rPr>
            <w:t>growth of existing tasks</w:t>
          </w:r>
          <w:r w:rsidRPr="00FF027F">
            <w:rPr>
              <w:rFonts w:ascii="Arial" w:hAnsi="Arial" w:cs="Arial"/>
              <w:b/>
              <w:lang w:val="en-GB"/>
            </w:rPr>
            <w:t xml:space="preserve"> and efficiency gains</w:t>
          </w:r>
        </w:p>
        <w:p w14:paraId="009D9881" w14:textId="6BB156D6" w:rsidR="00C87EE0" w:rsidRPr="00FF027F" w:rsidRDefault="00FE7A81" w:rsidP="00CC65D1">
          <w:pPr>
            <w:spacing w:before="360" w:after="240" w:line="360" w:lineRule="auto"/>
            <w:jc w:val="both"/>
            <w:rPr>
              <w:rFonts w:ascii="Arial" w:hAnsi="Arial" w:cs="Arial"/>
              <w:lang w:val="en-GB"/>
            </w:rPr>
          </w:pPr>
          <w:r w:rsidRPr="00FF027F">
            <w:rPr>
              <w:rFonts w:ascii="Arial" w:hAnsi="Arial" w:cs="Arial"/>
              <w:lang w:val="en-GB"/>
            </w:rPr>
            <w:t>The r</w:t>
          </w:r>
          <w:r w:rsidR="00C87EE0" w:rsidRPr="00FF027F">
            <w:rPr>
              <w:rFonts w:ascii="Arial" w:hAnsi="Arial" w:cs="Arial"/>
              <w:lang w:val="en-GB"/>
            </w:rPr>
            <w:t xml:space="preserve">esources </w:t>
          </w:r>
          <w:r w:rsidRPr="00FF027F">
            <w:rPr>
              <w:rFonts w:ascii="Arial" w:hAnsi="Arial" w:cs="Arial"/>
              <w:lang w:val="en-GB"/>
            </w:rPr>
            <w:t xml:space="preserve">initially </w:t>
          </w:r>
          <w:r w:rsidR="00655254" w:rsidRPr="00FF027F">
            <w:rPr>
              <w:rFonts w:ascii="Arial" w:hAnsi="Arial" w:cs="Arial"/>
              <w:lang w:val="en-GB"/>
            </w:rPr>
            <w:t xml:space="preserve">allocated </w:t>
          </w:r>
          <w:r w:rsidR="00C87EE0" w:rsidRPr="00FF027F">
            <w:rPr>
              <w:rFonts w:ascii="Arial" w:hAnsi="Arial" w:cs="Arial"/>
              <w:lang w:val="en-GB"/>
            </w:rPr>
            <w:t xml:space="preserve">to the Agency </w:t>
          </w:r>
          <w:r w:rsidR="00655254" w:rsidRPr="00FF027F">
            <w:rPr>
              <w:rFonts w:ascii="Arial" w:hAnsi="Arial" w:cs="Arial"/>
              <w:lang w:val="en-GB"/>
            </w:rPr>
            <w:t>to implement</w:t>
          </w:r>
          <w:r w:rsidR="00C87EE0" w:rsidRPr="00FF027F">
            <w:rPr>
              <w:rFonts w:ascii="Arial" w:hAnsi="Arial" w:cs="Arial"/>
              <w:lang w:val="en-GB"/>
            </w:rPr>
            <w:t xml:space="preserve"> </w:t>
          </w:r>
          <w:r w:rsidR="00655254" w:rsidRPr="00FF027F">
            <w:rPr>
              <w:rFonts w:ascii="Arial" w:hAnsi="Arial" w:cs="Arial"/>
              <w:lang w:val="en-GB"/>
            </w:rPr>
            <w:t>its original mandate</w:t>
          </w:r>
          <w:r w:rsidR="00C87EE0" w:rsidRPr="00FF027F">
            <w:rPr>
              <w:rFonts w:ascii="Arial" w:hAnsi="Arial" w:cs="Arial"/>
              <w:lang w:val="en-GB"/>
            </w:rPr>
            <w:t xml:space="preserve"> </w:t>
          </w:r>
          <w:r w:rsidR="00655254" w:rsidRPr="00FF027F">
            <w:rPr>
              <w:rFonts w:ascii="Arial" w:hAnsi="Arial" w:cs="Arial"/>
              <w:lang w:val="en-GB"/>
            </w:rPr>
            <w:t xml:space="preserve">need to be enhanced </w:t>
          </w:r>
          <w:r w:rsidR="00C87EE0" w:rsidRPr="00FF027F">
            <w:rPr>
              <w:rFonts w:ascii="Arial" w:hAnsi="Arial" w:cs="Arial"/>
              <w:lang w:val="en-GB"/>
            </w:rPr>
            <w:t xml:space="preserve">due to </w:t>
          </w:r>
          <w:r w:rsidR="00655254" w:rsidRPr="00FF027F">
            <w:rPr>
              <w:rFonts w:ascii="Arial" w:hAnsi="Arial" w:cs="Arial"/>
              <w:lang w:val="en-GB"/>
            </w:rPr>
            <w:t xml:space="preserve">the </w:t>
          </w:r>
          <w:r w:rsidR="00C87EE0" w:rsidRPr="00FF027F">
            <w:rPr>
              <w:rFonts w:ascii="Arial" w:hAnsi="Arial" w:cs="Arial"/>
              <w:lang w:val="en-GB"/>
            </w:rPr>
            <w:t>assignment of new tasks</w:t>
          </w:r>
          <w:r w:rsidR="00655254" w:rsidRPr="00FF027F">
            <w:rPr>
              <w:rFonts w:ascii="Arial" w:hAnsi="Arial" w:cs="Arial"/>
              <w:lang w:val="en-GB"/>
            </w:rPr>
            <w:t xml:space="preserve">, which have resulted in an increased </w:t>
          </w:r>
          <w:r w:rsidR="00C87EE0" w:rsidRPr="00FF027F">
            <w:rPr>
              <w:rFonts w:ascii="Arial" w:hAnsi="Arial" w:cs="Arial"/>
              <w:lang w:val="en-GB"/>
            </w:rPr>
            <w:t xml:space="preserve">workload, </w:t>
          </w:r>
          <w:r w:rsidR="00655254" w:rsidRPr="00FF027F">
            <w:rPr>
              <w:rFonts w:ascii="Arial" w:hAnsi="Arial" w:cs="Arial"/>
              <w:lang w:val="en-GB"/>
            </w:rPr>
            <w:t xml:space="preserve">greater </w:t>
          </w:r>
          <w:r w:rsidR="00C87EE0" w:rsidRPr="00FF027F">
            <w:rPr>
              <w:rFonts w:ascii="Arial" w:hAnsi="Arial" w:cs="Arial"/>
              <w:lang w:val="en-GB"/>
            </w:rPr>
            <w:t>responsibilities and</w:t>
          </w:r>
          <w:r w:rsidR="00655254" w:rsidRPr="00FF027F">
            <w:rPr>
              <w:rFonts w:ascii="Arial" w:hAnsi="Arial" w:cs="Arial"/>
              <w:lang w:val="en-GB"/>
            </w:rPr>
            <w:t xml:space="preserve"> a higher </w:t>
          </w:r>
          <w:r w:rsidR="00C87EE0" w:rsidRPr="00FF027F">
            <w:rPr>
              <w:rFonts w:ascii="Arial" w:hAnsi="Arial" w:cs="Arial"/>
              <w:lang w:val="en-GB"/>
            </w:rPr>
            <w:t>number of deliverables</w:t>
          </w:r>
          <w:r w:rsidRPr="00FF027F">
            <w:rPr>
              <w:rFonts w:ascii="Arial" w:hAnsi="Arial" w:cs="Arial"/>
              <w:lang w:val="en-GB"/>
            </w:rPr>
            <w:t>. The Agency</w:t>
          </w:r>
          <w:r w:rsidR="00655254" w:rsidRPr="00FF027F">
            <w:rPr>
              <w:rFonts w:ascii="Arial" w:hAnsi="Arial" w:cs="Arial"/>
              <w:lang w:val="en-GB"/>
            </w:rPr>
            <w:t xml:space="preserve">’s mandate has been extended </w:t>
          </w:r>
          <w:r w:rsidR="00DC15CE" w:rsidRPr="00FF027F">
            <w:rPr>
              <w:rFonts w:ascii="Arial" w:hAnsi="Arial" w:cs="Arial"/>
              <w:lang w:val="en-GB"/>
            </w:rPr>
            <w:t>in</w:t>
          </w:r>
          <w:r w:rsidR="00655254" w:rsidRPr="00FF027F">
            <w:rPr>
              <w:rFonts w:ascii="Arial" w:hAnsi="Arial" w:cs="Arial"/>
              <w:lang w:val="en-GB"/>
            </w:rPr>
            <w:t>to</w:t>
          </w:r>
          <w:r w:rsidRPr="00FF027F">
            <w:rPr>
              <w:rFonts w:ascii="Arial" w:hAnsi="Arial" w:cs="Arial"/>
              <w:lang w:val="en-GB"/>
            </w:rPr>
            <w:t xml:space="preserve"> two new areas</w:t>
          </w:r>
          <w:r w:rsidR="00655254" w:rsidRPr="00FF027F">
            <w:rPr>
              <w:rFonts w:ascii="Arial" w:hAnsi="Arial" w:cs="Arial"/>
              <w:lang w:val="en-GB"/>
            </w:rPr>
            <w:t xml:space="preserve"> </w:t>
          </w:r>
          <w:r w:rsidRPr="00FF027F">
            <w:rPr>
              <w:rFonts w:ascii="Arial" w:hAnsi="Arial" w:cs="Arial"/>
              <w:lang w:val="en-GB"/>
            </w:rPr>
            <w:t xml:space="preserve">for </w:t>
          </w:r>
          <w:r w:rsidR="00655254" w:rsidRPr="00FF027F">
            <w:rPr>
              <w:rFonts w:ascii="Arial" w:hAnsi="Arial" w:cs="Arial"/>
              <w:lang w:val="en-GB"/>
            </w:rPr>
            <w:t xml:space="preserve">which </w:t>
          </w:r>
          <w:r w:rsidRPr="00FF027F">
            <w:rPr>
              <w:rFonts w:ascii="Arial" w:hAnsi="Arial" w:cs="Arial"/>
              <w:lang w:val="en-GB"/>
            </w:rPr>
            <w:t xml:space="preserve">the following staffing needs have been identified: </w:t>
          </w:r>
        </w:p>
        <w:p w14:paraId="54E4B7B6" w14:textId="77777777" w:rsidR="005E2AB9" w:rsidRPr="00FF027F" w:rsidRDefault="005E2AB9">
          <w:pPr>
            <w:rPr>
              <w:rFonts w:ascii="Arial" w:hAnsi="Arial" w:cs="Arial"/>
              <w:b/>
              <w:lang w:val="en-GB"/>
            </w:rPr>
          </w:pPr>
          <w:r w:rsidRPr="00FF027F">
            <w:rPr>
              <w:rFonts w:ascii="Arial" w:hAnsi="Arial" w:cs="Arial"/>
              <w:b/>
              <w:lang w:val="en-GB"/>
            </w:rPr>
            <w:br w:type="page"/>
          </w:r>
        </w:p>
        <w:p w14:paraId="78264A82" w14:textId="69008B16" w:rsidR="001C68B9" w:rsidRPr="00FF027F" w:rsidRDefault="001C68B9" w:rsidP="002241FB">
          <w:pPr>
            <w:spacing w:before="360" w:after="240" w:line="360" w:lineRule="auto"/>
            <w:ind w:firstLine="720"/>
            <w:jc w:val="both"/>
            <w:rPr>
              <w:rFonts w:ascii="Arial" w:hAnsi="Arial" w:cs="Arial"/>
              <w:b/>
              <w:lang w:val="en-GB"/>
            </w:rPr>
          </w:pPr>
          <w:r w:rsidRPr="00FF027F">
            <w:rPr>
              <w:rFonts w:ascii="Arial" w:hAnsi="Arial" w:cs="Arial"/>
              <w:b/>
              <w:lang w:val="en-GB"/>
            </w:rPr>
            <w:t>REMIT</w:t>
          </w:r>
          <w:r w:rsidR="00297884" w:rsidRPr="00FF027F">
            <w:rPr>
              <w:rFonts w:ascii="Arial" w:hAnsi="Arial" w:cs="Arial"/>
              <w:b/>
              <w:lang w:val="en-GB"/>
            </w:rPr>
            <w:t xml:space="preserve"> -</w:t>
          </w:r>
          <w:r w:rsidRPr="00FF027F">
            <w:rPr>
              <w:rFonts w:ascii="Arial" w:hAnsi="Arial" w:cs="Arial"/>
              <w:b/>
              <w:lang w:val="en-GB"/>
            </w:rPr>
            <w:t xml:space="preserve"> Operational stage</w:t>
          </w:r>
          <w:r w:rsidR="00302337" w:rsidRPr="00FF027F">
            <w:rPr>
              <w:rFonts w:ascii="Arial" w:hAnsi="Arial" w:cs="Arial"/>
              <w:b/>
              <w:lang w:val="en-GB"/>
            </w:rPr>
            <w:t xml:space="preserve"> and estimate of staff needs</w:t>
          </w:r>
        </w:p>
        <w:p w14:paraId="700553E9" w14:textId="633D2357" w:rsidR="001C68B9" w:rsidRPr="00FF027F" w:rsidRDefault="00C87EE0" w:rsidP="0068746C">
          <w:pPr>
            <w:spacing w:before="240" w:after="240" w:line="360" w:lineRule="auto"/>
            <w:jc w:val="both"/>
            <w:rPr>
              <w:rFonts w:ascii="Arial" w:hAnsi="Arial" w:cs="Arial"/>
              <w:lang w:val="en-GB"/>
            </w:rPr>
          </w:pPr>
          <w:r w:rsidRPr="00FF027F">
            <w:rPr>
              <w:rFonts w:ascii="Arial" w:hAnsi="Arial" w:cs="Arial"/>
              <w:lang w:val="en-GB"/>
            </w:rPr>
            <w:t>T</w:t>
          </w:r>
          <w:r w:rsidR="001C68B9" w:rsidRPr="00FF027F">
            <w:rPr>
              <w:rFonts w:ascii="Arial" w:hAnsi="Arial" w:cs="Arial"/>
              <w:lang w:val="en-GB"/>
            </w:rPr>
            <w:t>he Agency has been called to take on a key role in the area of wholesale energy markets monitoring under REMIT</w:t>
          </w:r>
          <w:r w:rsidR="00CC65D1" w:rsidRPr="00FF027F">
            <w:rPr>
              <w:rFonts w:ascii="Arial" w:hAnsi="Arial" w:cs="Arial"/>
              <w:lang w:val="en-GB"/>
            </w:rPr>
            <w:t xml:space="preserve"> (see 3.1)</w:t>
          </w:r>
          <w:r w:rsidR="001C68B9" w:rsidRPr="00FF027F">
            <w:rPr>
              <w:rFonts w:ascii="Arial" w:hAnsi="Arial" w:cs="Arial"/>
              <w:lang w:val="en-GB"/>
            </w:rPr>
            <w:t>.</w:t>
          </w:r>
        </w:p>
        <w:p w14:paraId="1771070F" w14:textId="77777777" w:rsidR="001C68B9" w:rsidRPr="00FF027F" w:rsidRDefault="00CC65D1" w:rsidP="00CC65D1">
          <w:pPr>
            <w:spacing w:before="360" w:after="240" w:line="360" w:lineRule="auto"/>
            <w:jc w:val="both"/>
            <w:rPr>
              <w:rFonts w:ascii="Arial" w:hAnsi="Arial" w:cs="Arial"/>
              <w:lang w:val="en-GB"/>
            </w:rPr>
          </w:pPr>
          <w:r w:rsidRPr="00FF027F">
            <w:rPr>
              <w:rFonts w:ascii="Arial" w:hAnsi="Arial" w:cs="Arial"/>
              <w:lang w:val="en-GB"/>
            </w:rPr>
            <w:t xml:space="preserve">REMIT </w:t>
          </w:r>
          <w:r w:rsidR="001C68B9" w:rsidRPr="00FF027F">
            <w:rPr>
              <w:rFonts w:ascii="Arial" w:hAnsi="Arial" w:cs="Arial"/>
              <w:lang w:val="en-GB"/>
            </w:rPr>
            <w:t>has introduced explicit prohibitions for market manipulation, attempted market manipulation and insider trading, which took effect immediately. Market participants are also already under the obligation to publish inside information and to notify the Agency and the relevant NRA/competent authority of any delay in such a publication. Finally, trading venues and other persons professionally arranging transactions in wholesale energy products are already required to establish and maintain effective arrangements and procedures to identify breaches of the market abuse prohibitions and notify NRAs of any suspected instance.</w:t>
          </w:r>
        </w:p>
        <w:p w14:paraId="66289633" w14:textId="77777777" w:rsidR="001C68B9" w:rsidRPr="00FF027F" w:rsidRDefault="001C68B9" w:rsidP="00CC65D1">
          <w:pPr>
            <w:spacing w:before="360" w:after="240" w:line="360" w:lineRule="auto"/>
            <w:jc w:val="both"/>
            <w:rPr>
              <w:rFonts w:ascii="Arial" w:hAnsi="Arial" w:cs="Arial"/>
              <w:lang w:val="en-GB"/>
            </w:rPr>
          </w:pPr>
          <w:r w:rsidRPr="00FF027F">
            <w:rPr>
              <w:rFonts w:ascii="Arial" w:hAnsi="Arial" w:cs="Arial"/>
              <w:lang w:val="en-GB"/>
            </w:rPr>
            <w:t>Therefore, the Agency may be called to act on instances of delayed publication of insider information or of market abuse or to coordinate cross-border investigations. However, much greater responsibilities await the Agency when the trade reporting obligations take effect, six months after the adoption by the European Commission of the Implementing Acts on the records of transactions.</w:t>
          </w:r>
        </w:p>
        <w:p w14:paraId="3E1714DE" w14:textId="77777777" w:rsidR="001C68B9" w:rsidRPr="00FF027F" w:rsidRDefault="00CC65D1" w:rsidP="00CC65D1">
          <w:pPr>
            <w:spacing w:before="360" w:after="240" w:line="360" w:lineRule="auto"/>
            <w:jc w:val="both"/>
            <w:rPr>
              <w:rFonts w:ascii="Arial" w:hAnsi="Arial" w:cs="Arial"/>
              <w:lang w:val="en-GB"/>
            </w:rPr>
          </w:pPr>
          <w:r w:rsidRPr="00FF027F">
            <w:rPr>
              <w:rFonts w:ascii="Arial" w:hAnsi="Arial" w:cs="Arial"/>
              <w:lang w:val="en-GB"/>
            </w:rPr>
            <w:t>T</w:t>
          </w:r>
          <w:r w:rsidR="001C68B9" w:rsidRPr="00FF027F">
            <w:rPr>
              <w:rFonts w:ascii="Arial" w:hAnsi="Arial" w:cs="Arial"/>
              <w:lang w:val="en-GB"/>
            </w:rPr>
            <w:t>he implementation stage, which started upon the entry into force of REMIT, is expected to be completed in the second half of 2014. In the operational stage, the Agency is expected to perform the following tasks:</w:t>
          </w:r>
        </w:p>
        <w:p w14:paraId="16886989"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1. </w:t>
          </w:r>
          <w:r w:rsidR="001C68B9" w:rsidRPr="00FF027F">
            <w:rPr>
              <w:rFonts w:ascii="Arial" w:hAnsi="Arial" w:cs="Arial"/>
              <w:lang w:val="en-GB"/>
            </w:rPr>
            <w:t>Operate the European register of wholesale energy market participants, to be fed with registration data collected by NRAs in their national registers;</w:t>
          </w:r>
        </w:p>
        <w:p w14:paraId="0A455AEE"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2. </w:t>
          </w:r>
          <w:r w:rsidR="001C68B9" w:rsidRPr="00FF027F">
            <w:rPr>
              <w:rFonts w:ascii="Arial" w:hAnsi="Arial" w:cs="Arial"/>
              <w:lang w:val="en-GB"/>
            </w:rPr>
            <w:t>Operate and maintain the IT-system, the procedures and the protocols for the collection and analysis of the data and other information required for the market monitoring purposes;</w:t>
          </w:r>
        </w:p>
        <w:p w14:paraId="21BE0BBE"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3. </w:t>
          </w:r>
          <w:r w:rsidR="001C68B9" w:rsidRPr="00FF027F">
            <w:rPr>
              <w:rFonts w:ascii="Arial" w:hAnsi="Arial" w:cs="Arial"/>
              <w:lang w:val="en-GB"/>
            </w:rPr>
            <w:t>Collect the trade and fundamental data, to be reported by market participants and other reporting parties, directly or through reporting channels, and other data (e.g. meteorological data) which is required for monitoring wholesale energy markets activities;</w:t>
          </w:r>
        </w:p>
        <w:p w14:paraId="12D5431B"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4. </w:t>
          </w:r>
          <w:r w:rsidR="001C68B9" w:rsidRPr="00FF027F">
            <w:rPr>
              <w:rFonts w:ascii="Arial" w:hAnsi="Arial" w:cs="Arial"/>
              <w:lang w:val="en-GB"/>
            </w:rPr>
            <w:t xml:space="preserve">Establish </w:t>
          </w:r>
          <w:r w:rsidR="00575A0B" w:rsidRPr="00FF027F">
            <w:rPr>
              <w:rFonts w:ascii="Arial" w:hAnsi="Arial" w:cs="Arial"/>
              <w:lang w:val="en-GB"/>
            </w:rPr>
            <w:t xml:space="preserve">a </w:t>
          </w:r>
          <w:r w:rsidR="001C68B9" w:rsidRPr="00FF027F">
            <w:rPr>
              <w:rFonts w:ascii="Arial" w:hAnsi="Arial" w:cs="Arial"/>
              <w:lang w:val="en-GB"/>
            </w:rPr>
            <w:t>mechanism to share collected data with NRAs, competent financial authorities of the Member States, national competition authorities, the European Securities and Markets Authority (ESMA) and other relevant authorities;</w:t>
          </w:r>
        </w:p>
        <w:p w14:paraId="1A7C1670"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5. </w:t>
          </w:r>
          <w:r w:rsidR="001C68B9" w:rsidRPr="00FF027F">
            <w:rPr>
              <w:rFonts w:ascii="Arial" w:hAnsi="Arial" w:cs="Arial"/>
              <w:lang w:val="en-GB"/>
            </w:rPr>
            <w:t>Monitor trading activities in wholesale energy products to detect instances of suspected market abuse (market manipulation, attempted market manipulation and insider trading);</w:t>
          </w:r>
        </w:p>
        <w:p w14:paraId="25757FEF"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6. </w:t>
          </w:r>
          <w:r w:rsidR="001C68B9" w:rsidRPr="00FF027F">
            <w:rPr>
              <w:rFonts w:ascii="Arial" w:hAnsi="Arial" w:cs="Arial"/>
              <w:lang w:val="en-GB"/>
            </w:rPr>
            <w:t>Notify instances of suspected market abuse to NRAs and/or other competent authorities, at national or EU level as the case might be, for investigation and enforcement;</w:t>
          </w:r>
        </w:p>
        <w:p w14:paraId="27B9C4F9"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7. </w:t>
          </w:r>
          <w:r w:rsidR="001C68B9" w:rsidRPr="00FF027F">
            <w:rPr>
              <w:rFonts w:ascii="Arial" w:hAnsi="Arial" w:cs="Arial"/>
              <w:lang w:val="en-GB"/>
            </w:rPr>
            <w:t>Coordinate investigations carried out by NRAs and other competent authorities when they are conducted at super-national level;</w:t>
          </w:r>
        </w:p>
        <w:p w14:paraId="1CC6536F"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8. </w:t>
          </w:r>
          <w:r w:rsidR="001C68B9" w:rsidRPr="00FF027F">
            <w:rPr>
              <w:rFonts w:ascii="Arial" w:hAnsi="Arial" w:cs="Arial"/>
              <w:lang w:val="en-GB"/>
            </w:rPr>
            <w:t>Produce reports on trading in wholesale energy markets and on the monitoring activities performed by the Agency, as required by REMIT, or otherwise determined;</w:t>
          </w:r>
        </w:p>
        <w:p w14:paraId="7F7B8E08" w14:textId="77777777"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9. </w:t>
          </w:r>
          <w:r w:rsidR="001C68B9" w:rsidRPr="00FF027F">
            <w:rPr>
              <w:rFonts w:ascii="Arial" w:hAnsi="Arial" w:cs="Arial"/>
              <w:lang w:val="en-GB"/>
            </w:rPr>
            <w:t>Take all necessary measures to prevent any misuse of, and unauthorised access to the information maintained in its systems.</w:t>
          </w:r>
        </w:p>
        <w:p w14:paraId="4204B866" w14:textId="176C515F" w:rsidR="001C68B9" w:rsidRPr="00FF027F" w:rsidRDefault="001C68B9" w:rsidP="00CC65D1">
          <w:pPr>
            <w:spacing w:before="360" w:after="240" w:line="360" w:lineRule="auto"/>
            <w:jc w:val="both"/>
            <w:rPr>
              <w:rFonts w:ascii="Arial" w:hAnsi="Arial" w:cs="Arial"/>
              <w:lang w:val="en-GB"/>
            </w:rPr>
          </w:pPr>
          <w:r w:rsidRPr="00FF027F">
            <w:rPr>
              <w:rFonts w:ascii="Arial" w:hAnsi="Arial" w:cs="Arial"/>
              <w:lang w:val="en-GB"/>
            </w:rPr>
            <w:t xml:space="preserve">The Agency’s assessment indicates that in the operational stage significantly </w:t>
          </w:r>
          <w:r w:rsidR="009A186A" w:rsidRPr="00FF027F">
            <w:rPr>
              <w:rFonts w:ascii="Arial" w:hAnsi="Arial" w:cs="Arial"/>
              <w:lang w:val="en-GB"/>
            </w:rPr>
            <w:t>larger</w:t>
          </w:r>
          <w:r w:rsidRPr="00FF027F">
            <w:rPr>
              <w:rFonts w:ascii="Arial" w:hAnsi="Arial" w:cs="Arial"/>
              <w:lang w:val="en-GB"/>
            </w:rPr>
            <w:t xml:space="preserve"> staff than foreseen in the Fiche Financière is required for the Agency to be able to fulfil the tasks assigned to it under REMIT. This is due to:</w:t>
          </w:r>
        </w:p>
        <w:p w14:paraId="4A2305AF" w14:textId="147B3360" w:rsidR="001C68B9"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 </w:t>
          </w:r>
          <w:r w:rsidR="001C68B9" w:rsidRPr="00FF027F">
            <w:rPr>
              <w:rFonts w:ascii="Arial" w:hAnsi="Arial" w:cs="Arial"/>
              <w:lang w:val="en-GB"/>
            </w:rPr>
            <w:t>The additional tasks assigned to the Agency during the legislative process and not envisaged in the Commission’s proposal;</w:t>
          </w:r>
        </w:p>
        <w:p w14:paraId="0FFD2BEF" w14:textId="06535A19" w:rsidR="00B548E6" w:rsidRPr="00FF027F" w:rsidRDefault="00F52D4A" w:rsidP="00CC65D1">
          <w:pPr>
            <w:spacing w:before="360" w:after="240" w:line="360" w:lineRule="auto"/>
            <w:jc w:val="both"/>
            <w:rPr>
              <w:rFonts w:ascii="Arial" w:hAnsi="Arial" w:cs="Arial"/>
              <w:lang w:val="en-GB"/>
            </w:rPr>
          </w:pPr>
          <w:r w:rsidRPr="00FF027F">
            <w:rPr>
              <w:rFonts w:ascii="Arial" w:hAnsi="Arial" w:cs="Arial"/>
              <w:lang w:val="en-GB"/>
            </w:rPr>
            <w:t xml:space="preserve">- </w:t>
          </w:r>
          <w:r w:rsidR="001C68B9" w:rsidRPr="00FF027F">
            <w:rPr>
              <w:rFonts w:ascii="Arial" w:hAnsi="Arial" w:cs="Arial"/>
              <w:lang w:val="en-GB"/>
            </w:rPr>
            <w:t>The sheer scale and complexity of the Agency’s monitoring activities, which have become evident with the detailed definition of the trading and fundamental data to be reported and collected by the Agency</w:t>
          </w:r>
          <w:r w:rsidR="00E06096" w:rsidRPr="00FF027F">
            <w:rPr>
              <w:rFonts w:ascii="Arial" w:hAnsi="Arial" w:cs="Arial"/>
              <w:lang w:val="en-GB"/>
            </w:rPr>
            <w:t xml:space="preserve">. </w:t>
          </w:r>
        </w:p>
        <w:p w14:paraId="7E8B2745" w14:textId="77777777" w:rsidR="00B548E6" w:rsidRPr="00FF027F" w:rsidRDefault="00B548E6" w:rsidP="00CC65D1">
          <w:pPr>
            <w:spacing w:before="360" w:after="240" w:line="360" w:lineRule="auto"/>
            <w:jc w:val="both"/>
            <w:rPr>
              <w:rFonts w:ascii="Arial" w:hAnsi="Arial" w:cs="Arial"/>
              <w:lang w:val="en-GB"/>
            </w:rPr>
          </w:pPr>
          <w:r w:rsidRPr="00FF027F">
            <w:rPr>
              <w:rFonts w:ascii="Arial" w:hAnsi="Arial" w:cs="Arial"/>
              <w:lang w:val="en-GB"/>
            </w:rPr>
            <w:t>The additional tasks and activities and the need for additional human resources necessary to perform them are as follows:</w:t>
          </w:r>
        </w:p>
        <w:p w14:paraId="3B6E6BCA" w14:textId="77777777" w:rsidR="00B548E6" w:rsidRPr="00FF027F" w:rsidRDefault="00B548E6" w:rsidP="006D214F">
          <w:pPr>
            <w:numPr>
              <w:ilvl w:val="0"/>
              <w:numId w:val="37"/>
            </w:numPr>
            <w:tabs>
              <w:tab w:val="num" w:pos="360"/>
            </w:tabs>
            <w:spacing w:before="360" w:after="240" w:line="360" w:lineRule="auto"/>
            <w:ind w:left="0" w:firstLine="0"/>
            <w:jc w:val="both"/>
            <w:rPr>
              <w:rFonts w:ascii="Arial" w:hAnsi="Arial" w:cs="Arial"/>
              <w:lang w:val="en-GB"/>
            </w:rPr>
          </w:pPr>
          <w:r w:rsidRPr="00FF027F">
            <w:rPr>
              <w:rFonts w:ascii="Arial" w:hAnsi="Arial" w:cs="Arial"/>
              <w:lang w:val="en-GB"/>
            </w:rPr>
            <w:t>ACER guidance on market abuse definitions (Articles 2, 6 and 16(1), second subparagraph, of REMIT) - 1 additional policy officer.</w:t>
          </w:r>
        </w:p>
        <w:p w14:paraId="162A099D" w14:textId="77777777" w:rsidR="00B548E6" w:rsidRPr="00FF027F" w:rsidRDefault="00B548E6" w:rsidP="006D214F">
          <w:pPr>
            <w:numPr>
              <w:ilvl w:val="0"/>
              <w:numId w:val="38"/>
            </w:numPr>
            <w:spacing w:before="360" w:after="240" w:line="360" w:lineRule="auto"/>
            <w:ind w:left="0" w:firstLine="0"/>
            <w:jc w:val="both"/>
            <w:rPr>
              <w:rFonts w:ascii="Arial" w:hAnsi="Arial" w:cs="Arial"/>
              <w:lang w:val="en-GB"/>
            </w:rPr>
          </w:pPr>
          <w:r w:rsidRPr="00FF027F">
            <w:rPr>
              <w:rFonts w:ascii="Arial" w:hAnsi="Arial" w:cs="Arial"/>
              <w:lang w:val="en-GB"/>
            </w:rPr>
            <w:t xml:space="preserve">Monitoring of additional data taking into account modifications to the definition of inside information, the prohibition of insider dealing and the obligation to publish inside information (Articles 2, 3 and 4 of REMIT) - </w:t>
          </w:r>
          <w:r w:rsidRPr="00FF027F">
            <w:rPr>
              <w:rFonts w:ascii="Arial" w:hAnsi="Arial" w:cs="Arial"/>
              <w:bCs/>
              <w:lang w:val="en-GB"/>
            </w:rPr>
            <w:t>1 additional legal officer</w:t>
          </w:r>
          <w:r w:rsidRPr="00FF027F">
            <w:rPr>
              <w:rFonts w:ascii="Arial" w:hAnsi="Arial" w:cs="Arial"/>
              <w:lang w:val="en-GB"/>
            </w:rPr>
            <w:t>.</w:t>
          </w:r>
        </w:p>
        <w:p w14:paraId="65BF8EB8" w14:textId="77777777" w:rsidR="00B548E6" w:rsidRPr="00FF027F" w:rsidRDefault="00B548E6" w:rsidP="006D214F">
          <w:pPr>
            <w:numPr>
              <w:ilvl w:val="0"/>
              <w:numId w:val="39"/>
            </w:numPr>
            <w:tabs>
              <w:tab w:val="num" w:pos="360"/>
            </w:tabs>
            <w:spacing w:before="360" w:after="240" w:line="360" w:lineRule="auto"/>
            <w:ind w:left="0" w:firstLine="0"/>
            <w:jc w:val="both"/>
            <w:rPr>
              <w:rFonts w:ascii="Arial" w:hAnsi="Arial" w:cs="Arial"/>
              <w:lang w:val="en-GB"/>
            </w:rPr>
          </w:pPr>
          <w:r w:rsidRPr="00FF027F">
            <w:rPr>
              <w:rFonts w:ascii="Arial" w:hAnsi="Arial" w:cs="Arial"/>
              <w:lang w:val="en-GB"/>
            </w:rPr>
            <w:t xml:space="preserve">Monitoring of additional data on emission allowances (Article 10(3) of REMIT) - 1 additional monitoring officer, 1 additional IT officer and 1 additional IT assistant. </w:t>
          </w:r>
        </w:p>
        <w:p w14:paraId="00D31C03" w14:textId="77777777" w:rsidR="00B548E6" w:rsidRPr="00FF027F" w:rsidRDefault="00B548E6" w:rsidP="006D214F">
          <w:pPr>
            <w:numPr>
              <w:ilvl w:val="0"/>
              <w:numId w:val="39"/>
            </w:numPr>
            <w:tabs>
              <w:tab w:val="num" w:pos="426"/>
            </w:tabs>
            <w:spacing w:before="360" w:after="240" w:line="360" w:lineRule="auto"/>
            <w:ind w:left="0" w:firstLine="0"/>
            <w:jc w:val="both"/>
            <w:rPr>
              <w:rFonts w:ascii="Arial" w:hAnsi="Arial" w:cs="Arial"/>
              <w:lang w:val="en-GB"/>
            </w:rPr>
          </w:pPr>
          <w:r w:rsidRPr="00FF027F">
            <w:rPr>
              <w:rFonts w:ascii="Arial" w:hAnsi="Arial" w:cs="Arial"/>
              <w:lang w:val="en-GB"/>
            </w:rPr>
            <w:t>Establishment of strong links with major organised markets (Recital 18 of REMIT</w:t>
          </w:r>
          <w:r w:rsidR="007E2793" w:rsidRPr="00FF027F">
            <w:rPr>
              <w:rFonts w:ascii="Arial" w:hAnsi="Arial" w:cs="Arial"/>
              <w:lang w:val="en-GB"/>
            </w:rPr>
            <w:t>)</w:t>
          </w:r>
          <w:r w:rsidRPr="00FF027F">
            <w:rPr>
              <w:rFonts w:ascii="Arial" w:hAnsi="Arial" w:cs="Arial"/>
              <w:lang w:val="en-GB"/>
            </w:rPr>
            <w:t xml:space="preserve"> - 4 additional monitoring officers.</w:t>
          </w:r>
        </w:p>
        <w:p w14:paraId="3DE65989" w14:textId="77777777" w:rsidR="00B548E6" w:rsidRPr="00FF027F" w:rsidRDefault="00B548E6" w:rsidP="006D214F">
          <w:pPr>
            <w:numPr>
              <w:ilvl w:val="0"/>
              <w:numId w:val="37"/>
            </w:numPr>
            <w:tabs>
              <w:tab w:val="num" w:pos="426"/>
            </w:tabs>
            <w:autoSpaceDE w:val="0"/>
            <w:autoSpaceDN w:val="0"/>
            <w:adjustRightInd w:val="0"/>
            <w:spacing w:before="360" w:after="240" w:line="360" w:lineRule="auto"/>
            <w:ind w:left="0" w:firstLine="0"/>
            <w:jc w:val="both"/>
            <w:rPr>
              <w:rFonts w:ascii="Arial" w:hAnsi="Arial" w:cs="Arial"/>
              <w:bCs/>
              <w:lang w:val="en-GB"/>
            </w:rPr>
          </w:pPr>
          <w:r w:rsidRPr="00FF027F">
            <w:rPr>
              <w:rFonts w:ascii="Arial" w:hAnsi="Arial" w:cs="Arial"/>
              <w:bCs/>
              <w:iCs/>
              <w:lang w:val="en-GB"/>
            </w:rPr>
            <w:t xml:space="preserve">Assessment of the operation and transparency of different categories of market places and ways of trading (Article 7(3) of REMIT) - </w:t>
          </w:r>
          <w:r w:rsidRPr="00FF027F">
            <w:rPr>
              <w:rFonts w:ascii="Arial" w:hAnsi="Arial" w:cs="Arial"/>
              <w:bCs/>
              <w:lang w:val="en-GB"/>
            </w:rPr>
            <w:t>1 additional policy officer.</w:t>
          </w:r>
        </w:p>
        <w:p w14:paraId="4905AA52" w14:textId="77777777" w:rsidR="00B548E6" w:rsidRPr="00FF027F" w:rsidRDefault="00B548E6" w:rsidP="006D214F">
          <w:pPr>
            <w:numPr>
              <w:ilvl w:val="0"/>
              <w:numId w:val="40"/>
            </w:numPr>
            <w:spacing w:before="360" w:after="240" w:line="360" w:lineRule="auto"/>
            <w:ind w:left="0" w:firstLine="0"/>
            <w:jc w:val="both"/>
            <w:rPr>
              <w:rFonts w:ascii="Arial" w:hAnsi="Arial" w:cs="Arial"/>
              <w:lang w:val="en-GB"/>
            </w:rPr>
          </w:pPr>
          <w:r w:rsidRPr="00FF027F">
            <w:rPr>
              <w:rFonts w:ascii="Arial" w:hAnsi="Arial" w:cs="Arial"/>
              <w:lang w:val="en-GB"/>
            </w:rPr>
            <w:t>Close cooperation with NRAs, ESMA, national financial market authorities and, if applicable, competition authorities to ensure a coordinated enforcement of market abuse rules under REMIT and under the Market Abuse Directive (Article 1(3), 8, 10 and 16 of REMIT; MAD/MiFID review) - 1 additional policy officer.</w:t>
          </w:r>
        </w:p>
        <w:p w14:paraId="7963F104" w14:textId="77777777" w:rsidR="00B548E6" w:rsidRPr="00FF027F" w:rsidRDefault="00B548E6" w:rsidP="006D214F">
          <w:pPr>
            <w:numPr>
              <w:ilvl w:val="0"/>
              <w:numId w:val="41"/>
            </w:numPr>
            <w:spacing w:before="360" w:after="240" w:line="360" w:lineRule="auto"/>
            <w:ind w:left="0" w:firstLine="0"/>
            <w:jc w:val="both"/>
            <w:rPr>
              <w:rFonts w:ascii="Arial" w:hAnsi="Arial" w:cs="Arial"/>
              <w:lang w:val="en-GB"/>
            </w:rPr>
          </w:pPr>
          <w:r w:rsidRPr="00FF027F">
            <w:rPr>
              <w:rFonts w:ascii="Arial" w:hAnsi="Arial" w:cs="Arial"/>
              <w:lang w:val="en-GB"/>
            </w:rPr>
            <w:t>Registration of market participants (Article 9 of REMIT) - 2 additional staff members (1 IT officer, 1 senior IT assistant).</w:t>
          </w:r>
        </w:p>
        <w:p w14:paraId="0A220F82" w14:textId="77777777" w:rsidR="00B548E6" w:rsidRPr="00FF027F" w:rsidRDefault="00B548E6" w:rsidP="006D214F">
          <w:pPr>
            <w:numPr>
              <w:ilvl w:val="0"/>
              <w:numId w:val="39"/>
            </w:numPr>
            <w:tabs>
              <w:tab w:val="num" w:pos="360"/>
              <w:tab w:val="num" w:pos="426"/>
            </w:tabs>
            <w:spacing w:before="360" w:after="240" w:line="360" w:lineRule="auto"/>
            <w:ind w:left="0" w:firstLine="0"/>
            <w:jc w:val="both"/>
            <w:rPr>
              <w:rFonts w:ascii="Arial" w:hAnsi="Arial" w:cs="Arial"/>
              <w:lang w:val="en-GB"/>
            </w:rPr>
          </w:pPr>
          <w:r w:rsidRPr="00FF027F">
            <w:rPr>
              <w:rFonts w:ascii="Arial" w:hAnsi="Arial" w:cs="Arial"/>
              <w:lang w:val="en-GB"/>
            </w:rPr>
            <w:t xml:space="preserve">Publication of data by the Agency (Article 12 of REMIT) - 1 additional IT officer and 1 additional IT assistant. </w:t>
          </w:r>
        </w:p>
        <w:p w14:paraId="57B994D0" w14:textId="77777777" w:rsidR="00B548E6" w:rsidRPr="00FF027F" w:rsidRDefault="00B548E6" w:rsidP="00CC65D1">
          <w:pPr>
            <w:spacing w:before="360" w:after="240" w:line="360" w:lineRule="auto"/>
            <w:jc w:val="both"/>
            <w:rPr>
              <w:rFonts w:ascii="Arial" w:hAnsi="Arial" w:cs="Arial"/>
              <w:lang w:val="en-GB"/>
            </w:rPr>
          </w:pPr>
          <w:r w:rsidRPr="00FF027F">
            <w:rPr>
              <w:rFonts w:ascii="Arial" w:hAnsi="Arial" w:cs="Arial"/>
              <w:lang w:val="en-GB"/>
            </w:rPr>
            <w:t>Therefore, it is estimated that at least 15 additional staff members (5 monitoring officers, 1 legal officer, 3 policy officers, 3 IT officers and 3 IT assistants) are required to fulfil the additional tasks stipulated by the REMIT legislators in the course of the legislative process.</w:t>
          </w:r>
        </w:p>
        <w:p w14:paraId="5981F4E4" w14:textId="77777777" w:rsidR="000F0584" w:rsidRPr="00FF027F" w:rsidRDefault="000F0584">
          <w:pPr>
            <w:rPr>
              <w:rFonts w:ascii="Arial" w:hAnsi="Arial" w:cs="Arial"/>
              <w:b/>
              <w:i/>
              <w:lang w:val="en-GB"/>
            </w:rPr>
          </w:pPr>
          <w:r w:rsidRPr="00FF027F">
            <w:rPr>
              <w:rFonts w:ascii="Arial" w:hAnsi="Arial" w:cs="Arial"/>
              <w:b/>
              <w:i/>
              <w:lang w:val="en-GB"/>
            </w:rPr>
            <w:br w:type="page"/>
          </w:r>
        </w:p>
        <w:p w14:paraId="058EDE4F" w14:textId="2BD9B1AD" w:rsidR="00B548E6" w:rsidRPr="00FF027F" w:rsidRDefault="00B548E6" w:rsidP="00CC65D1">
          <w:pPr>
            <w:spacing w:before="360" w:after="240" w:line="360" w:lineRule="auto"/>
            <w:jc w:val="both"/>
            <w:rPr>
              <w:rFonts w:ascii="Arial" w:hAnsi="Arial" w:cs="Arial"/>
              <w:b/>
              <w:i/>
              <w:lang w:val="en-GB"/>
            </w:rPr>
          </w:pPr>
          <w:r w:rsidRPr="00FF027F">
            <w:rPr>
              <w:rFonts w:ascii="Arial" w:hAnsi="Arial" w:cs="Arial"/>
              <w:b/>
              <w:i/>
              <w:lang w:val="en-GB"/>
            </w:rPr>
            <w:t>Scale of the Agency’s monitoring of wholesale energy markets</w:t>
          </w:r>
        </w:p>
        <w:p w14:paraId="54F34202" w14:textId="70BF3A5C" w:rsidR="00B548E6" w:rsidRPr="00FF027F" w:rsidRDefault="00B548E6" w:rsidP="0068746C">
          <w:pPr>
            <w:autoSpaceDE w:val="0"/>
            <w:autoSpaceDN w:val="0"/>
            <w:adjustRightInd w:val="0"/>
            <w:spacing w:before="240" w:after="240" w:line="360" w:lineRule="auto"/>
            <w:jc w:val="both"/>
            <w:rPr>
              <w:rFonts w:ascii="Arial" w:hAnsi="Arial" w:cs="Arial"/>
              <w:lang w:val="en-GB"/>
            </w:rPr>
          </w:pPr>
          <w:r w:rsidRPr="00FF027F">
            <w:rPr>
              <w:rFonts w:ascii="Arial" w:hAnsi="Arial" w:cs="Arial"/>
              <w:lang w:val="en-GB"/>
            </w:rPr>
            <w:t>Ho</w:t>
          </w:r>
          <w:r w:rsidRPr="00FF027F">
            <w:rPr>
              <w:rFonts w:ascii="Arial" w:hAnsi="Arial" w:cs="Arial"/>
              <w:spacing w:val="-1"/>
              <w:lang w:val="en-GB"/>
            </w:rPr>
            <w:t>w</w:t>
          </w:r>
          <w:r w:rsidRPr="00FF027F">
            <w:rPr>
              <w:rFonts w:ascii="Arial" w:hAnsi="Arial" w:cs="Arial"/>
              <w:lang w:val="en-GB"/>
            </w:rPr>
            <w:t>eve</w:t>
          </w:r>
          <w:r w:rsidRPr="00FF027F">
            <w:rPr>
              <w:rFonts w:ascii="Arial" w:hAnsi="Arial" w:cs="Arial"/>
              <w:spacing w:val="1"/>
              <w:lang w:val="en-GB"/>
            </w:rPr>
            <w:t>r</w:t>
          </w:r>
          <w:r w:rsidRPr="00FF027F">
            <w:rPr>
              <w:rFonts w:ascii="Arial" w:hAnsi="Arial" w:cs="Arial"/>
              <w:lang w:val="en-GB"/>
            </w:rPr>
            <w:t>,</w:t>
          </w:r>
          <w:r w:rsidRPr="00FF027F">
            <w:rPr>
              <w:rFonts w:ascii="Arial" w:hAnsi="Arial" w:cs="Arial"/>
              <w:spacing w:val="56"/>
              <w:lang w:val="en-GB"/>
            </w:rPr>
            <w:t xml:space="preserve"> </w:t>
          </w:r>
          <w:r w:rsidRPr="00FF027F">
            <w:rPr>
              <w:rFonts w:ascii="Arial" w:hAnsi="Arial" w:cs="Arial"/>
              <w:lang w:val="en-GB"/>
            </w:rPr>
            <w:t>even</w:t>
          </w:r>
          <w:r w:rsidRPr="00FF027F">
            <w:rPr>
              <w:rFonts w:ascii="Arial" w:hAnsi="Arial" w:cs="Arial"/>
              <w:spacing w:val="57"/>
              <w:lang w:val="en-GB"/>
            </w:rPr>
            <w:t xml:space="preserve"> </w:t>
          </w:r>
          <w:r w:rsidRPr="00FF027F">
            <w:rPr>
              <w:rFonts w:ascii="Arial" w:hAnsi="Arial" w:cs="Arial"/>
              <w:lang w:val="en-GB"/>
            </w:rPr>
            <w:t>for</w:t>
          </w:r>
          <w:r w:rsidRPr="00FF027F">
            <w:rPr>
              <w:rFonts w:ascii="Arial" w:hAnsi="Arial" w:cs="Arial"/>
              <w:spacing w:val="56"/>
              <w:lang w:val="en-GB"/>
            </w:rPr>
            <w:t xml:space="preserve"> </w:t>
          </w:r>
          <w:r w:rsidRPr="00FF027F">
            <w:rPr>
              <w:rFonts w:ascii="Arial" w:hAnsi="Arial" w:cs="Arial"/>
              <w:lang w:val="en-GB"/>
            </w:rPr>
            <w:t>the</w:t>
          </w:r>
          <w:r w:rsidRPr="00FF027F">
            <w:rPr>
              <w:rFonts w:ascii="Arial" w:hAnsi="Arial" w:cs="Arial"/>
              <w:spacing w:val="56"/>
              <w:lang w:val="en-GB"/>
            </w:rPr>
            <w:t xml:space="preserve"> </w:t>
          </w:r>
          <w:r w:rsidRPr="00FF027F">
            <w:rPr>
              <w:rFonts w:ascii="Arial" w:hAnsi="Arial" w:cs="Arial"/>
              <w:lang w:val="en-GB"/>
            </w:rPr>
            <w:t>bas</w:t>
          </w:r>
          <w:r w:rsidRPr="00FF027F">
            <w:rPr>
              <w:rFonts w:ascii="Arial" w:hAnsi="Arial" w:cs="Arial"/>
              <w:spacing w:val="1"/>
              <w:lang w:val="en-GB"/>
            </w:rPr>
            <w:t>i</w:t>
          </w:r>
          <w:r w:rsidRPr="00FF027F">
            <w:rPr>
              <w:rFonts w:ascii="Arial" w:hAnsi="Arial" w:cs="Arial"/>
              <w:lang w:val="en-GB"/>
            </w:rPr>
            <w:t>c</w:t>
          </w:r>
          <w:r w:rsidRPr="00FF027F">
            <w:rPr>
              <w:rFonts w:ascii="Arial" w:hAnsi="Arial" w:cs="Arial"/>
              <w:spacing w:val="56"/>
              <w:lang w:val="en-GB"/>
            </w:rPr>
            <w:t xml:space="preserve"> </w:t>
          </w:r>
          <w:r w:rsidRPr="00FF027F">
            <w:rPr>
              <w:rFonts w:ascii="Arial" w:hAnsi="Arial" w:cs="Arial"/>
              <w:spacing w:val="-2"/>
              <w:lang w:val="en-GB"/>
            </w:rPr>
            <w:t>m</w:t>
          </w:r>
          <w:r w:rsidRPr="00FF027F">
            <w:rPr>
              <w:rFonts w:ascii="Arial" w:hAnsi="Arial" w:cs="Arial"/>
              <w:lang w:val="en-GB"/>
            </w:rPr>
            <w:t>o</w:t>
          </w:r>
          <w:r w:rsidRPr="00FF027F">
            <w:rPr>
              <w:rFonts w:ascii="Arial" w:hAnsi="Arial" w:cs="Arial"/>
              <w:spacing w:val="2"/>
              <w:lang w:val="en-GB"/>
            </w:rPr>
            <w:t>n</w:t>
          </w:r>
          <w:r w:rsidRPr="00FF027F">
            <w:rPr>
              <w:rFonts w:ascii="Arial" w:hAnsi="Arial" w:cs="Arial"/>
              <w:lang w:val="en-GB"/>
            </w:rPr>
            <w:t>i</w:t>
          </w:r>
          <w:r w:rsidRPr="00FF027F">
            <w:rPr>
              <w:rFonts w:ascii="Arial" w:hAnsi="Arial" w:cs="Arial"/>
              <w:spacing w:val="1"/>
              <w:lang w:val="en-GB"/>
            </w:rPr>
            <w:t>t</w:t>
          </w:r>
          <w:r w:rsidRPr="00FF027F">
            <w:rPr>
              <w:rFonts w:ascii="Arial" w:hAnsi="Arial" w:cs="Arial"/>
              <w:lang w:val="en-GB"/>
            </w:rPr>
            <w:t>or</w:t>
          </w:r>
          <w:r w:rsidRPr="00FF027F">
            <w:rPr>
              <w:rFonts w:ascii="Arial" w:hAnsi="Arial" w:cs="Arial"/>
              <w:spacing w:val="1"/>
              <w:lang w:val="en-GB"/>
            </w:rPr>
            <w:t>i</w:t>
          </w:r>
          <w:r w:rsidRPr="00FF027F">
            <w:rPr>
              <w:rFonts w:ascii="Arial" w:hAnsi="Arial" w:cs="Arial"/>
              <w:lang w:val="en-GB"/>
            </w:rPr>
            <w:t>ng</w:t>
          </w:r>
          <w:r w:rsidRPr="00FF027F">
            <w:rPr>
              <w:rFonts w:ascii="Arial" w:hAnsi="Arial" w:cs="Arial"/>
              <w:spacing w:val="57"/>
              <w:lang w:val="en-GB"/>
            </w:rPr>
            <w:t xml:space="preserve"> </w:t>
          </w:r>
          <w:r w:rsidRPr="00FF027F">
            <w:rPr>
              <w:rFonts w:ascii="Arial" w:hAnsi="Arial" w:cs="Arial"/>
              <w:spacing w:val="-1"/>
              <w:lang w:val="en-GB"/>
            </w:rPr>
            <w:t>a</w:t>
          </w:r>
          <w:r w:rsidRPr="00FF027F">
            <w:rPr>
              <w:rFonts w:ascii="Arial" w:hAnsi="Arial" w:cs="Arial"/>
              <w:lang w:val="en-GB"/>
            </w:rPr>
            <w:t>ctiv</w:t>
          </w:r>
          <w:r w:rsidRPr="00FF027F">
            <w:rPr>
              <w:rFonts w:ascii="Arial" w:hAnsi="Arial" w:cs="Arial"/>
              <w:spacing w:val="-1"/>
              <w:lang w:val="en-GB"/>
            </w:rPr>
            <w:t>i</w:t>
          </w:r>
          <w:r w:rsidRPr="00FF027F">
            <w:rPr>
              <w:rFonts w:ascii="Arial" w:hAnsi="Arial" w:cs="Arial"/>
              <w:lang w:val="en-GB"/>
            </w:rPr>
            <w:t>t</w:t>
          </w:r>
          <w:r w:rsidRPr="00FF027F">
            <w:rPr>
              <w:rFonts w:ascii="Arial" w:hAnsi="Arial" w:cs="Arial"/>
              <w:spacing w:val="1"/>
              <w:lang w:val="en-GB"/>
            </w:rPr>
            <w:t>i</w:t>
          </w:r>
          <w:r w:rsidRPr="00FF027F">
            <w:rPr>
              <w:rFonts w:ascii="Arial" w:hAnsi="Arial" w:cs="Arial"/>
              <w:lang w:val="en-GB"/>
            </w:rPr>
            <w:t>es</w:t>
          </w:r>
          <w:r w:rsidRPr="00FF027F">
            <w:rPr>
              <w:rFonts w:ascii="Arial" w:hAnsi="Arial" w:cs="Arial"/>
              <w:spacing w:val="57"/>
              <w:lang w:val="en-GB"/>
            </w:rPr>
            <w:t xml:space="preserve"> </w:t>
          </w:r>
          <w:r w:rsidRPr="00FF027F">
            <w:rPr>
              <w:rFonts w:ascii="Arial" w:hAnsi="Arial" w:cs="Arial"/>
              <w:spacing w:val="-1"/>
              <w:lang w:val="en-GB"/>
            </w:rPr>
            <w:t>a</w:t>
          </w:r>
          <w:r w:rsidRPr="00FF027F">
            <w:rPr>
              <w:rFonts w:ascii="Arial" w:hAnsi="Arial" w:cs="Arial"/>
              <w:lang w:val="en-GB"/>
            </w:rPr>
            <w:t>lready</w:t>
          </w:r>
          <w:r w:rsidRPr="00FF027F">
            <w:rPr>
              <w:rFonts w:ascii="Arial" w:hAnsi="Arial" w:cs="Arial"/>
              <w:spacing w:val="55"/>
              <w:lang w:val="en-GB"/>
            </w:rPr>
            <w:t xml:space="preserve"> </w:t>
          </w:r>
          <w:r w:rsidRPr="00FF027F">
            <w:rPr>
              <w:rFonts w:ascii="Arial" w:hAnsi="Arial" w:cs="Arial"/>
              <w:lang w:val="en-GB"/>
            </w:rPr>
            <w:t>included</w:t>
          </w:r>
          <w:r w:rsidRPr="00FF027F">
            <w:rPr>
              <w:rFonts w:ascii="Arial" w:hAnsi="Arial" w:cs="Arial"/>
              <w:spacing w:val="55"/>
              <w:lang w:val="en-GB"/>
            </w:rPr>
            <w:t xml:space="preserve"> </w:t>
          </w:r>
          <w:r w:rsidRPr="00FF027F">
            <w:rPr>
              <w:rFonts w:ascii="Arial" w:hAnsi="Arial" w:cs="Arial"/>
              <w:lang w:val="en-GB"/>
            </w:rPr>
            <w:t>in</w:t>
          </w:r>
          <w:r w:rsidRPr="00FF027F">
            <w:rPr>
              <w:rFonts w:ascii="Arial" w:hAnsi="Arial" w:cs="Arial"/>
              <w:spacing w:val="55"/>
              <w:lang w:val="en-GB"/>
            </w:rPr>
            <w:t xml:space="preserve"> </w:t>
          </w:r>
          <w:r w:rsidRPr="00FF027F">
            <w:rPr>
              <w:rFonts w:ascii="Arial" w:hAnsi="Arial" w:cs="Arial"/>
              <w:lang w:val="en-GB"/>
            </w:rPr>
            <w:t>the</w:t>
          </w:r>
          <w:r w:rsidRPr="00FF027F">
            <w:rPr>
              <w:rFonts w:ascii="Arial" w:hAnsi="Arial" w:cs="Arial"/>
              <w:spacing w:val="57"/>
              <w:lang w:val="en-GB"/>
            </w:rPr>
            <w:t xml:space="preserve"> </w:t>
          </w:r>
          <w:r w:rsidRPr="00FF027F">
            <w:rPr>
              <w:rFonts w:ascii="Arial" w:hAnsi="Arial" w:cs="Arial"/>
              <w:lang w:val="en-GB"/>
            </w:rPr>
            <w:t>Co</w:t>
          </w:r>
          <w:r w:rsidRPr="00FF027F">
            <w:rPr>
              <w:rFonts w:ascii="Arial" w:hAnsi="Arial" w:cs="Arial"/>
              <w:spacing w:val="-1"/>
              <w:lang w:val="en-GB"/>
            </w:rPr>
            <w:t>m</w:t>
          </w:r>
          <w:r w:rsidRPr="00FF027F">
            <w:rPr>
              <w:rFonts w:ascii="Arial" w:hAnsi="Arial" w:cs="Arial"/>
              <w:spacing w:val="-2"/>
              <w:lang w:val="en-GB"/>
            </w:rPr>
            <w:t>m</w:t>
          </w:r>
          <w:r w:rsidRPr="00FF027F">
            <w:rPr>
              <w:rFonts w:ascii="Arial" w:hAnsi="Arial" w:cs="Arial"/>
              <w:lang w:val="en-GB"/>
            </w:rPr>
            <w:t>is</w:t>
          </w:r>
          <w:r w:rsidRPr="00FF027F">
            <w:rPr>
              <w:rFonts w:ascii="Arial" w:hAnsi="Arial" w:cs="Arial"/>
              <w:spacing w:val="1"/>
              <w:lang w:val="en-GB"/>
            </w:rPr>
            <w:t>s</w:t>
          </w:r>
          <w:r w:rsidRPr="00FF027F">
            <w:rPr>
              <w:rFonts w:ascii="Arial" w:hAnsi="Arial" w:cs="Arial"/>
              <w:lang w:val="en-GB"/>
            </w:rPr>
            <w:t>ion</w:t>
          </w:r>
          <w:r w:rsidRPr="00FF027F">
            <w:rPr>
              <w:rFonts w:ascii="Arial" w:hAnsi="Arial" w:cs="Arial"/>
              <w:spacing w:val="1"/>
              <w:lang w:val="en-GB"/>
            </w:rPr>
            <w:t>’</w:t>
          </w:r>
          <w:r w:rsidRPr="00FF027F">
            <w:rPr>
              <w:rFonts w:ascii="Arial" w:hAnsi="Arial" w:cs="Arial"/>
              <w:lang w:val="en-GB"/>
            </w:rPr>
            <w:t>s proposal,</w:t>
          </w:r>
          <w:r w:rsidRPr="00FF027F">
            <w:rPr>
              <w:rFonts w:ascii="Arial" w:hAnsi="Arial" w:cs="Arial"/>
              <w:spacing w:val="9"/>
              <w:lang w:val="en-GB"/>
            </w:rPr>
            <w:t xml:space="preserve"> </w:t>
          </w:r>
          <w:r w:rsidRPr="00FF027F">
            <w:rPr>
              <w:rFonts w:ascii="Arial" w:hAnsi="Arial" w:cs="Arial"/>
              <w:spacing w:val="2"/>
              <w:lang w:val="en-GB"/>
            </w:rPr>
            <w:t>t</w:t>
          </w:r>
          <w:r w:rsidRPr="00FF027F">
            <w:rPr>
              <w:rFonts w:ascii="Arial" w:hAnsi="Arial" w:cs="Arial"/>
              <w:spacing w:val="-1"/>
              <w:lang w:val="en-GB"/>
            </w:rPr>
            <w:t>h</w:t>
          </w:r>
          <w:r w:rsidRPr="00FF027F">
            <w:rPr>
              <w:rFonts w:ascii="Arial" w:hAnsi="Arial" w:cs="Arial"/>
              <w:lang w:val="en-GB"/>
            </w:rPr>
            <w:t>e</w:t>
          </w:r>
          <w:r w:rsidRPr="00FF027F">
            <w:rPr>
              <w:rFonts w:ascii="Arial" w:hAnsi="Arial" w:cs="Arial"/>
              <w:spacing w:val="11"/>
              <w:lang w:val="en-GB"/>
            </w:rPr>
            <w:t xml:space="preserve"> </w:t>
          </w:r>
          <w:r w:rsidRPr="00FF027F">
            <w:rPr>
              <w:rFonts w:ascii="Arial" w:hAnsi="Arial" w:cs="Arial"/>
              <w:lang w:val="en-GB"/>
            </w:rPr>
            <w:t>Agency</w:t>
          </w:r>
          <w:r w:rsidRPr="00FF027F">
            <w:rPr>
              <w:rFonts w:ascii="Arial" w:hAnsi="Arial" w:cs="Arial"/>
              <w:spacing w:val="11"/>
              <w:lang w:val="en-GB"/>
            </w:rPr>
            <w:t xml:space="preserve"> </w:t>
          </w:r>
          <w:r w:rsidRPr="00FF027F">
            <w:rPr>
              <w:rFonts w:ascii="Arial" w:hAnsi="Arial" w:cs="Arial"/>
              <w:lang w:val="en-GB"/>
            </w:rPr>
            <w:t>c</w:t>
          </w:r>
          <w:r w:rsidRPr="00FF027F">
            <w:rPr>
              <w:rFonts w:ascii="Arial" w:hAnsi="Arial" w:cs="Arial"/>
              <w:spacing w:val="-1"/>
              <w:lang w:val="en-GB"/>
            </w:rPr>
            <w:t>o</w:t>
          </w:r>
          <w:r w:rsidRPr="00FF027F">
            <w:rPr>
              <w:rFonts w:ascii="Arial" w:hAnsi="Arial" w:cs="Arial"/>
              <w:lang w:val="en-GB"/>
            </w:rPr>
            <w:t>nsid</w:t>
          </w:r>
          <w:r w:rsidRPr="00FF027F">
            <w:rPr>
              <w:rFonts w:ascii="Arial" w:hAnsi="Arial" w:cs="Arial"/>
              <w:spacing w:val="1"/>
              <w:lang w:val="en-GB"/>
            </w:rPr>
            <w:t>e</w:t>
          </w:r>
          <w:r w:rsidRPr="00FF027F">
            <w:rPr>
              <w:rFonts w:ascii="Arial" w:hAnsi="Arial" w:cs="Arial"/>
              <w:lang w:val="en-GB"/>
            </w:rPr>
            <w:t>rs</w:t>
          </w:r>
          <w:r w:rsidRPr="00FF027F">
            <w:rPr>
              <w:rFonts w:ascii="Arial" w:hAnsi="Arial" w:cs="Arial"/>
              <w:spacing w:val="11"/>
              <w:lang w:val="en-GB"/>
            </w:rPr>
            <w:t xml:space="preserve"> </w:t>
          </w:r>
          <w:r w:rsidRPr="00FF027F">
            <w:rPr>
              <w:rFonts w:ascii="Arial" w:hAnsi="Arial" w:cs="Arial"/>
              <w:lang w:val="en-GB"/>
            </w:rPr>
            <w:t>that</w:t>
          </w:r>
          <w:r w:rsidRPr="00FF027F">
            <w:rPr>
              <w:rFonts w:ascii="Arial" w:hAnsi="Arial" w:cs="Arial"/>
              <w:spacing w:val="9"/>
              <w:lang w:val="en-GB"/>
            </w:rPr>
            <w:t xml:space="preserve"> </w:t>
          </w:r>
          <w:r w:rsidRPr="00FF027F">
            <w:rPr>
              <w:rFonts w:ascii="Arial" w:hAnsi="Arial" w:cs="Arial"/>
              <w:lang w:val="en-GB"/>
            </w:rPr>
            <w:t>a</w:t>
          </w:r>
          <w:r w:rsidRPr="00FF027F">
            <w:rPr>
              <w:rFonts w:ascii="Arial" w:hAnsi="Arial" w:cs="Arial"/>
              <w:spacing w:val="11"/>
              <w:lang w:val="en-GB"/>
            </w:rPr>
            <w:t xml:space="preserve"> </w:t>
          </w:r>
          <w:r w:rsidRPr="00FF027F">
            <w:rPr>
              <w:rFonts w:ascii="Arial" w:hAnsi="Arial" w:cs="Arial"/>
              <w:lang w:val="en-GB"/>
            </w:rPr>
            <w:t>larger</w:t>
          </w:r>
          <w:r w:rsidRPr="00FF027F">
            <w:rPr>
              <w:rFonts w:ascii="Arial" w:hAnsi="Arial" w:cs="Arial"/>
              <w:spacing w:val="12"/>
              <w:lang w:val="en-GB"/>
            </w:rPr>
            <w:t xml:space="preserve"> </w:t>
          </w:r>
          <w:r w:rsidRPr="00FF027F">
            <w:rPr>
              <w:rFonts w:ascii="Arial" w:hAnsi="Arial" w:cs="Arial"/>
              <w:lang w:val="en-GB"/>
            </w:rPr>
            <w:t>n</w:t>
          </w:r>
          <w:r w:rsidRPr="00FF027F">
            <w:rPr>
              <w:rFonts w:ascii="Arial" w:hAnsi="Arial" w:cs="Arial"/>
              <w:spacing w:val="-1"/>
              <w:lang w:val="en-GB"/>
            </w:rPr>
            <w:t>u</w:t>
          </w:r>
          <w:r w:rsidRPr="00FF027F">
            <w:rPr>
              <w:rFonts w:ascii="Arial" w:hAnsi="Arial" w:cs="Arial"/>
              <w:lang w:val="en-GB"/>
            </w:rPr>
            <w:t>mber</w:t>
          </w:r>
          <w:r w:rsidRPr="00FF027F">
            <w:rPr>
              <w:rFonts w:ascii="Arial" w:hAnsi="Arial" w:cs="Arial"/>
              <w:spacing w:val="11"/>
              <w:lang w:val="en-GB"/>
            </w:rPr>
            <w:t xml:space="preserve"> </w:t>
          </w:r>
          <w:r w:rsidRPr="00FF027F">
            <w:rPr>
              <w:rFonts w:ascii="Arial" w:hAnsi="Arial" w:cs="Arial"/>
              <w:lang w:val="en-GB"/>
            </w:rPr>
            <w:t>of</w:t>
          </w:r>
          <w:r w:rsidRPr="00FF027F">
            <w:rPr>
              <w:rFonts w:ascii="Arial" w:hAnsi="Arial" w:cs="Arial"/>
              <w:spacing w:val="10"/>
              <w:lang w:val="en-GB"/>
            </w:rPr>
            <w:t xml:space="preserve"> </w:t>
          </w:r>
          <w:r w:rsidRPr="00FF027F">
            <w:rPr>
              <w:rFonts w:ascii="Arial" w:hAnsi="Arial" w:cs="Arial"/>
              <w:lang w:val="en-GB"/>
            </w:rPr>
            <w:t>high</w:t>
          </w:r>
          <w:r w:rsidRPr="00FF027F">
            <w:rPr>
              <w:rFonts w:ascii="Arial" w:hAnsi="Arial" w:cs="Arial"/>
              <w:spacing w:val="1"/>
              <w:lang w:val="en-GB"/>
            </w:rPr>
            <w:t>l</w:t>
          </w:r>
          <w:r w:rsidRPr="00FF027F">
            <w:rPr>
              <w:rFonts w:ascii="Arial" w:hAnsi="Arial" w:cs="Arial"/>
              <w:lang w:val="en-GB"/>
            </w:rPr>
            <w:t>y</w:t>
          </w:r>
          <w:r w:rsidRPr="00FF027F">
            <w:rPr>
              <w:rFonts w:ascii="Arial" w:hAnsi="Arial" w:cs="Arial"/>
              <w:spacing w:val="11"/>
              <w:lang w:val="en-GB"/>
            </w:rPr>
            <w:t xml:space="preserve"> </w:t>
          </w:r>
          <w:r w:rsidRPr="00FF027F">
            <w:rPr>
              <w:rFonts w:ascii="Arial" w:hAnsi="Arial" w:cs="Arial"/>
              <w:lang w:val="en-GB"/>
            </w:rPr>
            <w:t>quali</w:t>
          </w:r>
          <w:r w:rsidRPr="00FF027F">
            <w:rPr>
              <w:rFonts w:ascii="Arial" w:hAnsi="Arial" w:cs="Arial"/>
              <w:spacing w:val="-1"/>
              <w:lang w:val="en-GB"/>
            </w:rPr>
            <w:t>f</w:t>
          </w:r>
          <w:r w:rsidRPr="00FF027F">
            <w:rPr>
              <w:rFonts w:ascii="Arial" w:hAnsi="Arial" w:cs="Arial"/>
              <w:lang w:val="en-GB"/>
            </w:rPr>
            <w:t>ied</w:t>
          </w:r>
          <w:r w:rsidRPr="00FF027F">
            <w:rPr>
              <w:rFonts w:ascii="Arial" w:hAnsi="Arial" w:cs="Arial"/>
              <w:spacing w:val="12"/>
              <w:lang w:val="en-GB"/>
            </w:rPr>
            <w:t xml:space="preserve"> </w:t>
          </w:r>
          <w:r w:rsidRPr="00FF027F">
            <w:rPr>
              <w:rFonts w:ascii="Arial" w:hAnsi="Arial" w:cs="Arial"/>
              <w:lang w:val="en-GB"/>
            </w:rPr>
            <w:t>st</w:t>
          </w:r>
          <w:r w:rsidRPr="00FF027F">
            <w:rPr>
              <w:rFonts w:ascii="Arial" w:hAnsi="Arial" w:cs="Arial"/>
              <w:spacing w:val="1"/>
              <w:lang w:val="en-GB"/>
            </w:rPr>
            <w:t>a</w:t>
          </w:r>
          <w:r w:rsidRPr="00FF027F">
            <w:rPr>
              <w:rFonts w:ascii="Arial" w:hAnsi="Arial" w:cs="Arial"/>
              <w:lang w:val="en-GB"/>
            </w:rPr>
            <w:t>ff</w:t>
          </w:r>
          <w:r w:rsidRPr="00FF027F">
            <w:rPr>
              <w:rFonts w:ascii="Arial" w:hAnsi="Arial" w:cs="Arial"/>
              <w:spacing w:val="10"/>
              <w:lang w:val="en-GB"/>
            </w:rPr>
            <w:t xml:space="preserve"> </w:t>
          </w:r>
          <w:r w:rsidR="00285364" w:rsidRPr="00FF027F">
            <w:rPr>
              <w:rFonts w:ascii="Arial" w:hAnsi="Arial" w:cs="Arial"/>
              <w:spacing w:val="10"/>
              <w:lang w:val="en-GB"/>
            </w:rPr>
            <w:t xml:space="preserve">members </w:t>
          </w:r>
          <w:r w:rsidRPr="00FF027F">
            <w:rPr>
              <w:rFonts w:ascii="Arial" w:hAnsi="Arial" w:cs="Arial"/>
              <w:lang w:val="en-GB"/>
            </w:rPr>
            <w:t>will</w:t>
          </w:r>
          <w:r w:rsidRPr="00FF027F">
            <w:rPr>
              <w:rFonts w:ascii="Arial" w:hAnsi="Arial" w:cs="Arial"/>
              <w:spacing w:val="11"/>
              <w:lang w:val="en-GB"/>
            </w:rPr>
            <w:t xml:space="preserve"> </w:t>
          </w:r>
          <w:r w:rsidRPr="00FF027F">
            <w:rPr>
              <w:rFonts w:ascii="Arial" w:hAnsi="Arial" w:cs="Arial"/>
              <w:lang w:val="en-GB"/>
            </w:rPr>
            <w:t>be</w:t>
          </w:r>
          <w:r w:rsidRPr="00FF027F">
            <w:rPr>
              <w:rFonts w:ascii="Arial" w:hAnsi="Arial" w:cs="Arial"/>
              <w:spacing w:val="11"/>
              <w:lang w:val="en-GB"/>
            </w:rPr>
            <w:t xml:space="preserve"> </w:t>
          </w:r>
          <w:r w:rsidRPr="00FF027F">
            <w:rPr>
              <w:rFonts w:ascii="Arial" w:hAnsi="Arial" w:cs="Arial"/>
              <w:lang w:val="en-GB"/>
            </w:rPr>
            <w:t>req</w:t>
          </w:r>
          <w:r w:rsidRPr="00FF027F">
            <w:rPr>
              <w:rFonts w:ascii="Arial" w:hAnsi="Arial" w:cs="Arial"/>
              <w:spacing w:val="-1"/>
              <w:lang w:val="en-GB"/>
            </w:rPr>
            <w:t>u</w:t>
          </w:r>
          <w:r w:rsidRPr="00FF027F">
            <w:rPr>
              <w:rFonts w:ascii="Arial" w:hAnsi="Arial" w:cs="Arial"/>
              <w:lang w:val="en-GB"/>
            </w:rPr>
            <w:t>i</w:t>
          </w:r>
          <w:r w:rsidRPr="00FF027F">
            <w:rPr>
              <w:rFonts w:ascii="Arial" w:hAnsi="Arial" w:cs="Arial"/>
              <w:spacing w:val="1"/>
              <w:lang w:val="en-GB"/>
            </w:rPr>
            <w:t>r</w:t>
          </w:r>
          <w:r w:rsidRPr="00FF027F">
            <w:rPr>
              <w:rFonts w:ascii="Arial" w:hAnsi="Arial" w:cs="Arial"/>
              <w:lang w:val="en-GB"/>
            </w:rPr>
            <w:t>ed if</w:t>
          </w:r>
          <w:r w:rsidRPr="00FF027F">
            <w:rPr>
              <w:rFonts w:ascii="Arial" w:hAnsi="Arial" w:cs="Arial"/>
              <w:spacing w:val="10"/>
              <w:lang w:val="en-GB"/>
            </w:rPr>
            <w:t xml:space="preserve"> </w:t>
          </w:r>
          <w:r w:rsidRPr="00FF027F">
            <w:rPr>
              <w:rFonts w:ascii="Arial" w:hAnsi="Arial" w:cs="Arial"/>
              <w:lang w:val="en-GB"/>
            </w:rPr>
            <w:t>the</w:t>
          </w:r>
          <w:r w:rsidRPr="00FF027F">
            <w:rPr>
              <w:rFonts w:ascii="Arial" w:hAnsi="Arial" w:cs="Arial"/>
              <w:spacing w:val="11"/>
              <w:lang w:val="en-GB"/>
            </w:rPr>
            <w:t xml:space="preserve"> </w:t>
          </w:r>
          <w:r w:rsidRPr="00FF027F">
            <w:rPr>
              <w:rFonts w:ascii="Arial" w:hAnsi="Arial" w:cs="Arial"/>
              <w:lang w:val="en-GB"/>
            </w:rPr>
            <w:t>Agen</w:t>
          </w:r>
          <w:r w:rsidRPr="00FF027F">
            <w:rPr>
              <w:rFonts w:ascii="Arial" w:hAnsi="Arial" w:cs="Arial"/>
              <w:spacing w:val="-1"/>
              <w:lang w:val="en-GB"/>
            </w:rPr>
            <w:t>c</w:t>
          </w:r>
          <w:r w:rsidRPr="00FF027F">
            <w:rPr>
              <w:rFonts w:ascii="Arial" w:hAnsi="Arial" w:cs="Arial"/>
              <w:lang w:val="en-GB"/>
            </w:rPr>
            <w:t>y</w:t>
          </w:r>
          <w:r w:rsidRPr="00FF027F">
            <w:rPr>
              <w:rFonts w:ascii="Arial" w:hAnsi="Arial" w:cs="Arial"/>
              <w:spacing w:val="11"/>
              <w:lang w:val="en-GB"/>
            </w:rPr>
            <w:t xml:space="preserve"> </w:t>
          </w:r>
          <w:r w:rsidRPr="00FF027F">
            <w:rPr>
              <w:rFonts w:ascii="Arial" w:hAnsi="Arial" w:cs="Arial"/>
              <w:lang w:val="en-GB"/>
            </w:rPr>
            <w:t>has</w:t>
          </w:r>
          <w:r w:rsidRPr="00FF027F">
            <w:rPr>
              <w:rFonts w:ascii="Arial" w:hAnsi="Arial" w:cs="Arial"/>
              <w:spacing w:val="11"/>
              <w:lang w:val="en-GB"/>
            </w:rPr>
            <w:t xml:space="preserve"> </w:t>
          </w:r>
          <w:r w:rsidRPr="00FF027F">
            <w:rPr>
              <w:rFonts w:ascii="Arial" w:hAnsi="Arial" w:cs="Arial"/>
              <w:lang w:val="en-GB"/>
            </w:rPr>
            <w:t>to</w:t>
          </w:r>
          <w:r w:rsidRPr="00FF027F">
            <w:rPr>
              <w:rFonts w:ascii="Arial" w:hAnsi="Arial" w:cs="Arial"/>
              <w:spacing w:val="11"/>
              <w:lang w:val="en-GB"/>
            </w:rPr>
            <w:t xml:space="preserve"> </w:t>
          </w:r>
          <w:r w:rsidRPr="00FF027F">
            <w:rPr>
              <w:rFonts w:ascii="Arial" w:hAnsi="Arial" w:cs="Arial"/>
              <w:lang w:val="en-GB"/>
            </w:rPr>
            <w:t>as</w:t>
          </w:r>
          <w:r w:rsidRPr="00FF027F">
            <w:rPr>
              <w:rFonts w:ascii="Arial" w:hAnsi="Arial" w:cs="Arial"/>
              <w:spacing w:val="-2"/>
              <w:lang w:val="en-GB"/>
            </w:rPr>
            <w:t>s</w:t>
          </w:r>
          <w:r w:rsidRPr="00FF027F">
            <w:rPr>
              <w:rFonts w:ascii="Arial" w:hAnsi="Arial" w:cs="Arial"/>
              <w:spacing w:val="1"/>
              <w:lang w:val="en-GB"/>
            </w:rPr>
            <w:t>u</w:t>
          </w:r>
          <w:r w:rsidRPr="00FF027F">
            <w:rPr>
              <w:rFonts w:ascii="Arial" w:hAnsi="Arial" w:cs="Arial"/>
              <w:spacing w:val="-2"/>
              <w:lang w:val="en-GB"/>
            </w:rPr>
            <w:t>m</w:t>
          </w:r>
          <w:r w:rsidRPr="00FF027F">
            <w:rPr>
              <w:rFonts w:ascii="Arial" w:hAnsi="Arial" w:cs="Arial"/>
              <w:lang w:val="en-GB"/>
            </w:rPr>
            <w:t>e</w:t>
          </w:r>
          <w:r w:rsidRPr="00FF027F">
            <w:rPr>
              <w:rFonts w:ascii="Arial" w:hAnsi="Arial" w:cs="Arial"/>
              <w:spacing w:val="11"/>
              <w:lang w:val="en-GB"/>
            </w:rPr>
            <w:t xml:space="preserve"> </w:t>
          </w:r>
          <w:r w:rsidRPr="00FF027F">
            <w:rPr>
              <w:rFonts w:ascii="Arial" w:hAnsi="Arial" w:cs="Arial"/>
              <w:lang w:val="en-GB"/>
            </w:rPr>
            <w:t>the</w:t>
          </w:r>
          <w:r w:rsidRPr="00FF027F">
            <w:rPr>
              <w:rFonts w:ascii="Arial" w:hAnsi="Arial" w:cs="Arial"/>
              <w:spacing w:val="11"/>
              <w:lang w:val="en-GB"/>
            </w:rPr>
            <w:t xml:space="preserve"> </w:t>
          </w:r>
          <w:r w:rsidRPr="00FF027F">
            <w:rPr>
              <w:rFonts w:ascii="Arial" w:hAnsi="Arial" w:cs="Arial"/>
              <w:lang w:val="en-GB"/>
            </w:rPr>
            <w:t>act</w:t>
          </w:r>
          <w:r w:rsidRPr="00FF027F">
            <w:rPr>
              <w:rFonts w:ascii="Arial" w:hAnsi="Arial" w:cs="Arial"/>
              <w:spacing w:val="-1"/>
              <w:lang w:val="en-GB"/>
            </w:rPr>
            <w:t>i</w:t>
          </w:r>
          <w:r w:rsidRPr="00FF027F">
            <w:rPr>
              <w:rFonts w:ascii="Arial" w:hAnsi="Arial" w:cs="Arial"/>
              <w:lang w:val="en-GB"/>
            </w:rPr>
            <w:t>ve</w:t>
          </w:r>
          <w:r w:rsidRPr="00FF027F">
            <w:rPr>
              <w:rFonts w:ascii="Arial" w:hAnsi="Arial" w:cs="Arial"/>
              <w:spacing w:val="11"/>
              <w:lang w:val="en-GB"/>
            </w:rPr>
            <w:t xml:space="preserve"> </w:t>
          </w:r>
          <w:r w:rsidRPr="00FF027F">
            <w:rPr>
              <w:rFonts w:ascii="Arial" w:hAnsi="Arial" w:cs="Arial"/>
              <w:lang w:val="en-GB"/>
            </w:rPr>
            <w:t>ro</w:t>
          </w:r>
          <w:r w:rsidRPr="00FF027F">
            <w:rPr>
              <w:rFonts w:ascii="Arial" w:hAnsi="Arial" w:cs="Arial"/>
              <w:spacing w:val="1"/>
              <w:lang w:val="en-GB"/>
            </w:rPr>
            <w:t>l</w:t>
          </w:r>
          <w:r w:rsidRPr="00FF027F">
            <w:rPr>
              <w:rFonts w:ascii="Arial" w:hAnsi="Arial" w:cs="Arial"/>
              <w:lang w:val="en-GB"/>
            </w:rPr>
            <w:t>e</w:t>
          </w:r>
          <w:r w:rsidRPr="00FF027F">
            <w:rPr>
              <w:rFonts w:ascii="Arial" w:hAnsi="Arial" w:cs="Arial"/>
              <w:spacing w:val="10"/>
              <w:lang w:val="en-GB"/>
            </w:rPr>
            <w:t xml:space="preserve"> </w:t>
          </w:r>
          <w:r w:rsidRPr="00FF027F">
            <w:rPr>
              <w:rFonts w:ascii="Arial" w:hAnsi="Arial" w:cs="Arial"/>
              <w:lang w:val="en-GB"/>
            </w:rPr>
            <w:t>in</w:t>
          </w:r>
          <w:r w:rsidRPr="00FF027F">
            <w:rPr>
              <w:rFonts w:ascii="Arial" w:hAnsi="Arial" w:cs="Arial"/>
              <w:spacing w:val="11"/>
              <w:lang w:val="en-GB"/>
            </w:rPr>
            <w:t xml:space="preserve"> </w:t>
          </w:r>
          <w:r w:rsidRPr="00FF027F">
            <w:rPr>
              <w:rFonts w:ascii="Arial" w:hAnsi="Arial" w:cs="Arial"/>
              <w:lang w:val="en-GB"/>
            </w:rPr>
            <w:t>monitoring</w:t>
          </w:r>
          <w:r w:rsidRPr="00FF027F">
            <w:rPr>
              <w:rFonts w:ascii="Arial" w:hAnsi="Arial" w:cs="Arial"/>
              <w:spacing w:val="11"/>
              <w:lang w:val="en-GB"/>
            </w:rPr>
            <w:t xml:space="preserve"> </w:t>
          </w:r>
          <w:r w:rsidRPr="00FF027F">
            <w:rPr>
              <w:rFonts w:ascii="Arial" w:hAnsi="Arial" w:cs="Arial"/>
              <w:lang w:val="en-GB"/>
            </w:rPr>
            <w:t>wholesale</w:t>
          </w:r>
          <w:r w:rsidRPr="00FF027F">
            <w:rPr>
              <w:rFonts w:ascii="Arial" w:hAnsi="Arial" w:cs="Arial"/>
              <w:spacing w:val="11"/>
              <w:lang w:val="en-GB"/>
            </w:rPr>
            <w:t xml:space="preserve"> </w:t>
          </w:r>
          <w:r w:rsidRPr="00FF027F">
            <w:rPr>
              <w:rFonts w:ascii="Arial" w:hAnsi="Arial" w:cs="Arial"/>
              <w:lang w:val="en-GB"/>
            </w:rPr>
            <w:t>energy</w:t>
          </w:r>
          <w:r w:rsidRPr="00FF027F">
            <w:rPr>
              <w:rFonts w:ascii="Arial" w:hAnsi="Arial" w:cs="Arial"/>
              <w:spacing w:val="10"/>
              <w:lang w:val="en-GB"/>
            </w:rPr>
            <w:t xml:space="preserve"> </w:t>
          </w:r>
          <w:r w:rsidRPr="00FF027F">
            <w:rPr>
              <w:rFonts w:ascii="Arial" w:hAnsi="Arial" w:cs="Arial"/>
              <w:spacing w:val="-2"/>
              <w:lang w:val="en-GB"/>
            </w:rPr>
            <w:t>m</w:t>
          </w:r>
          <w:r w:rsidRPr="00FF027F">
            <w:rPr>
              <w:rFonts w:ascii="Arial" w:hAnsi="Arial" w:cs="Arial"/>
              <w:lang w:val="en-GB"/>
            </w:rPr>
            <w:t>arkets</w:t>
          </w:r>
          <w:r w:rsidRPr="00FF027F">
            <w:rPr>
              <w:rFonts w:ascii="Arial" w:hAnsi="Arial" w:cs="Arial"/>
              <w:spacing w:val="11"/>
              <w:lang w:val="en-GB"/>
            </w:rPr>
            <w:t xml:space="preserve"> </w:t>
          </w:r>
          <w:r w:rsidRPr="00FF027F">
            <w:rPr>
              <w:rFonts w:ascii="Arial" w:hAnsi="Arial" w:cs="Arial"/>
              <w:lang w:val="en-GB"/>
            </w:rPr>
            <w:t>which</w:t>
          </w:r>
          <w:r w:rsidRPr="00FF027F">
            <w:rPr>
              <w:rFonts w:ascii="Arial" w:hAnsi="Arial" w:cs="Arial"/>
              <w:spacing w:val="11"/>
              <w:lang w:val="en-GB"/>
            </w:rPr>
            <w:t xml:space="preserve"> </w:t>
          </w:r>
          <w:r w:rsidRPr="00FF027F">
            <w:rPr>
              <w:rFonts w:ascii="Arial" w:hAnsi="Arial" w:cs="Arial"/>
              <w:lang w:val="en-GB"/>
            </w:rPr>
            <w:t>is envisaged</w:t>
          </w:r>
          <w:r w:rsidRPr="00FF027F">
            <w:rPr>
              <w:rFonts w:ascii="Arial" w:hAnsi="Arial" w:cs="Arial"/>
              <w:spacing w:val="-1"/>
              <w:lang w:val="en-GB"/>
            </w:rPr>
            <w:t xml:space="preserve"> </w:t>
          </w:r>
          <w:r w:rsidRPr="00FF027F">
            <w:rPr>
              <w:rFonts w:ascii="Arial" w:hAnsi="Arial" w:cs="Arial"/>
              <w:lang w:val="en-GB"/>
            </w:rPr>
            <w:t>in REMIT. These a</w:t>
          </w:r>
          <w:r w:rsidRPr="00FF027F">
            <w:rPr>
              <w:rFonts w:ascii="Arial" w:hAnsi="Arial" w:cs="Arial"/>
              <w:spacing w:val="-1"/>
              <w:lang w:val="en-GB"/>
            </w:rPr>
            <w:t>c</w:t>
          </w:r>
          <w:r w:rsidRPr="00FF027F">
            <w:rPr>
              <w:rFonts w:ascii="Arial" w:hAnsi="Arial" w:cs="Arial"/>
              <w:lang w:val="en-GB"/>
            </w:rPr>
            <w:t>t</w:t>
          </w:r>
          <w:r w:rsidRPr="00FF027F">
            <w:rPr>
              <w:rFonts w:ascii="Arial" w:hAnsi="Arial" w:cs="Arial"/>
              <w:spacing w:val="1"/>
              <w:lang w:val="en-GB"/>
            </w:rPr>
            <w:t>i</w:t>
          </w:r>
          <w:r w:rsidRPr="00FF027F">
            <w:rPr>
              <w:rFonts w:ascii="Arial" w:hAnsi="Arial" w:cs="Arial"/>
              <w:lang w:val="en-GB"/>
            </w:rPr>
            <w:t>v</w:t>
          </w:r>
          <w:r w:rsidRPr="00FF027F">
            <w:rPr>
              <w:rFonts w:ascii="Arial" w:hAnsi="Arial" w:cs="Arial"/>
              <w:spacing w:val="-1"/>
              <w:lang w:val="en-GB"/>
            </w:rPr>
            <w:t>i</w:t>
          </w:r>
          <w:r w:rsidRPr="00FF027F">
            <w:rPr>
              <w:rFonts w:ascii="Arial" w:hAnsi="Arial" w:cs="Arial"/>
              <w:lang w:val="en-GB"/>
            </w:rPr>
            <w:t>ti</w:t>
          </w:r>
          <w:r w:rsidRPr="00FF027F">
            <w:rPr>
              <w:rFonts w:ascii="Arial" w:hAnsi="Arial" w:cs="Arial"/>
              <w:spacing w:val="-1"/>
              <w:lang w:val="en-GB"/>
            </w:rPr>
            <w:t>e</w:t>
          </w:r>
          <w:r w:rsidRPr="00FF027F">
            <w:rPr>
              <w:rFonts w:ascii="Arial" w:hAnsi="Arial" w:cs="Arial"/>
              <w:lang w:val="en-GB"/>
            </w:rPr>
            <w:t>s in</w:t>
          </w:r>
          <w:r w:rsidRPr="00FF027F">
            <w:rPr>
              <w:rFonts w:ascii="Arial" w:hAnsi="Arial" w:cs="Arial"/>
              <w:spacing w:val="1"/>
              <w:lang w:val="en-GB"/>
            </w:rPr>
            <w:t>c</w:t>
          </w:r>
          <w:r w:rsidRPr="00FF027F">
            <w:rPr>
              <w:rFonts w:ascii="Arial" w:hAnsi="Arial" w:cs="Arial"/>
              <w:lang w:val="en-GB"/>
            </w:rPr>
            <w:t>lu</w:t>
          </w:r>
          <w:r w:rsidRPr="00FF027F">
            <w:rPr>
              <w:rFonts w:ascii="Arial" w:hAnsi="Arial" w:cs="Arial"/>
              <w:spacing w:val="-1"/>
              <w:lang w:val="en-GB"/>
            </w:rPr>
            <w:t>d</w:t>
          </w:r>
          <w:r w:rsidRPr="00FF027F">
            <w:rPr>
              <w:rFonts w:ascii="Arial" w:hAnsi="Arial" w:cs="Arial"/>
              <w:spacing w:val="1"/>
              <w:lang w:val="en-GB"/>
            </w:rPr>
            <w:t>e</w:t>
          </w:r>
          <w:r w:rsidRPr="00FF027F">
            <w:rPr>
              <w:rFonts w:ascii="Arial" w:hAnsi="Arial" w:cs="Arial"/>
              <w:lang w:val="en-GB"/>
            </w:rPr>
            <w:t>:</w:t>
          </w:r>
        </w:p>
        <w:p w14:paraId="1338213E" w14:textId="33AC0A6C" w:rsidR="00B548E6" w:rsidRPr="00FF027F" w:rsidRDefault="00B548E6" w:rsidP="00994630">
          <w:pPr>
            <w:pStyle w:val="ListParagraph"/>
            <w:numPr>
              <w:ilvl w:val="0"/>
              <w:numId w:val="42"/>
            </w:numPr>
            <w:autoSpaceDE w:val="0"/>
            <w:autoSpaceDN w:val="0"/>
            <w:adjustRightInd w:val="0"/>
            <w:spacing w:before="360" w:after="240" w:line="360" w:lineRule="auto"/>
            <w:ind w:left="720" w:hanging="720"/>
            <w:jc w:val="both"/>
            <w:rPr>
              <w:rFonts w:ascii="Arial" w:hAnsi="Arial" w:cs="Arial"/>
              <w:lang w:val="en-GB"/>
            </w:rPr>
          </w:pPr>
          <w:r w:rsidRPr="00FF027F">
            <w:rPr>
              <w:rFonts w:ascii="Arial" w:hAnsi="Arial" w:cs="Arial"/>
              <w:lang w:val="en-GB"/>
            </w:rPr>
            <w:t>validating the data, to be reported by 200+ providers on a</w:t>
          </w:r>
          <w:r w:rsidR="00285364" w:rsidRPr="00FF027F">
            <w:rPr>
              <w:rFonts w:ascii="Arial" w:hAnsi="Arial" w:cs="Arial"/>
              <w:lang w:val="en-GB"/>
            </w:rPr>
            <w:t xml:space="preserve"> </w:t>
          </w:r>
          <w:r w:rsidRPr="00FF027F">
            <w:rPr>
              <w:rFonts w:ascii="Arial" w:hAnsi="Arial" w:cs="Arial"/>
              <w:lang w:val="en-GB"/>
            </w:rPr>
            <w:t>daily basis, and ensuring operational reliability of data received and maintained;</w:t>
          </w:r>
        </w:p>
        <w:p w14:paraId="544C5FF7" w14:textId="110A667E" w:rsidR="00DC15CE" w:rsidRPr="00FF027F" w:rsidRDefault="00DC15CE" w:rsidP="006D214F">
          <w:pPr>
            <w:pStyle w:val="ListParagraph"/>
            <w:numPr>
              <w:ilvl w:val="0"/>
              <w:numId w:val="42"/>
            </w:numPr>
            <w:autoSpaceDE w:val="0"/>
            <w:autoSpaceDN w:val="0"/>
            <w:adjustRightInd w:val="0"/>
            <w:spacing w:before="360" w:after="240" w:line="360" w:lineRule="auto"/>
            <w:ind w:left="0" w:firstLine="0"/>
            <w:jc w:val="both"/>
            <w:rPr>
              <w:rFonts w:ascii="Arial" w:hAnsi="Arial" w:cs="Arial"/>
              <w:lang w:val="en-GB"/>
            </w:rPr>
          </w:pPr>
          <w:r w:rsidRPr="00FF027F">
            <w:rPr>
              <w:rFonts w:ascii="Arial" w:hAnsi="Arial" w:cs="Arial"/>
              <w:lang w:val="en-GB"/>
            </w:rPr>
            <w:t>managing the automated screening system to identify anomalous events;</w:t>
          </w:r>
        </w:p>
        <w:p w14:paraId="6B600B2E" w14:textId="46B41CEA" w:rsidR="00B548E6" w:rsidRPr="00FF027F" w:rsidRDefault="00B548E6" w:rsidP="00994630">
          <w:pPr>
            <w:pStyle w:val="ListParagraph"/>
            <w:numPr>
              <w:ilvl w:val="0"/>
              <w:numId w:val="42"/>
            </w:numPr>
            <w:autoSpaceDE w:val="0"/>
            <w:autoSpaceDN w:val="0"/>
            <w:adjustRightInd w:val="0"/>
            <w:spacing w:before="360" w:after="240" w:line="360" w:lineRule="auto"/>
            <w:ind w:left="720" w:hanging="720"/>
            <w:jc w:val="both"/>
            <w:rPr>
              <w:rFonts w:ascii="Arial" w:hAnsi="Arial" w:cs="Arial"/>
              <w:lang w:val="en-GB"/>
            </w:rPr>
          </w:pPr>
          <w:r w:rsidRPr="00FF027F">
            <w:rPr>
              <w:rFonts w:ascii="Arial" w:hAnsi="Arial" w:cs="Arial"/>
              <w:lang w:val="en-GB"/>
            </w:rPr>
            <w:t xml:space="preserve">analysing the </w:t>
          </w:r>
          <w:r w:rsidR="00DC15CE" w:rsidRPr="00FF027F">
            <w:rPr>
              <w:rFonts w:ascii="Arial" w:hAnsi="Arial" w:cs="Arial"/>
              <w:lang w:val="en-GB"/>
            </w:rPr>
            <w:t>identified anomalous events</w:t>
          </w:r>
          <w:r w:rsidRPr="00FF027F">
            <w:rPr>
              <w:rFonts w:ascii="Arial" w:hAnsi="Arial" w:cs="Arial"/>
              <w:lang w:val="en-GB"/>
            </w:rPr>
            <w:t xml:space="preserve"> to detect suspected instances of market abuse;</w:t>
          </w:r>
        </w:p>
        <w:p w14:paraId="5E99E4BC" w14:textId="77777777" w:rsidR="00B548E6" w:rsidRPr="00FF027F" w:rsidRDefault="00B548E6" w:rsidP="006D214F">
          <w:pPr>
            <w:pStyle w:val="ListParagraph"/>
            <w:numPr>
              <w:ilvl w:val="0"/>
              <w:numId w:val="42"/>
            </w:numPr>
            <w:autoSpaceDE w:val="0"/>
            <w:autoSpaceDN w:val="0"/>
            <w:adjustRightInd w:val="0"/>
            <w:spacing w:before="360" w:after="240" w:line="360" w:lineRule="auto"/>
            <w:ind w:left="0" w:firstLine="0"/>
            <w:jc w:val="both"/>
            <w:rPr>
              <w:rFonts w:ascii="Arial" w:hAnsi="Arial" w:cs="Arial"/>
              <w:lang w:val="en-GB"/>
            </w:rPr>
          </w:pPr>
          <w:r w:rsidRPr="00FF027F">
            <w:rPr>
              <w:rFonts w:ascii="Arial" w:hAnsi="Arial" w:cs="Arial"/>
              <w:lang w:val="en-GB"/>
            </w:rPr>
            <w:t>preparing the cases to be notified to national authorities for their investigation;</w:t>
          </w:r>
        </w:p>
        <w:p w14:paraId="50E8F868" w14:textId="77777777" w:rsidR="00B548E6" w:rsidRPr="00FF027F" w:rsidRDefault="00B548E6" w:rsidP="006D214F">
          <w:pPr>
            <w:pStyle w:val="ListParagraph"/>
            <w:numPr>
              <w:ilvl w:val="0"/>
              <w:numId w:val="42"/>
            </w:numPr>
            <w:autoSpaceDE w:val="0"/>
            <w:autoSpaceDN w:val="0"/>
            <w:adjustRightInd w:val="0"/>
            <w:spacing w:before="360" w:after="240" w:line="360" w:lineRule="auto"/>
            <w:ind w:left="0" w:firstLine="0"/>
            <w:jc w:val="both"/>
            <w:rPr>
              <w:rFonts w:ascii="Arial" w:hAnsi="Arial" w:cs="Arial"/>
              <w:lang w:val="en-GB"/>
            </w:rPr>
          </w:pPr>
          <w:r w:rsidRPr="00FF027F">
            <w:rPr>
              <w:rFonts w:ascii="Arial" w:hAnsi="Arial" w:cs="Arial"/>
              <w:lang w:val="en-GB"/>
            </w:rPr>
            <w:t>coordinating the investigative groups on cross-border cases;</w:t>
          </w:r>
        </w:p>
        <w:p w14:paraId="148E8E24" w14:textId="77777777" w:rsidR="00B548E6" w:rsidRPr="00FF027F" w:rsidRDefault="00B548E6" w:rsidP="006D214F">
          <w:pPr>
            <w:pStyle w:val="ListParagraph"/>
            <w:numPr>
              <w:ilvl w:val="0"/>
              <w:numId w:val="42"/>
            </w:numPr>
            <w:autoSpaceDE w:val="0"/>
            <w:autoSpaceDN w:val="0"/>
            <w:adjustRightInd w:val="0"/>
            <w:spacing w:before="360" w:after="240" w:line="360" w:lineRule="auto"/>
            <w:ind w:left="0" w:firstLine="0"/>
            <w:jc w:val="both"/>
            <w:rPr>
              <w:rFonts w:ascii="Arial" w:hAnsi="Arial" w:cs="Arial"/>
              <w:lang w:val="en-GB"/>
            </w:rPr>
          </w:pPr>
          <w:r w:rsidRPr="00FF027F">
            <w:rPr>
              <w:rFonts w:ascii="Arial" w:hAnsi="Arial" w:cs="Arial"/>
              <w:lang w:val="en-GB"/>
            </w:rPr>
            <w:t>coordinating the enforcement of market abuse rules;</w:t>
          </w:r>
        </w:p>
        <w:p w14:paraId="3BEFC52F" w14:textId="77777777" w:rsidR="00B548E6" w:rsidRPr="00FF027F" w:rsidRDefault="00B548E6" w:rsidP="006D214F">
          <w:pPr>
            <w:pStyle w:val="ListParagraph"/>
            <w:numPr>
              <w:ilvl w:val="0"/>
              <w:numId w:val="42"/>
            </w:numPr>
            <w:autoSpaceDE w:val="0"/>
            <w:autoSpaceDN w:val="0"/>
            <w:adjustRightInd w:val="0"/>
            <w:spacing w:before="360" w:after="240" w:line="360" w:lineRule="auto"/>
            <w:ind w:left="0" w:firstLine="0"/>
            <w:jc w:val="both"/>
            <w:rPr>
              <w:rFonts w:ascii="Arial" w:hAnsi="Arial" w:cs="Arial"/>
              <w:lang w:val="en-GB"/>
            </w:rPr>
          </w:pPr>
          <w:r w:rsidRPr="00FF027F">
            <w:rPr>
              <w:rFonts w:ascii="Arial" w:hAnsi="Arial" w:cs="Arial"/>
              <w:lang w:val="en-GB"/>
            </w:rPr>
            <w:t>drafting re</w:t>
          </w:r>
          <w:r w:rsidRPr="00FF027F">
            <w:rPr>
              <w:rFonts w:ascii="Arial" w:hAnsi="Arial" w:cs="Arial"/>
              <w:spacing w:val="-1"/>
              <w:lang w:val="en-GB"/>
            </w:rPr>
            <w:t>p</w:t>
          </w:r>
          <w:r w:rsidRPr="00FF027F">
            <w:rPr>
              <w:rFonts w:ascii="Arial" w:hAnsi="Arial" w:cs="Arial"/>
              <w:lang w:val="en-GB"/>
            </w:rPr>
            <w:t>or</w:t>
          </w:r>
          <w:r w:rsidRPr="00FF027F">
            <w:rPr>
              <w:rFonts w:ascii="Arial" w:hAnsi="Arial" w:cs="Arial"/>
              <w:spacing w:val="1"/>
              <w:lang w:val="en-GB"/>
            </w:rPr>
            <w:t>ts</w:t>
          </w:r>
          <w:r w:rsidRPr="00FF027F">
            <w:rPr>
              <w:rFonts w:ascii="Arial" w:hAnsi="Arial" w:cs="Arial"/>
              <w:lang w:val="en-GB"/>
            </w:rPr>
            <w:t>.</w:t>
          </w:r>
        </w:p>
        <w:p w14:paraId="786C6833" w14:textId="4ED53941" w:rsidR="00B548E6" w:rsidRPr="00FF027F" w:rsidRDefault="00B548E6" w:rsidP="00CC65D1">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In</w:t>
          </w:r>
          <w:r w:rsidRPr="00FF027F">
            <w:rPr>
              <w:rFonts w:ascii="Arial" w:hAnsi="Arial" w:cs="Arial"/>
              <w:spacing w:val="30"/>
              <w:lang w:val="en-GB"/>
            </w:rPr>
            <w:t xml:space="preserve"> </w:t>
          </w:r>
          <w:r w:rsidRPr="00FF027F">
            <w:rPr>
              <w:rFonts w:ascii="Arial" w:hAnsi="Arial" w:cs="Arial"/>
              <w:lang w:val="en-GB"/>
            </w:rPr>
            <w:t>partic</w:t>
          </w:r>
          <w:r w:rsidRPr="00FF027F">
            <w:rPr>
              <w:rFonts w:ascii="Arial" w:hAnsi="Arial" w:cs="Arial"/>
              <w:spacing w:val="-1"/>
              <w:lang w:val="en-GB"/>
            </w:rPr>
            <w:t>u</w:t>
          </w:r>
          <w:r w:rsidRPr="00FF027F">
            <w:rPr>
              <w:rFonts w:ascii="Arial" w:hAnsi="Arial" w:cs="Arial"/>
              <w:lang w:val="en-GB"/>
            </w:rPr>
            <w:t>lar,</w:t>
          </w:r>
          <w:r w:rsidRPr="00FF027F">
            <w:rPr>
              <w:rFonts w:ascii="Arial" w:hAnsi="Arial" w:cs="Arial"/>
              <w:spacing w:val="29"/>
              <w:lang w:val="en-GB"/>
            </w:rPr>
            <w:t xml:space="preserve"> </w:t>
          </w:r>
          <w:r w:rsidRPr="00FF027F">
            <w:rPr>
              <w:rFonts w:ascii="Arial" w:hAnsi="Arial" w:cs="Arial"/>
              <w:lang w:val="en-GB"/>
            </w:rPr>
            <w:t>the</w:t>
          </w:r>
          <w:r w:rsidRPr="00FF027F">
            <w:rPr>
              <w:rFonts w:ascii="Arial" w:hAnsi="Arial" w:cs="Arial"/>
              <w:spacing w:val="30"/>
              <w:lang w:val="en-GB"/>
            </w:rPr>
            <w:t xml:space="preserve"> </w:t>
          </w:r>
          <w:r w:rsidRPr="00FF027F">
            <w:rPr>
              <w:rFonts w:ascii="Arial" w:hAnsi="Arial" w:cs="Arial"/>
              <w:spacing w:val="-2"/>
              <w:lang w:val="en-GB"/>
            </w:rPr>
            <w:t>m</w:t>
          </w:r>
          <w:r w:rsidRPr="00FF027F">
            <w:rPr>
              <w:rFonts w:ascii="Arial" w:hAnsi="Arial" w:cs="Arial"/>
              <w:lang w:val="en-GB"/>
            </w:rPr>
            <w:t>ost</w:t>
          </w:r>
          <w:r w:rsidRPr="00FF027F">
            <w:rPr>
              <w:rFonts w:ascii="Arial" w:hAnsi="Arial" w:cs="Arial"/>
              <w:spacing w:val="30"/>
              <w:lang w:val="en-GB"/>
            </w:rPr>
            <w:t xml:space="preserve"> </w:t>
          </w:r>
          <w:r w:rsidRPr="00FF027F">
            <w:rPr>
              <w:rFonts w:ascii="Arial" w:hAnsi="Arial" w:cs="Arial"/>
              <w:lang w:val="en-GB"/>
            </w:rPr>
            <w:t>resource</w:t>
          </w:r>
          <w:r w:rsidRPr="00FF027F">
            <w:rPr>
              <w:rFonts w:ascii="Arial" w:hAnsi="Arial" w:cs="Arial"/>
              <w:spacing w:val="29"/>
              <w:lang w:val="en-GB"/>
            </w:rPr>
            <w:t xml:space="preserve"> </w:t>
          </w:r>
          <w:r w:rsidRPr="00FF027F">
            <w:rPr>
              <w:rFonts w:ascii="Arial" w:hAnsi="Arial" w:cs="Arial"/>
              <w:lang w:val="en-GB"/>
            </w:rPr>
            <w:t>in</w:t>
          </w:r>
          <w:r w:rsidRPr="00FF027F">
            <w:rPr>
              <w:rFonts w:ascii="Arial" w:hAnsi="Arial" w:cs="Arial"/>
              <w:spacing w:val="1"/>
              <w:lang w:val="en-GB"/>
            </w:rPr>
            <w:t>t</w:t>
          </w:r>
          <w:r w:rsidRPr="00FF027F">
            <w:rPr>
              <w:rFonts w:ascii="Arial" w:hAnsi="Arial" w:cs="Arial"/>
              <w:spacing w:val="-1"/>
              <w:lang w:val="en-GB"/>
            </w:rPr>
            <w:t>e</w:t>
          </w:r>
          <w:r w:rsidRPr="00FF027F">
            <w:rPr>
              <w:rFonts w:ascii="Arial" w:hAnsi="Arial" w:cs="Arial"/>
              <w:lang w:val="en-GB"/>
            </w:rPr>
            <w:t>nsive</w:t>
          </w:r>
          <w:r w:rsidRPr="00FF027F">
            <w:rPr>
              <w:rFonts w:ascii="Arial" w:hAnsi="Arial" w:cs="Arial"/>
              <w:spacing w:val="30"/>
              <w:lang w:val="en-GB"/>
            </w:rPr>
            <w:t xml:space="preserve"> </w:t>
          </w:r>
          <w:r w:rsidRPr="00FF027F">
            <w:rPr>
              <w:rFonts w:ascii="Arial" w:hAnsi="Arial" w:cs="Arial"/>
              <w:lang w:val="en-GB"/>
            </w:rPr>
            <w:t>ac</w:t>
          </w:r>
          <w:r w:rsidRPr="00FF027F">
            <w:rPr>
              <w:rFonts w:ascii="Arial" w:hAnsi="Arial" w:cs="Arial"/>
              <w:spacing w:val="4"/>
              <w:lang w:val="en-GB"/>
            </w:rPr>
            <w:t>t</w:t>
          </w:r>
          <w:r w:rsidRPr="00FF027F">
            <w:rPr>
              <w:rFonts w:ascii="Arial" w:hAnsi="Arial" w:cs="Arial"/>
              <w:lang w:val="en-GB"/>
            </w:rPr>
            <w:t>i</w:t>
          </w:r>
          <w:r w:rsidRPr="00FF027F">
            <w:rPr>
              <w:rFonts w:ascii="Arial" w:hAnsi="Arial" w:cs="Arial"/>
              <w:spacing w:val="-1"/>
              <w:lang w:val="en-GB"/>
            </w:rPr>
            <w:t>v</w:t>
          </w:r>
          <w:r w:rsidRPr="00FF027F">
            <w:rPr>
              <w:rFonts w:ascii="Arial" w:hAnsi="Arial" w:cs="Arial"/>
              <w:lang w:val="en-GB"/>
            </w:rPr>
            <w:t>ity</w:t>
          </w:r>
          <w:r w:rsidRPr="00FF027F">
            <w:rPr>
              <w:rFonts w:ascii="Arial" w:hAnsi="Arial" w:cs="Arial"/>
              <w:spacing w:val="30"/>
              <w:lang w:val="en-GB"/>
            </w:rPr>
            <w:t xml:space="preserve"> </w:t>
          </w:r>
          <w:r w:rsidRPr="00FF027F">
            <w:rPr>
              <w:rFonts w:ascii="Arial" w:hAnsi="Arial" w:cs="Arial"/>
              <w:lang w:val="en-GB"/>
            </w:rPr>
            <w:t>is</w:t>
          </w:r>
          <w:r w:rsidRPr="00FF027F">
            <w:rPr>
              <w:rFonts w:ascii="Arial" w:hAnsi="Arial" w:cs="Arial"/>
              <w:spacing w:val="30"/>
              <w:lang w:val="en-GB"/>
            </w:rPr>
            <w:t xml:space="preserve"> </w:t>
          </w:r>
          <w:r w:rsidRPr="00FF027F">
            <w:rPr>
              <w:rFonts w:ascii="Arial" w:hAnsi="Arial" w:cs="Arial"/>
              <w:lang w:val="en-GB"/>
            </w:rPr>
            <w:t>expect</w:t>
          </w:r>
          <w:r w:rsidRPr="00FF027F">
            <w:rPr>
              <w:rFonts w:ascii="Arial" w:hAnsi="Arial" w:cs="Arial"/>
              <w:spacing w:val="-1"/>
              <w:lang w:val="en-GB"/>
            </w:rPr>
            <w:t>e</w:t>
          </w:r>
          <w:r w:rsidRPr="00FF027F">
            <w:rPr>
              <w:rFonts w:ascii="Arial" w:hAnsi="Arial" w:cs="Arial"/>
              <w:lang w:val="en-GB"/>
            </w:rPr>
            <w:t>d</w:t>
          </w:r>
          <w:r w:rsidRPr="00FF027F">
            <w:rPr>
              <w:rFonts w:ascii="Arial" w:hAnsi="Arial" w:cs="Arial"/>
              <w:spacing w:val="30"/>
              <w:lang w:val="en-GB"/>
            </w:rPr>
            <w:t xml:space="preserve"> </w:t>
          </w:r>
          <w:r w:rsidRPr="00FF027F">
            <w:rPr>
              <w:rFonts w:ascii="Arial" w:hAnsi="Arial" w:cs="Arial"/>
              <w:lang w:val="en-GB"/>
            </w:rPr>
            <w:t>to</w:t>
          </w:r>
          <w:r w:rsidRPr="00FF027F">
            <w:rPr>
              <w:rFonts w:ascii="Arial" w:hAnsi="Arial" w:cs="Arial"/>
              <w:spacing w:val="30"/>
              <w:lang w:val="en-GB"/>
            </w:rPr>
            <w:t xml:space="preserve"> </w:t>
          </w:r>
          <w:r w:rsidRPr="00FF027F">
            <w:rPr>
              <w:rFonts w:ascii="Arial" w:hAnsi="Arial" w:cs="Arial"/>
              <w:lang w:val="en-GB"/>
            </w:rPr>
            <w:t>be</w:t>
          </w:r>
          <w:r w:rsidRPr="00FF027F">
            <w:rPr>
              <w:rFonts w:ascii="Arial" w:hAnsi="Arial" w:cs="Arial"/>
              <w:spacing w:val="30"/>
              <w:lang w:val="en-GB"/>
            </w:rPr>
            <w:t xml:space="preserve"> </w:t>
          </w:r>
          <w:r w:rsidRPr="00FF027F">
            <w:rPr>
              <w:rFonts w:ascii="Arial" w:hAnsi="Arial" w:cs="Arial"/>
              <w:lang w:val="en-GB"/>
            </w:rPr>
            <w:t>t</w:t>
          </w:r>
          <w:r w:rsidRPr="00FF027F">
            <w:rPr>
              <w:rFonts w:ascii="Arial" w:hAnsi="Arial" w:cs="Arial"/>
              <w:spacing w:val="-1"/>
              <w:lang w:val="en-GB"/>
            </w:rPr>
            <w:t>h</w:t>
          </w:r>
          <w:r w:rsidRPr="00FF027F">
            <w:rPr>
              <w:rFonts w:ascii="Arial" w:hAnsi="Arial" w:cs="Arial"/>
              <w:lang w:val="en-GB"/>
            </w:rPr>
            <w:t>e</w:t>
          </w:r>
          <w:r w:rsidRPr="00FF027F">
            <w:rPr>
              <w:rFonts w:ascii="Arial" w:hAnsi="Arial" w:cs="Arial"/>
              <w:spacing w:val="29"/>
              <w:lang w:val="en-GB"/>
            </w:rPr>
            <w:t xml:space="preserve"> </w:t>
          </w:r>
          <w:r w:rsidRPr="00FF027F">
            <w:rPr>
              <w:rFonts w:ascii="Arial" w:hAnsi="Arial" w:cs="Arial"/>
              <w:lang w:val="en-GB"/>
            </w:rPr>
            <w:t>ana</w:t>
          </w:r>
          <w:r w:rsidRPr="00FF027F">
            <w:rPr>
              <w:rFonts w:ascii="Arial" w:hAnsi="Arial" w:cs="Arial"/>
              <w:spacing w:val="1"/>
              <w:lang w:val="en-GB"/>
            </w:rPr>
            <w:t>l</w:t>
          </w:r>
          <w:r w:rsidRPr="00FF027F">
            <w:rPr>
              <w:rFonts w:ascii="Arial" w:hAnsi="Arial" w:cs="Arial"/>
              <w:lang w:val="en-GB"/>
            </w:rPr>
            <w:t>y</w:t>
          </w:r>
          <w:r w:rsidRPr="00FF027F">
            <w:rPr>
              <w:rFonts w:ascii="Arial" w:hAnsi="Arial" w:cs="Arial"/>
              <w:spacing w:val="-1"/>
              <w:lang w:val="en-GB"/>
            </w:rPr>
            <w:t>s</w:t>
          </w:r>
          <w:r w:rsidRPr="00FF027F">
            <w:rPr>
              <w:rFonts w:ascii="Arial" w:hAnsi="Arial" w:cs="Arial"/>
              <w:lang w:val="en-GB"/>
            </w:rPr>
            <w:t>is</w:t>
          </w:r>
          <w:r w:rsidRPr="00FF027F">
            <w:rPr>
              <w:rFonts w:ascii="Arial" w:hAnsi="Arial" w:cs="Arial"/>
              <w:spacing w:val="30"/>
              <w:lang w:val="en-GB"/>
            </w:rPr>
            <w:t xml:space="preserve"> </w:t>
          </w:r>
          <w:r w:rsidRPr="00FF027F">
            <w:rPr>
              <w:rFonts w:ascii="Arial" w:hAnsi="Arial" w:cs="Arial"/>
              <w:lang w:val="en-GB"/>
            </w:rPr>
            <w:t>of</w:t>
          </w:r>
          <w:r w:rsidRPr="00FF027F">
            <w:rPr>
              <w:rFonts w:ascii="Arial" w:hAnsi="Arial" w:cs="Arial"/>
              <w:spacing w:val="29"/>
              <w:lang w:val="en-GB"/>
            </w:rPr>
            <w:t xml:space="preserve"> </w:t>
          </w:r>
          <w:r w:rsidRPr="00FF027F">
            <w:rPr>
              <w:rFonts w:ascii="Arial" w:hAnsi="Arial" w:cs="Arial"/>
              <w:lang w:val="en-GB"/>
            </w:rPr>
            <w:t>t</w:t>
          </w:r>
          <w:r w:rsidRPr="00FF027F">
            <w:rPr>
              <w:rFonts w:ascii="Arial" w:hAnsi="Arial" w:cs="Arial"/>
              <w:spacing w:val="-1"/>
              <w:lang w:val="en-GB"/>
            </w:rPr>
            <w:t>h</w:t>
          </w:r>
          <w:r w:rsidRPr="00FF027F">
            <w:rPr>
              <w:rFonts w:ascii="Arial" w:hAnsi="Arial" w:cs="Arial"/>
              <w:lang w:val="en-GB"/>
            </w:rPr>
            <w:t>e</w:t>
          </w:r>
          <w:r w:rsidRPr="00FF027F">
            <w:rPr>
              <w:rFonts w:ascii="Arial" w:hAnsi="Arial" w:cs="Arial"/>
              <w:spacing w:val="30"/>
              <w:lang w:val="en-GB"/>
            </w:rPr>
            <w:t xml:space="preserve"> </w:t>
          </w:r>
          <w:r w:rsidRPr="00FF027F">
            <w:rPr>
              <w:rFonts w:ascii="Arial" w:hAnsi="Arial" w:cs="Arial"/>
              <w:lang w:val="en-GB"/>
            </w:rPr>
            <w:t>data reported</w:t>
          </w:r>
          <w:r w:rsidRPr="00FF027F">
            <w:rPr>
              <w:rFonts w:ascii="Arial" w:hAnsi="Arial" w:cs="Arial"/>
              <w:spacing w:val="7"/>
              <w:lang w:val="en-GB"/>
            </w:rPr>
            <w:t xml:space="preserve"> </w:t>
          </w:r>
          <w:r w:rsidRPr="00FF027F">
            <w:rPr>
              <w:rFonts w:ascii="Arial" w:hAnsi="Arial" w:cs="Arial"/>
              <w:lang w:val="en-GB"/>
            </w:rPr>
            <w:t>by</w:t>
          </w:r>
          <w:r w:rsidRPr="00FF027F">
            <w:rPr>
              <w:rFonts w:ascii="Arial" w:hAnsi="Arial" w:cs="Arial"/>
              <w:spacing w:val="6"/>
              <w:lang w:val="en-GB"/>
            </w:rPr>
            <w:t xml:space="preserve"> </w:t>
          </w:r>
          <w:r w:rsidRPr="00FF027F">
            <w:rPr>
              <w:rFonts w:ascii="Arial" w:hAnsi="Arial" w:cs="Arial"/>
              <w:spacing w:val="-2"/>
              <w:lang w:val="en-GB"/>
            </w:rPr>
            <w:t>m</w:t>
          </w:r>
          <w:r w:rsidRPr="00FF027F">
            <w:rPr>
              <w:rFonts w:ascii="Arial" w:hAnsi="Arial" w:cs="Arial"/>
              <w:lang w:val="en-GB"/>
            </w:rPr>
            <w:t>arket</w:t>
          </w:r>
          <w:r w:rsidRPr="00FF027F">
            <w:rPr>
              <w:rFonts w:ascii="Arial" w:hAnsi="Arial" w:cs="Arial"/>
              <w:spacing w:val="7"/>
              <w:lang w:val="en-GB"/>
            </w:rPr>
            <w:t xml:space="preserve"> </w:t>
          </w:r>
          <w:r w:rsidRPr="00FF027F">
            <w:rPr>
              <w:rFonts w:ascii="Arial" w:hAnsi="Arial" w:cs="Arial"/>
              <w:lang w:val="en-GB"/>
            </w:rPr>
            <w:t>part</w:t>
          </w:r>
          <w:r w:rsidRPr="00FF027F">
            <w:rPr>
              <w:rFonts w:ascii="Arial" w:hAnsi="Arial" w:cs="Arial"/>
              <w:spacing w:val="-1"/>
              <w:lang w:val="en-GB"/>
            </w:rPr>
            <w:t>i</w:t>
          </w:r>
          <w:r w:rsidRPr="00FF027F">
            <w:rPr>
              <w:rFonts w:ascii="Arial" w:hAnsi="Arial" w:cs="Arial"/>
              <w:lang w:val="en-GB"/>
            </w:rPr>
            <w:t>cipants</w:t>
          </w:r>
          <w:r w:rsidRPr="00FF027F">
            <w:rPr>
              <w:rFonts w:ascii="Arial" w:hAnsi="Arial" w:cs="Arial"/>
              <w:spacing w:val="7"/>
              <w:lang w:val="en-GB"/>
            </w:rPr>
            <w:t xml:space="preserve"> </w:t>
          </w:r>
          <w:r w:rsidRPr="00FF027F">
            <w:rPr>
              <w:rFonts w:ascii="Arial" w:hAnsi="Arial" w:cs="Arial"/>
              <w:lang w:val="en-GB"/>
            </w:rPr>
            <w:t>and</w:t>
          </w:r>
          <w:r w:rsidRPr="00FF027F">
            <w:rPr>
              <w:rFonts w:ascii="Arial" w:hAnsi="Arial" w:cs="Arial"/>
              <w:spacing w:val="6"/>
              <w:lang w:val="en-GB"/>
            </w:rPr>
            <w:t xml:space="preserve"> </w:t>
          </w:r>
          <w:r w:rsidRPr="00FF027F">
            <w:rPr>
              <w:rFonts w:ascii="Arial" w:hAnsi="Arial" w:cs="Arial"/>
              <w:lang w:val="en-GB"/>
            </w:rPr>
            <w:t>other</w:t>
          </w:r>
          <w:r w:rsidRPr="00FF027F">
            <w:rPr>
              <w:rFonts w:ascii="Arial" w:hAnsi="Arial" w:cs="Arial"/>
              <w:spacing w:val="6"/>
              <w:lang w:val="en-GB"/>
            </w:rPr>
            <w:t xml:space="preserve"> </w:t>
          </w:r>
          <w:r w:rsidRPr="00FF027F">
            <w:rPr>
              <w:rFonts w:ascii="Arial" w:hAnsi="Arial" w:cs="Arial"/>
              <w:lang w:val="en-GB"/>
            </w:rPr>
            <w:t>report</w:t>
          </w:r>
          <w:r w:rsidRPr="00FF027F">
            <w:rPr>
              <w:rFonts w:ascii="Arial" w:hAnsi="Arial" w:cs="Arial"/>
              <w:spacing w:val="-1"/>
              <w:lang w:val="en-GB"/>
            </w:rPr>
            <w:t>i</w:t>
          </w:r>
          <w:r w:rsidRPr="00FF027F">
            <w:rPr>
              <w:rFonts w:ascii="Arial" w:hAnsi="Arial" w:cs="Arial"/>
              <w:lang w:val="en-GB"/>
            </w:rPr>
            <w:t>ng</w:t>
          </w:r>
          <w:r w:rsidRPr="00FF027F">
            <w:rPr>
              <w:rFonts w:ascii="Arial" w:hAnsi="Arial" w:cs="Arial"/>
              <w:spacing w:val="7"/>
              <w:lang w:val="en-GB"/>
            </w:rPr>
            <w:t xml:space="preserve"> </w:t>
          </w:r>
          <w:r w:rsidRPr="00FF027F">
            <w:rPr>
              <w:rFonts w:ascii="Arial" w:hAnsi="Arial" w:cs="Arial"/>
              <w:lang w:val="en-GB"/>
            </w:rPr>
            <w:t>parties</w:t>
          </w:r>
          <w:r w:rsidRPr="00FF027F">
            <w:rPr>
              <w:rFonts w:ascii="Arial" w:hAnsi="Arial" w:cs="Arial"/>
              <w:spacing w:val="6"/>
              <w:lang w:val="en-GB"/>
            </w:rPr>
            <w:t xml:space="preserve"> </w:t>
          </w:r>
          <w:r w:rsidRPr="00FF027F">
            <w:rPr>
              <w:rFonts w:ascii="Arial" w:hAnsi="Arial" w:cs="Arial"/>
              <w:lang w:val="en-GB"/>
            </w:rPr>
            <w:t>collec</w:t>
          </w:r>
          <w:r w:rsidRPr="00FF027F">
            <w:rPr>
              <w:rFonts w:ascii="Arial" w:hAnsi="Arial" w:cs="Arial"/>
              <w:spacing w:val="-1"/>
              <w:lang w:val="en-GB"/>
            </w:rPr>
            <w:t>t</w:t>
          </w:r>
          <w:r w:rsidRPr="00FF027F">
            <w:rPr>
              <w:rFonts w:ascii="Arial" w:hAnsi="Arial" w:cs="Arial"/>
              <w:lang w:val="en-GB"/>
            </w:rPr>
            <w:t>ed</w:t>
          </w:r>
          <w:r w:rsidRPr="00FF027F">
            <w:rPr>
              <w:rFonts w:ascii="Arial" w:hAnsi="Arial" w:cs="Arial"/>
              <w:spacing w:val="6"/>
              <w:lang w:val="en-GB"/>
            </w:rPr>
            <w:t xml:space="preserve"> </w:t>
          </w:r>
          <w:r w:rsidRPr="00FF027F">
            <w:rPr>
              <w:rFonts w:ascii="Arial" w:hAnsi="Arial" w:cs="Arial"/>
              <w:lang w:val="en-GB"/>
            </w:rPr>
            <w:t>by</w:t>
          </w:r>
          <w:r w:rsidRPr="00FF027F">
            <w:rPr>
              <w:rFonts w:ascii="Arial" w:hAnsi="Arial" w:cs="Arial"/>
              <w:spacing w:val="7"/>
              <w:lang w:val="en-GB"/>
            </w:rPr>
            <w:t xml:space="preserve"> </w:t>
          </w:r>
          <w:r w:rsidRPr="00FF027F">
            <w:rPr>
              <w:rFonts w:ascii="Arial" w:hAnsi="Arial" w:cs="Arial"/>
              <w:lang w:val="en-GB"/>
            </w:rPr>
            <w:t>the</w:t>
          </w:r>
          <w:r w:rsidRPr="00FF027F">
            <w:rPr>
              <w:rFonts w:ascii="Arial" w:hAnsi="Arial" w:cs="Arial"/>
              <w:spacing w:val="6"/>
              <w:lang w:val="en-GB"/>
            </w:rPr>
            <w:t xml:space="preserve"> </w:t>
          </w:r>
          <w:r w:rsidRPr="00FF027F">
            <w:rPr>
              <w:rFonts w:ascii="Arial" w:hAnsi="Arial" w:cs="Arial"/>
              <w:lang w:val="en-GB"/>
            </w:rPr>
            <w:t>Agenc</w:t>
          </w:r>
          <w:r w:rsidRPr="00FF027F">
            <w:rPr>
              <w:rFonts w:ascii="Arial" w:hAnsi="Arial" w:cs="Arial"/>
              <w:spacing w:val="6"/>
              <w:lang w:val="en-GB"/>
            </w:rPr>
            <w:t>y</w:t>
          </w:r>
          <w:r w:rsidR="00DC15CE" w:rsidRPr="00FF027F">
            <w:rPr>
              <w:rFonts w:ascii="Arial" w:hAnsi="Arial" w:cs="Arial"/>
              <w:spacing w:val="6"/>
              <w:lang w:val="en-GB"/>
            </w:rPr>
            <w:t xml:space="preserve"> (</w:t>
          </w:r>
          <w:r w:rsidR="00E7546E" w:rsidRPr="00FF027F">
            <w:rPr>
              <w:rFonts w:ascii="Arial" w:hAnsi="Arial" w:cs="Arial"/>
              <w:spacing w:val="6"/>
              <w:lang w:val="en-GB"/>
            </w:rPr>
            <w:t>sub</w:t>
          </w:r>
          <w:r w:rsidR="00DC15CE" w:rsidRPr="00FF027F">
            <w:rPr>
              <w:rFonts w:ascii="Arial" w:hAnsi="Arial" w:cs="Arial"/>
              <w:spacing w:val="6"/>
              <w:lang w:val="en-GB"/>
            </w:rPr>
            <w:t xml:space="preserve">. </w:t>
          </w:r>
          <w:r w:rsidR="001E04B9" w:rsidRPr="00FF027F">
            <w:rPr>
              <w:rFonts w:ascii="Arial" w:hAnsi="Arial" w:cs="Arial"/>
              <w:spacing w:val="6"/>
              <w:lang w:val="en-GB"/>
            </w:rPr>
            <w:t>b</w:t>
          </w:r>
          <w:r w:rsidR="00DC15CE" w:rsidRPr="00FF027F">
            <w:rPr>
              <w:rFonts w:ascii="Arial" w:hAnsi="Arial" w:cs="Arial"/>
              <w:spacing w:val="6"/>
              <w:lang w:val="en-GB"/>
            </w:rPr>
            <w:t>) and c) above)</w:t>
          </w:r>
          <w:r w:rsidRPr="00FF027F">
            <w:rPr>
              <w:rFonts w:ascii="Arial" w:hAnsi="Arial" w:cs="Arial"/>
              <w:lang w:val="en-GB"/>
            </w:rPr>
            <w:t>.</w:t>
          </w:r>
          <w:r w:rsidRPr="00FF027F">
            <w:rPr>
              <w:rFonts w:ascii="Arial" w:hAnsi="Arial" w:cs="Arial"/>
              <w:spacing w:val="7"/>
              <w:lang w:val="en-GB"/>
            </w:rPr>
            <w:t xml:space="preserve"> </w:t>
          </w:r>
          <w:r w:rsidRPr="00FF027F">
            <w:rPr>
              <w:rFonts w:ascii="Arial" w:hAnsi="Arial" w:cs="Arial"/>
              <w:lang w:val="en-GB"/>
            </w:rPr>
            <w:t>Here dif</w:t>
          </w:r>
          <w:r w:rsidRPr="00FF027F">
            <w:rPr>
              <w:rFonts w:ascii="Arial" w:hAnsi="Arial" w:cs="Arial"/>
              <w:spacing w:val="-1"/>
              <w:lang w:val="en-GB"/>
            </w:rPr>
            <w:t>f</w:t>
          </w:r>
          <w:r w:rsidRPr="00FF027F">
            <w:rPr>
              <w:rFonts w:ascii="Arial" w:hAnsi="Arial" w:cs="Arial"/>
              <w:lang w:val="en-GB"/>
            </w:rPr>
            <w:t>erent</w:t>
          </w:r>
          <w:r w:rsidRPr="00FF027F">
            <w:rPr>
              <w:rFonts w:ascii="Arial" w:hAnsi="Arial" w:cs="Arial"/>
              <w:spacing w:val="15"/>
              <w:lang w:val="en-GB"/>
            </w:rPr>
            <w:t xml:space="preserve"> </w:t>
          </w:r>
          <w:r w:rsidRPr="00FF027F">
            <w:rPr>
              <w:rFonts w:ascii="Arial" w:hAnsi="Arial" w:cs="Arial"/>
              <w:lang w:val="en-GB"/>
            </w:rPr>
            <w:t>a</w:t>
          </w:r>
          <w:r w:rsidRPr="00FF027F">
            <w:rPr>
              <w:rFonts w:ascii="Arial" w:hAnsi="Arial" w:cs="Arial"/>
              <w:spacing w:val="-1"/>
              <w:lang w:val="en-GB"/>
            </w:rPr>
            <w:t>p</w:t>
          </w:r>
          <w:r w:rsidRPr="00FF027F">
            <w:rPr>
              <w:rFonts w:ascii="Arial" w:hAnsi="Arial" w:cs="Arial"/>
              <w:lang w:val="en-GB"/>
            </w:rPr>
            <w:t>proaches</w:t>
          </w:r>
          <w:r w:rsidRPr="00FF027F">
            <w:rPr>
              <w:rFonts w:ascii="Arial" w:hAnsi="Arial" w:cs="Arial"/>
              <w:spacing w:val="15"/>
              <w:lang w:val="en-GB"/>
            </w:rPr>
            <w:t xml:space="preserve"> </w:t>
          </w:r>
          <w:r w:rsidRPr="00FF027F">
            <w:rPr>
              <w:rFonts w:ascii="Arial" w:hAnsi="Arial" w:cs="Arial"/>
              <w:spacing w:val="-1"/>
              <w:lang w:val="en-GB"/>
            </w:rPr>
            <w:t>ca</w:t>
          </w:r>
          <w:r w:rsidRPr="00FF027F">
            <w:rPr>
              <w:rFonts w:ascii="Arial" w:hAnsi="Arial" w:cs="Arial"/>
              <w:lang w:val="en-GB"/>
            </w:rPr>
            <w:t>n</w:t>
          </w:r>
          <w:r w:rsidRPr="00FF027F">
            <w:rPr>
              <w:rFonts w:ascii="Arial" w:hAnsi="Arial" w:cs="Arial"/>
              <w:spacing w:val="14"/>
              <w:lang w:val="en-GB"/>
            </w:rPr>
            <w:t xml:space="preserve"> </w:t>
          </w:r>
          <w:r w:rsidRPr="00FF027F">
            <w:rPr>
              <w:rFonts w:ascii="Arial" w:hAnsi="Arial" w:cs="Arial"/>
              <w:lang w:val="en-GB"/>
            </w:rPr>
            <w:t>be</w:t>
          </w:r>
          <w:r w:rsidRPr="00FF027F">
            <w:rPr>
              <w:rFonts w:ascii="Arial" w:hAnsi="Arial" w:cs="Arial"/>
              <w:spacing w:val="14"/>
              <w:lang w:val="en-GB"/>
            </w:rPr>
            <w:t xml:space="preserve"> </w:t>
          </w:r>
          <w:r w:rsidRPr="00FF027F">
            <w:rPr>
              <w:rFonts w:ascii="Arial" w:hAnsi="Arial" w:cs="Arial"/>
              <w:lang w:val="en-GB"/>
            </w:rPr>
            <w:t>envis</w:t>
          </w:r>
          <w:r w:rsidRPr="00FF027F">
            <w:rPr>
              <w:rFonts w:ascii="Arial" w:hAnsi="Arial" w:cs="Arial"/>
              <w:spacing w:val="-1"/>
              <w:lang w:val="en-GB"/>
            </w:rPr>
            <w:t>a</w:t>
          </w:r>
          <w:r w:rsidRPr="00FF027F">
            <w:rPr>
              <w:rFonts w:ascii="Arial" w:hAnsi="Arial" w:cs="Arial"/>
              <w:lang w:val="en-GB"/>
            </w:rPr>
            <w:t>ged,</w:t>
          </w:r>
          <w:r w:rsidRPr="00FF027F">
            <w:rPr>
              <w:rFonts w:ascii="Arial" w:hAnsi="Arial" w:cs="Arial"/>
              <w:spacing w:val="14"/>
              <w:lang w:val="en-GB"/>
            </w:rPr>
            <w:t xml:space="preserve"> </w:t>
          </w:r>
          <w:r w:rsidRPr="00FF027F">
            <w:rPr>
              <w:rFonts w:ascii="Arial" w:hAnsi="Arial" w:cs="Arial"/>
              <w:lang w:val="en-GB"/>
            </w:rPr>
            <w:t>which</w:t>
          </w:r>
          <w:r w:rsidRPr="00FF027F">
            <w:rPr>
              <w:rFonts w:ascii="Arial" w:hAnsi="Arial" w:cs="Arial"/>
              <w:spacing w:val="14"/>
              <w:lang w:val="en-GB"/>
            </w:rPr>
            <w:t xml:space="preserve"> </w:t>
          </w:r>
          <w:r w:rsidRPr="00FF027F">
            <w:rPr>
              <w:rFonts w:ascii="Arial" w:hAnsi="Arial" w:cs="Arial"/>
              <w:lang w:val="en-GB"/>
            </w:rPr>
            <w:t>will</w:t>
          </w:r>
          <w:r w:rsidRPr="00FF027F">
            <w:rPr>
              <w:rFonts w:ascii="Arial" w:hAnsi="Arial" w:cs="Arial"/>
              <w:spacing w:val="15"/>
              <w:lang w:val="en-GB"/>
            </w:rPr>
            <w:t xml:space="preserve"> </w:t>
          </w:r>
          <w:r w:rsidRPr="00FF027F">
            <w:rPr>
              <w:rFonts w:ascii="Arial" w:hAnsi="Arial" w:cs="Arial"/>
              <w:lang w:val="en-GB"/>
            </w:rPr>
            <w:t>req</w:t>
          </w:r>
          <w:r w:rsidRPr="00FF027F">
            <w:rPr>
              <w:rFonts w:ascii="Arial" w:hAnsi="Arial" w:cs="Arial"/>
              <w:spacing w:val="-1"/>
              <w:lang w:val="en-GB"/>
            </w:rPr>
            <w:t>u</w:t>
          </w:r>
          <w:r w:rsidRPr="00FF027F">
            <w:rPr>
              <w:rFonts w:ascii="Arial" w:hAnsi="Arial" w:cs="Arial"/>
              <w:lang w:val="en-GB"/>
            </w:rPr>
            <w:t>i</w:t>
          </w:r>
          <w:r w:rsidRPr="00FF027F">
            <w:rPr>
              <w:rFonts w:ascii="Arial" w:hAnsi="Arial" w:cs="Arial"/>
              <w:spacing w:val="1"/>
              <w:lang w:val="en-GB"/>
            </w:rPr>
            <w:t>r</w:t>
          </w:r>
          <w:r w:rsidRPr="00FF027F">
            <w:rPr>
              <w:rFonts w:ascii="Arial" w:hAnsi="Arial" w:cs="Arial"/>
              <w:lang w:val="en-GB"/>
            </w:rPr>
            <w:t>e</w:t>
          </w:r>
          <w:r w:rsidRPr="00FF027F">
            <w:rPr>
              <w:rFonts w:ascii="Arial" w:hAnsi="Arial" w:cs="Arial"/>
              <w:spacing w:val="13"/>
              <w:lang w:val="en-GB"/>
            </w:rPr>
            <w:t xml:space="preserve"> </w:t>
          </w:r>
          <w:r w:rsidRPr="00FF027F">
            <w:rPr>
              <w:rFonts w:ascii="Arial" w:hAnsi="Arial" w:cs="Arial"/>
              <w:lang w:val="en-GB"/>
            </w:rPr>
            <w:t>dif</w:t>
          </w:r>
          <w:r w:rsidRPr="00FF027F">
            <w:rPr>
              <w:rFonts w:ascii="Arial" w:hAnsi="Arial" w:cs="Arial"/>
              <w:spacing w:val="-1"/>
              <w:lang w:val="en-GB"/>
            </w:rPr>
            <w:t>f</w:t>
          </w:r>
          <w:r w:rsidRPr="00FF027F">
            <w:rPr>
              <w:rFonts w:ascii="Arial" w:hAnsi="Arial" w:cs="Arial"/>
              <w:lang w:val="en-GB"/>
            </w:rPr>
            <w:t>erent</w:t>
          </w:r>
          <w:r w:rsidRPr="00FF027F">
            <w:rPr>
              <w:rFonts w:ascii="Arial" w:hAnsi="Arial" w:cs="Arial"/>
              <w:spacing w:val="15"/>
              <w:lang w:val="en-GB"/>
            </w:rPr>
            <w:t xml:space="preserve"> </w:t>
          </w:r>
          <w:r w:rsidRPr="00FF027F">
            <w:rPr>
              <w:rFonts w:ascii="Arial" w:hAnsi="Arial" w:cs="Arial"/>
              <w:lang w:val="en-GB"/>
            </w:rPr>
            <w:t>sta</w:t>
          </w:r>
          <w:r w:rsidRPr="00FF027F">
            <w:rPr>
              <w:rFonts w:ascii="Arial" w:hAnsi="Arial" w:cs="Arial"/>
              <w:spacing w:val="-1"/>
              <w:lang w:val="en-GB"/>
            </w:rPr>
            <w:t>f</w:t>
          </w:r>
          <w:r w:rsidRPr="00FF027F">
            <w:rPr>
              <w:rFonts w:ascii="Arial" w:hAnsi="Arial" w:cs="Arial"/>
              <w:lang w:val="en-GB"/>
            </w:rPr>
            <w:t>fing</w:t>
          </w:r>
          <w:r w:rsidRPr="00FF027F">
            <w:rPr>
              <w:rFonts w:ascii="Arial" w:hAnsi="Arial" w:cs="Arial"/>
              <w:spacing w:val="14"/>
              <w:lang w:val="en-GB"/>
            </w:rPr>
            <w:t xml:space="preserve"> </w:t>
          </w:r>
          <w:r w:rsidRPr="00FF027F">
            <w:rPr>
              <w:rFonts w:ascii="Arial" w:hAnsi="Arial" w:cs="Arial"/>
              <w:lang w:val="en-GB"/>
            </w:rPr>
            <w:t>levels</w:t>
          </w:r>
          <w:r w:rsidRPr="00FF027F">
            <w:rPr>
              <w:rFonts w:ascii="Arial" w:hAnsi="Arial" w:cs="Arial"/>
              <w:spacing w:val="14"/>
              <w:lang w:val="en-GB"/>
            </w:rPr>
            <w:t xml:space="preserve"> </w:t>
          </w:r>
          <w:r w:rsidRPr="00FF027F">
            <w:rPr>
              <w:rFonts w:ascii="Arial" w:hAnsi="Arial" w:cs="Arial"/>
              <w:lang w:val="en-GB"/>
            </w:rPr>
            <w:t>and</w:t>
          </w:r>
          <w:r w:rsidRPr="00FF027F">
            <w:rPr>
              <w:rFonts w:ascii="Arial" w:hAnsi="Arial" w:cs="Arial"/>
              <w:spacing w:val="14"/>
              <w:lang w:val="en-GB"/>
            </w:rPr>
            <w:t xml:space="preserve"> </w:t>
          </w:r>
          <w:r w:rsidRPr="00FF027F">
            <w:rPr>
              <w:rFonts w:ascii="Arial" w:hAnsi="Arial" w:cs="Arial"/>
              <w:lang w:val="en-GB"/>
            </w:rPr>
            <w:t>which will</w:t>
          </w:r>
          <w:r w:rsidRPr="00FF027F">
            <w:rPr>
              <w:rFonts w:ascii="Arial" w:hAnsi="Arial" w:cs="Arial"/>
              <w:spacing w:val="1"/>
              <w:lang w:val="en-GB"/>
            </w:rPr>
            <w:t xml:space="preserve"> </w:t>
          </w:r>
          <w:r w:rsidRPr="00FF027F">
            <w:rPr>
              <w:rFonts w:ascii="Arial" w:hAnsi="Arial" w:cs="Arial"/>
              <w:spacing w:val="-1"/>
              <w:lang w:val="en-GB"/>
            </w:rPr>
            <w:t>r</w:t>
          </w:r>
          <w:r w:rsidRPr="00FF027F">
            <w:rPr>
              <w:rFonts w:ascii="Arial" w:hAnsi="Arial" w:cs="Arial"/>
              <w:lang w:val="en-GB"/>
            </w:rPr>
            <w:t>esult in</w:t>
          </w:r>
          <w:r w:rsidRPr="00FF027F">
            <w:rPr>
              <w:rFonts w:ascii="Arial" w:hAnsi="Arial" w:cs="Arial"/>
              <w:spacing w:val="-1"/>
              <w:lang w:val="en-GB"/>
            </w:rPr>
            <w:t xml:space="preserve"> </w:t>
          </w:r>
          <w:r w:rsidRPr="00FF027F">
            <w:rPr>
              <w:rFonts w:ascii="Arial" w:hAnsi="Arial" w:cs="Arial"/>
              <w:lang w:val="en-GB"/>
            </w:rPr>
            <w:t>the</w:t>
          </w:r>
          <w:r w:rsidRPr="00FF027F">
            <w:rPr>
              <w:rFonts w:ascii="Arial" w:hAnsi="Arial" w:cs="Arial"/>
              <w:spacing w:val="2"/>
              <w:lang w:val="en-GB"/>
            </w:rPr>
            <w:t xml:space="preserve"> </w:t>
          </w:r>
          <w:r w:rsidRPr="00FF027F">
            <w:rPr>
              <w:rFonts w:ascii="Arial" w:hAnsi="Arial" w:cs="Arial"/>
              <w:lang w:val="en-GB"/>
            </w:rPr>
            <w:t>Agency</w:t>
          </w:r>
          <w:r w:rsidRPr="00FF027F">
            <w:rPr>
              <w:rFonts w:ascii="Arial" w:hAnsi="Arial" w:cs="Arial"/>
              <w:spacing w:val="-1"/>
              <w:lang w:val="en-GB"/>
            </w:rPr>
            <w:t xml:space="preserve"> </w:t>
          </w:r>
          <w:r w:rsidRPr="00FF027F">
            <w:rPr>
              <w:rFonts w:ascii="Arial" w:hAnsi="Arial" w:cs="Arial"/>
              <w:lang w:val="en-GB"/>
            </w:rPr>
            <w:t>ful</w:t>
          </w:r>
          <w:r w:rsidRPr="00FF027F">
            <w:rPr>
              <w:rFonts w:ascii="Arial" w:hAnsi="Arial" w:cs="Arial"/>
              <w:spacing w:val="-1"/>
              <w:lang w:val="en-GB"/>
            </w:rPr>
            <w:t>f</w:t>
          </w:r>
          <w:r w:rsidRPr="00FF027F">
            <w:rPr>
              <w:rFonts w:ascii="Arial" w:hAnsi="Arial" w:cs="Arial"/>
              <w:lang w:val="en-GB"/>
            </w:rPr>
            <w:t>i</w:t>
          </w:r>
          <w:r w:rsidRPr="00FF027F">
            <w:rPr>
              <w:rFonts w:ascii="Arial" w:hAnsi="Arial" w:cs="Arial"/>
              <w:spacing w:val="1"/>
              <w:lang w:val="en-GB"/>
            </w:rPr>
            <w:t>l</w:t>
          </w:r>
          <w:r w:rsidRPr="00FF027F">
            <w:rPr>
              <w:rFonts w:ascii="Arial" w:hAnsi="Arial" w:cs="Arial"/>
              <w:lang w:val="en-GB"/>
            </w:rPr>
            <w:t>l</w:t>
          </w:r>
          <w:r w:rsidRPr="00FF027F">
            <w:rPr>
              <w:rFonts w:ascii="Arial" w:hAnsi="Arial" w:cs="Arial"/>
              <w:spacing w:val="1"/>
              <w:lang w:val="en-GB"/>
            </w:rPr>
            <w:t>i</w:t>
          </w:r>
          <w:r w:rsidRPr="00FF027F">
            <w:rPr>
              <w:rFonts w:ascii="Arial" w:hAnsi="Arial" w:cs="Arial"/>
              <w:lang w:val="en-GB"/>
            </w:rPr>
            <w:t>ng to a di</w:t>
          </w:r>
          <w:r w:rsidRPr="00FF027F">
            <w:rPr>
              <w:rFonts w:ascii="Arial" w:hAnsi="Arial" w:cs="Arial"/>
              <w:spacing w:val="-1"/>
              <w:lang w:val="en-GB"/>
            </w:rPr>
            <w:t>f</w:t>
          </w:r>
          <w:r w:rsidRPr="00FF027F">
            <w:rPr>
              <w:rFonts w:ascii="Arial" w:hAnsi="Arial" w:cs="Arial"/>
              <w:lang w:val="en-GB"/>
            </w:rPr>
            <w:t xml:space="preserve">ferent </w:t>
          </w:r>
          <w:r w:rsidRPr="00FF027F">
            <w:rPr>
              <w:rFonts w:ascii="Arial" w:hAnsi="Arial" w:cs="Arial"/>
              <w:spacing w:val="-1"/>
              <w:lang w:val="en-GB"/>
            </w:rPr>
            <w:t>e</w:t>
          </w:r>
          <w:r w:rsidRPr="00FF027F">
            <w:rPr>
              <w:rFonts w:ascii="Arial" w:hAnsi="Arial" w:cs="Arial"/>
              <w:lang w:val="en-GB"/>
            </w:rPr>
            <w:t>xtent</w:t>
          </w:r>
          <w:r w:rsidRPr="00FF027F">
            <w:rPr>
              <w:rFonts w:ascii="Arial" w:hAnsi="Arial" w:cs="Arial"/>
              <w:spacing w:val="-1"/>
              <w:lang w:val="en-GB"/>
            </w:rPr>
            <w:t xml:space="preserve"> </w:t>
          </w:r>
          <w:r w:rsidRPr="00FF027F">
            <w:rPr>
              <w:rFonts w:ascii="Arial" w:hAnsi="Arial" w:cs="Arial"/>
              <w:lang w:val="en-GB"/>
            </w:rPr>
            <w:t>the re</w:t>
          </w:r>
          <w:r w:rsidRPr="00FF027F">
            <w:rPr>
              <w:rFonts w:ascii="Arial" w:hAnsi="Arial" w:cs="Arial"/>
              <w:spacing w:val="-1"/>
              <w:lang w:val="en-GB"/>
            </w:rPr>
            <w:t>q</w:t>
          </w:r>
          <w:r w:rsidRPr="00FF027F">
            <w:rPr>
              <w:rFonts w:ascii="Arial" w:hAnsi="Arial" w:cs="Arial"/>
              <w:lang w:val="en-GB"/>
            </w:rPr>
            <w:t>ui</w:t>
          </w:r>
          <w:r w:rsidRPr="00FF027F">
            <w:rPr>
              <w:rFonts w:ascii="Arial" w:hAnsi="Arial" w:cs="Arial"/>
              <w:spacing w:val="1"/>
              <w:lang w:val="en-GB"/>
            </w:rPr>
            <w:t>r</w:t>
          </w:r>
          <w:r w:rsidRPr="00FF027F">
            <w:rPr>
              <w:rFonts w:ascii="Arial" w:hAnsi="Arial" w:cs="Arial"/>
              <w:lang w:val="en-GB"/>
            </w:rPr>
            <w:t>e</w:t>
          </w:r>
          <w:r w:rsidRPr="00FF027F">
            <w:rPr>
              <w:rFonts w:ascii="Arial" w:hAnsi="Arial" w:cs="Arial"/>
              <w:spacing w:val="-2"/>
              <w:lang w:val="en-GB"/>
            </w:rPr>
            <w:t>m</w:t>
          </w:r>
          <w:r w:rsidRPr="00FF027F">
            <w:rPr>
              <w:rFonts w:ascii="Arial" w:hAnsi="Arial" w:cs="Arial"/>
              <w:lang w:val="en-GB"/>
            </w:rPr>
            <w:t>ent</w:t>
          </w:r>
          <w:r w:rsidR="007E2793" w:rsidRPr="00FF027F">
            <w:rPr>
              <w:rFonts w:ascii="Arial" w:hAnsi="Arial" w:cs="Arial"/>
              <w:lang w:val="en-GB"/>
            </w:rPr>
            <w:t>s foreseen</w:t>
          </w:r>
          <w:r w:rsidRPr="00FF027F">
            <w:rPr>
              <w:rFonts w:ascii="Arial" w:hAnsi="Arial" w:cs="Arial"/>
              <w:lang w:val="en-GB"/>
            </w:rPr>
            <w:t xml:space="preserve"> under REMIT.</w:t>
          </w:r>
        </w:p>
        <w:p w14:paraId="71E65B58" w14:textId="77777777" w:rsidR="00B548E6" w:rsidRPr="00FF027F" w:rsidRDefault="00B548E6" w:rsidP="00CC65D1">
          <w:pPr>
            <w:spacing w:before="360" w:after="240" w:line="360" w:lineRule="auto"/>
            <w:jc w:val="both"/>
            <w:rPr>
              <w:rFonts w:ascii="Arial" w:hAnsi="Arial" w:cs="Arial"/>
              <w:lang w:val="en-GB"/>
            </w:rPr>
          </w:pPr>
          <w:r w:rsidRPr="00FF027F">
            <w:rPr>
              <w:rFonts w:ascii="Arial" w:hAnsi="Arial" w:cs="Arial"/>
              <w:lang w:val="en-GB"/>
            </w:rPr>
            <w:t xml:space="preserve">The coverage of the full range of required expertise would </w:t>
          </w:r>
          <w:r w:rsidR="007E2793" w:rsidRPr="00FF027F">
            <w:rPr>
              <w:rFonts w:ascii="Arial" w:hAnsi="Arial" w:cs="Arial"/>
              <w:lang w:val="en-GB"/>
            </w:rPr>
            <w:t xml:space="preserve">require </w:t>
          </w:r>
          <w:r w:rsidRPr="00FF027F">
            <w:rPr>
              <w:rFonts w:ascii="Arial" w:hAnsi="Arial" w:cs="Arial"/>
              <w:lang w:val="en-GB"/>
            </w:rPr>
            <w:t>12 additional monitoring officers supported by 2 assistants.</w:t>
          </w:r>
        </w:p>
        <w:p w14:paraId="2D4B31AF" w14:textId="6A18A2C1" w:rsidR="00B548E6" w:rsidRPr="00FF027F" w:rsidRDefault="00285364" w:rsidP="00CC65D1">
          <w:pPr>
            <w:spacing w:before="360" w:after="240" w:line="360" w:lineRule="auto"/>
            <w:jc w:val="both"/>
            <w:rPr>
              <w:rFonts w:ascii="Arial" w:hAnsi="Arial" w:cs="Arial"/>
              <w:lang w:val="en-GB"/>
            </w:rPr>
          </w:pPr>
          <w:r w:rsidRPr="00FF027F">
            <w:rPr>
              <w:rFonts w:ascii="Arial" w:hAnsi="Arial" w:cs="Arial"/>
              <w:lang w:val="en-GB"/>
            </w:rPr>
            <w:t>Finally, w</w:t>
          </w:r>
          <w:r w:rsidR="00B548E6" w:rsidRPr="00FF027F">
            <w:rPr>
              <w:rFonts w:ascii="Arial" w:hAnsi="Arial" w:cs="Arial"/>
              <w:lang w:val="en-GB"/>
            </w:rPr>
            <w:t xml:space="preserve">ith the new tasks to be covered and the additional staff devoted to them, it is expected that the Market Monitoring Department will have to be restructured into two Departments. This will require one additional management position graded at AD11 to achieve the following organisational structure: </w:t>
          </w:r>
        </w:p>
        <w:p w14:paraId="38BDE403" w14:textId="70813C84" w:rsidR="00B548E6" w:rsidRPr="00FF027F" w:rsidRDefault="00B548E6" w:rsidP="006D214F">
          <w:pPr>
            <w:numPr>
              <w:ilvl w:val="0"/>
              <w:numId w:val="43"/>
            </w:numPr>
            <w:spacing w:before="360" w:after="240" w:line="360" w:lineRule="auto"/>
            <w:ind w:left="0" w:firstLine="0"/>
            <w:jc w:val="both"/>
            <w:rPr>
              <w:rFonts w:ascii="Arial" w:hAnsi="Arial" w:cs="Arial"/>
              <w:lang w:val="en-GB"/>
            </w:rPr>
          </w:pPr>
          <w:r w:rsidRPr="00FF027F">
            <w:rPr>
              <w:rFonts w:ascii="Arial" w:hAnsi="Arial" w:cs="Arial"/>
              <w:lang w:val="en-GB"/>
            </w:rPr>
            <w:t xml:space="preserve">Department of Market Oversight (DMO), responsible for performing daily oversight of the internal gas and electricity markets, identifying market events and trends and referring issues of potential market manipulation or rules violations to the Department of Analytics and Surveillance. The DMO </w:t>
          </w:r>
          <w:r w:rsidR="00DC15CE" w:rsidRPr="00FF027F">
            <w:rPr>
              <w:rFonts w:ascii="Arial" w:hAnsi="Arial" w:cs="Arial"/>
              <w:lang w:val="en-GB"/>
            </w:rPr>
            <w:t>will</w:t>
          </w:r>
          <w:r w:rsidRPr="00FF027F">
            <w:rPr>
              <w:rFonts w:ascii="Arial" w:hAnsi="Arial" w:cs="Arial"/>
              <w:lang w:val="en-GB"/>
            </w:rPr>
            <w:t xml:space="preserve"> also </w:t>
          </w:r>
          <w:r w:rsidR="00DC15CE" w:rsidRPr="00FF027F">
            <w:rPr>
              <w:rFonts w:ascii="Arial" w:hAnsi="Arial" w:cs="Arial"/>
              <w:lang w:val="en-GB"/>
            </w:rPr>
            <w:t xml:space="preserve">be </w:t>
          </w:r>
          <w:r w:rsidRPr="00FF027F">
            <w:rPr>
              <w:rFonts w:ascii="Arial" w:hAnsi="Arial" w:cs="Arial"/>
              <w:lang w:val="en-GB"/>
            </w:rPr>
            <w:t xml:space="preserve">responsible for proposing policy options and regulatory strategies for improving the functioning of trading venues; </w:t>
          </w:r>
        </w:p>
        <w:p w14:paraId="67E10DF8" w14:textId="77777777" w:rsidR="00B548E6" w:rsidRPr="00FF027F" w:rsidRDefault="00B548E6" w:rsidP="006D214F">
          <w:pPr>
            <w:numPr>
              <w:ilvl w:val="0"/>
              <w:numId w:val="43"/>
            </w:numPr>
            <w:spacing w:before="360" w:after="240" w:line="360" w:lineRule="auto"/>
            <w:ind w:left="0" w:firstLine="0"/>
            <w:jc w:val="both"/>
            <w:rPr>
              <w:rFonts w:ascii="Arial" w:hAnsi="Arial" w:cs="Arial"/>
              <w:lang w:val="en-GB"/>
            </w:rPr>
          </w:pPr>
          <w:r w:rsidRPr="00FF027F">
            <w:rPr>
              <w:rFonts w:ascii="Arial" w:hAnsi="Arial" w:cs="Arial"/>
              <w:lang w:val="en-GB"/>
            </w:rPr>
            <w:t>Department of Analysis and Surveillance (DAS), responsible for developing and implementing surveillance tools to detect potential instances of market abuse.</w:t>
          </w:r>
        </w:p>
        <w:p w14:paraId="3FE1DCDA" w14:textId="77777777" w:rsidR="00B548E6" w:rsidRPr="00FF027F" w:rsidRDefault="00B548E6" w:rsidP="00CC65D1">
          <w:pPr>
            <w:spacing w:before="360" w:after="240" w:line="360" w:lineRule="auto"/>
            <w:jc w:val="both"/>
            <w:rPr>
              <w:rFonts w:ascii="Arial" w:hAnsi="Arial" w:cs="Arial"/>
              <w:lang w:val="en-GB"/>
            </w:rPr>
          </w:pPr>
          <w:r w:rsidRPr="00FF027F">
            <w:rPr>
              <w:rFonts w:ascii="Arial" w:hAnsi="Arial" w:cs="Arial"/>
              <w:lang w:val="en-GB"/>
            </w:rPr>
            <w:t>The additional 30 staff will be assigned to the Market Monitoring Department and are expected to be graded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658"/>
          </w:tblGrid>
          <w:tr w:rsidR="00B548E6" w:rsidRPr="00FF027F" w14:paraId="5B2B1AA5" w14:textId="77777777" w:rsidTr="0043792B">
            <w:tc>
              <w:tcPr>
                <w:tcW w:w="1260" w:type="dxa"/>
                <w:tcBorders>
                  <w:top w:val="single" w:sz="4" w:space="0" w:color="auto"/>
                  <w:left w:val="single" w:sz="4" w:space="0" w:color="auto"/>
                  <w:bottom w:val="single" w:sz="4" w:space="0" w:color="auto"/>
                  <w:right w:val="single" w:sz="4" w:space="0" w:color="auto"/>
                </w:tcBorders>
                <w:hideMark/>
              </w:tcPr>
              <w:p w14:paraId="56E27767" w14:textId="77777777" w:rsidR="00B548E6" w:rsidRPr="00FF027F" w:rsidRDefault="00B548E6" w:rsidP="0043792B">
                <w:pPr>
                  <w:jc w:val="both"/>
                  <w:rPr>
                    <w:rFonts w:ascii="Verdana" w:hAnsi="Verdana"/>
                    <w:b/>
                    <w:sz w:val="20"/>
                    <w:szCs w:val="20"/>
                    <w:lang w:val="en-GB" w:eastAsia="en-GB"/>
                  </w:rPr>
                </w:pPr>
                <w:r w:rsidRPr="00FF027F">
                  <w:rPr>
                    <w:rFonts w:ascii="Verdana" w:hAnsi="Verdana"/>
                    <w:b/>
                    <w:sz w:val="20"/>
                    <w:szCs w:val="20"/>
                    <w:lang w:val="en-GB"/>
                  </w:rPr>
                  <w:t>Grade</w:t>
                </w:r>
              </w:p>
            </w:tc>
            <w:tc>
              <w:tcPr>
                <w:tcW w:w="7812" w:type="dxa"/>
                <w:tcBorders>
                  <w:top w:val="single" w:sz="4" w:space="0" w:color="auto"/>
                  <w:left w:val="single" w:sz="4" w:space="0" w:color="auto"/>
                  <w:bottom w:val="single" w:sz="4" w:space="0" w:color="auto"/>
                  <w:right w:val="single" w:sz="4" w:space="0" w:color="auto"/>
                </w:tcBorders>
                <w:hideMark/>
              </w:tcPr>
              <w:p w14:paraId="490B8CF3" w14:textId="77777777" w:rsidR="00B548E6" w:rsidRPr="00FF027F" w:rsidRDefault="00B548E6" w:rsidP="0043792B">
                <w:pPr>
                  <w:jc w:val="center"/>
                  <w:rPr>
                    <w:rFonts w:ascii="Verdana" w:hAnsi="Verdana"/>
                    <w:b/>
                    <w:sz w:val="20"/>
                    <w:szCs w:val="20"/>
                    <w:lang w:val="en-GB" w:eastAsia="en-GB"/>
                  </w:rPr>
                </w:pPr>
                <w:r w:rsidRPr="00FF027F">
                  <w:rPr>
                    <w:rFonts w:ascii="Verdana" w:hAnsi="Verdana"/>
                    <w:b/>
                    <w:sz w:val="20"/>
                    <w:szCs w:val="20"/>
                    <w:lang w:val="en-GB"/>
                  </w:rPr>
                  <w:t>TAs for the Market Monitoring Department</w:t>
                </w:r>
              </w:p>
            </w:tc>
          </w:tr>
          <w:tr w:rsidR="00B548E6" w:rsidRPr="00FF027F" w14:paraId="3F136D62" w14:textId="77777777" w:rsidTr="0043792B">
            <w:tc>
              <w:tcPr>
                <w:tcW w:w="1260" w:type="dxa"/>
                <w:tcBorders>
                  <w:top w:val="single" w:sz="4" w:space="0" w:color="auto"/>
                  <w:left w:val="single" w:sz="4" w:space="0" w:color="auto"/>
                  <w:bottom w:val="single" w:sz="4" w:space="0" w:color="auto"/>
                  <w:right w:val="single" w:sz="4" w:space="0" w:color="auto"/>
                </w:tcBorders>
                <w:hideMark/>
              </w:tcPr>
              <w:p w14:paraId="1FAA1A03" w14:textId="77777777" w:rsidR="00B548E6" w:rsidRPr="00FF027F" w:rsidRDefault="00B548E6" w:rsidP="0043792B">
                <w:pPr>
                  <w:jc w:val="both"/>
                  <w:rPr>
                    <w:rFonts w:ascii="Verdana" w:hAnsi="Verdana"/>
                    <w:sz w:val="20"/>
                    <w:szCs w:val="20"/>
                    <w:lang w:val="en-GB" w:eastAsia="en-GB"/>
                  </w:rPr>
                </w:pPr>
                <w:r w:rsidRPr="00FF027F">
                  <w:rPr>
                    <w:rFonts w:ascii="Verdana" w:hAnsi="Verdana"/>
                    <w:sz w:val="20"/>
                    <w:szCs w:val="20"/>
                    <w:lang w:val="en-GB"/>
                  </w:rPr>
                  <w:t>AD11</w:t>
                </w:r>
              </w:p>
            </w:tc>
            <w:tc>
              <w:tcPr>
                <w:tcW w:w="7812" w:type="dxa"/>
                <w:tcBorders>
                  <w:top w:val="single" w:sz="4" w:space="0" w:color="auto"/>
                  <w:left w:val="single" w:sz="4" w:space="0" w:color="auto"/>
                  <w:bottom w:val="single" w:sz="4" w:space="0" w:color="auto"/>
                  <w:right w:val="single" w:sz="4" w:space="0" w:color="auto"/>
                </w:tcBorders>
                <w:hideMark/>
              </w:tcPr>
              <w:p w14:paraId="5BB4B869" w14:textId="77777777" w:rsidR="00B548E6" w:rsidRPr="00FF027F" w:rsidRDefault="00B548E6" w:rsidP="0043792B">
                <w:pPr>
                  <w:jc w:val="center"/>
                  <w:rPr>
                    <w:rFonts w:ascii="Verdana" w:hAnsi="Verdana"/>
                    <w:sz w:val="20"/>
                    <w:szCs w:val="20"/>
                    <w:lang w:val="en-GB" w:eastAsia="en-GB"/>
                  </w:rPr>
                </w:pPr>
                <w:r w:rsidRPr="00FF027F">
                  <w:rPr>
                    <w:rFonts w:ascii="Verdana" w:hAnsi="Verdana"/>
                    <w:sz w:val="20"/>
                    <w:szCs w:val="20"/>
                    <w:lang w:val="en-GB"/>
                  </w:rPr>
                  <w:t>1</w:t>
                </w:r>
              </w:p>
            </w:tc>
          </w:tr>
          <w:tr w:rsidR="00B548E6" w:rsidRPr="00FF027F" w14:paraId="1BCCBFE7" w14:textId="77777777" w:rsidTr="0043792B">
            <w:tc>
              <w:tcPr>
                <w:tcW w:w="1260" w:type="dxa"/>
                <w:tcBorders>
                  <w:top w:val="single" w:sz="4" w:space="0" w:color="auto"/>
                  <w:left w:val="single" w:sz="4" w:space="0" w:color="auto"/>
                  <w:bottom w:val="single" w:sz="4" w:space="0" w:color="auto"/>
                  <w:right w:val="single" w:sz="4" w:space="0" w:color="auto"/>
                </w:tcBorders>
                <w:hideMark/>
              </w:tcPr>
              <w:p w14:paraId="67582F40" w14:textId="77777777" w:rsidR="00B548E6" w:rsidRPr="00FF027F" w:rsidRDefault="00B548E6" w:rsidP="0043792B">
                <w:pPr>
                  <w:jc w:val="both"/>
                  <w:rPr>
                    <w:rFonts w:ascii="Verdana" w:hAnsi="Verdana"/>
                    <w:sz w:val="20"/>
                    <w:szCs w:val="20"/>
                    <w:lang w:val="en-GB" w:eastAsia="en-GB"/>
                  </w:rPr>
                </w:pPr>
                <w:r w:rsidRPr="00FF027F">
                  <w:rPr>
                    <w:rFonts w:ascii="Verdana" w:hAnsi="Verdana"/>
                    <w:sz w:val="20"/>
                    <w:szCs w:val="20"/>
                    <w:lang w:val="en-GB"/>
                  </w:rPr>
                  <w:t>AD8</w:t>
                </w:r>
              </w:p>
            </w:tc>
            <w:tc>
              <w:tcPr>
                <w:tcW w:w="7812" w:type="dxa"/>
                <w:tcBorders>
                  <w:top w:val="single" w:sz="4" w:space="0" w:color="auto"/>
                  <w:left w:val="single" w:sz="4" w:space="0" w:color="auto"/>
                  <w:bottom w:val="single" w:sz="4" w:space="0" w:color="auto"/>
                  <w:right w:val="single" w:sz="4" w:space="0" w:color="auto"/>
                </w:tcBorders>
                <w:hideMark/>
              </w:tcPr>
              <w:p w14:paraId="3D19A49C" w14:textId="77777777" w:rsidR="00B548E6" w:rsidRPr="00FF027F" w:rsidRDefault="00B548E6" w:rsidP="0043792B">
                <w:pPr>
                  <w:jc w:val="center"/>
                  <w:rPr>
                    <w:rFonts w:ascii="Verdana" w:hAnsi="Verdana"/>
                    <w:sz w:val="20"/>
                    <w:szCs w:val="20"/>
                    <w:lang w:val="en-GB" w:eastAsia="en-GB"/>
                  </w:rPr>
                </w:pPr>
                <w:r w:rsidRPr="00FF027F">
                  <w:rPr>
                    <w:rFonts w:ascii="Verdana" w:hAnsi="Verdana"/>
                    <w:sz w:val="20"/>
                    <w:szCs w:val="20"/>
                    <w:lang w:val="en-GB"/>
                  </w:rPr>
                  <w:t>3</w:t>
                </w:r>
              </w:p>
            </w:tc>
          </w:tr>
          <w:tr w:rsidR="00B548E6" w:rsidRPr="00FF027F" w14:paraId="395B849F" w14:textId="77777777" w:rsidTr="0043792B">
            <w:tc>
              <w:tcPr>
                <w:tcW w:w="1260" w:type="dxa"/>
                <w:tcBorders>
                  <w:top w:val="single" w:sz="4" w:space="0" w:color="auto"/>
                  <w:left w:val="single" w:sz="4" w:space="0" w:color="auto"/>
                  <w:bottom w:val="single" w:sz="4" w:space="0" w:color="auto"/>
                  <w:right w:val="single" w:sz="4" w:space="0" w:color="auto"/>
                </w:tcBorders>
                <w:hideMark/>
              </w:tcPr>
              <w:p w14:paraId="18EAC27C" w14:textId="77777777" w:rsidR="00B548E6" w:rsidRPr="00FF027F" w:rsidRDefault="00B548E6" w:rsidP="0043792B">
                <w:pPr>
                  <w:jc w:val="both"/>
                  <w:rPr>
                    <w:rFonts w:ascii="Verdana" w:hAnsi="Verdana"/>
                    <w:sz w:val="20"/>
                    <w:szCs w:val="20"/>
                    <w:lang w:val="en-GB" w:eastAsia="en-GB"/>
                  </w:rPr>
                </w:pPr>
                <w:r w:rsidRPr="00FF027F">
                  <w:rPr>
                    <w:rFonts w:ascii="Verdana" w:hAnsi="Verdana"/>
                    <w:sz w:val="20"/>
                    <w:szCs w:val="20"/>
                    <w:lang w:val="en-GB"/>
                  </w:rPr>
                  <w:t>AD7</w:t>
                </w:r>
              </w:p>
            </w:tc>
            <w:tc>
              <w:tcPr>
                <w:tcW w:w="7812" w:type="dxa"/>
                <w:tcBorders>
                  <w:top w:val="single" w:sz="4" w:space="0" w:color="auto"/>
                  <w:left w:val="single" w:sz="4" w:space="0" w:color="auto"/>
                  <w:bottom w:val="single" w:sz="4" w:space="0" w:color="auto"/>
                  <w:right w:val="single" w:sz="4" w:space="0" w:color="auto"/>
                </w:tcBorders>
                <w:hideMark/>
              </w:tcPr>
              <w:p w14:paraId="0133C00E" w14:textId="77777777" w:rsidR="00B548E6" w:rsidRPr="00FF027F" w:rsidRDefault="00B548E6" w:rsidP="0043792B">
                <w:pPr>
                  <w:jc w:val="center"/>
                  <w:rPr>
                    <w:rFonts w:ascii="Verdana" w:hAnsi="Verdana"/>
                    <w:sz w:val="20"/>
                    <w:szCs w:val="20"/>
                    <w:lang w:val="en-GB" w:eastAsia="en-GB"/>
                  </w:rPr>
                </w:pPr>
                <w:r w:rsidRPr="00FF027F">
                  <w:rPr>
                    <w:rFonts w:ascii="Verdana" w:hAnsi="Verdana"/>
                    <w:sz w:val="20"/>
                    <w:szCs w:val="20"/>
                    <w:lang w:val="en-GB"/>
                  </w:rPr>
                  <w:t>6</w:t>
                </w:r>
              </w:p>
            </w:tc>
          </w:tr>
          <w:tr w:rsidR="00B548E6" w:rsidRPr="00FF027F" w14:paraId="39961122" w14:textId="77777777" w:rsidTr="0043792B">
            <w:tc>
              <w:tcPr>
                <w:tcW w:w="1260" w:type="dxa"/>
                <w:tcBorders>
                  <w:top w:val="single" w:sz="4" w:space="0" w:color="auto"/>
                  <w:left w:val="single" w:sz="4" w:space="0" w:color="auto"/>
                  <w:bottom w:val="single" w:sz="4" w:space="0" w:color="auto"/>
                  <w:right w:val="single" w:sz="4" w:space="0" w:color="auto"/>
                </w:tcBorders>
                <w:hideMark/>
              </w:tcPr>
              <w:p w14:paraId="06FB8FB3" w14:textId="77777777" w:rsidR="00B548E6" w:rsidRPr="00FF027F" w:rsidRDefault="00B548E6" w:rsidP="0043792B">
                <w:pPr>
                  <w:jc w:val="both"/>
                  <w:rPr>
                    <w:rFonts w:ascii="Verdana" w:hAnsi="Verdana"/>
                    <w:sz w:val="20"/>
                    <w:szCs w:val="20"/>
                    <w:lang w:val="en-GB" w:eastAsia="en-GB"/>
                  </w:rPr>
                </w:pPr>
                <w:r w:rsidRPr="00FF027F">
                  <w:rPr>
                    <w:rFonts w:ascii="Verdana" w:hAnsi="Verdana"/>
                    <w:sz w:val="20"/>
                    <w:szCs w:val="20"/>
                    <w:lang w:val="en-GB"/>
                  </w:rPr>
                  <w:t>AD5</w:t>
                </w:r>
              </w:p>
            </w:tc>
            <w:tc>
              <w:tcPr>
                <w:tcW w:w="7812" w:type="dxa"/>
                <w:tcBorders>
                  <w:top w:val="single" w:sz="4" w:space="0" w:color="auto"/>
                  <w:left w:val="single" w:sz="4" w:space="0" w:color="auto"/>
                  <w:bottom w:val="single" w:sz="4" w:space="0" w:color="auto"/>
                  <w:right w:val="single" w:sz="4" w:space="0" w:color="auto"/>
                </w:tcBorders>
                <w:hideMark/>
              </w:tcPr>
              <w:p w14:paraId="7BC46CFD" w14:textId="77777777" w:rsidR="00B548E6" w:rsidRPr="00FF027F" w:rsidRDefault="00B548E6" w:rsidP="0043792B">
                <w:pPr>
                  <w:jc w:val="center"/>
                  <w:rPr>
                    <w:rFonts w:ascii="Verdana" w:hAnsi="Verdana"/>
                    <w:sz w:val="20"/>
                    <w:szCs w:val="20"/>
                    <w:lang w:val="en-GB" w:eastAsia="en-GB"/>
                  </w:rPr>
                </w:pPr>
                <w:r w:rsidRPr="00FF027F">
                  <w:rPr>
                    <w:rFonts w:ascii="Verdana" w:hAnsi="Verdana"/>
                    <w:sz w:val="20"/>
                    <w:szCs w:val="20"/>
                    <w:lang w:val="en-GB"/>
                  </w:rPr>
                  <w:t>15</w:t>
                </w:r>
              </w:p>
            </w:tc>
          </w:tr>
          <w:tr w:rsidR="00B548E6" w:rsidRPr="00FF027F" w14:paraId="5C985348" w14:textId="77777777" w:rsidTr="0043792B">
            <w:tc>
              <w:tcPr>
                <w:tcW w:w="1260" w:type="dxa"/>
                <w:tcBorders>
                  <w:top w:val="single" w:sz="4" w:space="0" w:color="auto"/>
                  <w:left w:val="single" w:sz="4" w:space="0" w:color="auto"/>
                  <w:bottom w:val="single" w:sz="4" w:space="0" w:color="auto"/>
                  <w:right w:val="single" w:sz="4" w:space="0" w:color="auto"/>
                </w:tcBorders>
                <w:hideMark/>
              </w:tcPr>
              <w:p w14:paraId="4D1C1C7E" w14:textId="77777777" w:rsidR="00B548E6" w:rsidRPr="00FF027F" w:rsidRDefault="00B548E6" w:rsidP="0043792B">
                <w:pPr>
                  <w:jc w:val="both"/>
                  <w:rPr>
                    <w:rFonts w:ascii="Verdana" w:hAnsi="Verdana"/>
                    <w:sz w:val="20"/>
                    <w:szCs w:val="20"/>
                    <w:lang w:val="en-GB" w:eastAsia="en-GB"/>
                  </w:rPr>
                </w:pPr>
                <w:r w:rsidRPr="00FF027F">
                  <w:rPr>
                    <w:rFonts w:ascii="Verdana" w:hAnsi="Verdana"/>
                    <w:sz w:val="20"/>
                    <w:szCs w:val="20"/>
                    <w:lang w:val="en-GB"/>
                  </w:rPr>
                  <w:t>AST4</w:t>
                </w:r>
              </w:p>
            </w:tc>
            <w:tc>
              <w:tcPr>
                <w:tcW w:w="7812" w:type="dxa"/>
                <w:tcBorders>
                  <w:top w:val="single" w:sz="4" w:space="0" w:color="auto"/>
                  <w:left w:val="single" w:sz="4" w:space="0" w:color="auto"/>
                  <w:bottom w:val="single" w:sz="4" w:space="0" w:color="auto"/>
                  <w:right w:val="single" w:sz="4" w:space="0" w:color="auto"/>
                </w:tcBorders>
                <w:hideMark/>
              </w:tcPr>
              <w:p w14:paraId="4A7DF121" w14:textId="77777777" w:rsidR="00B548E6" w:rsidRPr="00FF027F" w:rsidRDefault="00B548E6" w:rsidP="0043792B">
                <w:pPr>
                  <w:jc w:val="center"/>
                  <w:rPr>
                    <w:rFonts w:ascii="Verdana" w:hAnsi="Verdana"/>
                    <w:sz w:val="20"/>
                    <w:szCs w:val="20"/>
                    <w:lang w:val="en-GB" w:eastAsia="en-GB"/>
                  </w:rPr>
                </w:pPr>
                <w:r w:rsidRPr="00FF027F">
                  <w:rPr>
                    <w:rFonts w:ascii="Verdana" w:hAnsi="Verdana"/>
                    <w:sz w:val="20"/>
                    <w:szCs w:val="20"/>
                    <w:lang w:val="en-GB"/>
                  </w:rPr>
                  <w:t>1</w:t>
                </w:r>
              </w:p>
            </w:tc>
          </w:tr>
          <w:tr w:rsidR="00B548E6" w:rsidRPr="00FF027F" w14:paraId="5D3968BC" w14:textId="77777777" w:rsidTr="0043792B">
            <w:tc>
              <w:tcPr>
                <w:tcW w:w="1260" w:type="dxa"/>
                <w:tcBorders>
                  <w:top w:val="single" w:sz="4" w:space="0" w:color="auto"/>
                  <w:left w:val="single" w:sz="4" w:space="0" w:color="auto"/>
                  <w:bottom w:val="single" w:sz="4" w:space="0" w:color="auto"/>
                  <w:right w:val="single" w:sz="4" w:space="0" w:color="auto"/>
                </w:tcBorders>
                <w:hideMark/>
              </w:tcPr>
              <w:p w14:paraId="5ABFD842" w14:textId="77777777" w:rsidR="00B548E6" w:rsidRPr="00FF027F" w:rsidRDefault="00B548E6" w:rsidP="0043792B">
                <w:pPr>
                  <w:jc w:val="both"/>
                  <w:rPr>
                    <w:rFonts w:ascii="Verdana" w:hAnsi="Verdana"/>
                    <w:sz w:val="20"/>
                    <w:szCs w:val="20"/>
                    <w:lang w:val="en-GB" w:eastAsia="en-GB"/>
                  </w:rPr>
                </w:pPr>
                <w:r w:rsidRPr="00FF027F">
                  <w:rPr>
                    <w:rFonts w:ascii="Verdana" w:hAnsi="Verdana"/>
                    <w:sz w:val="20"/>
                    <w:szCs w:val="20"/>
                    <w:lang w:val="en-GB"/>
                  </w:rPr>
                  <w:t>AST3</w:t>
                </w:r>
              </w:p>
            </w:tc>
            <w:tc>
              <w:tcPr>
                <w:tcW w:w="7812" w:type="dxa"/>
                <w:tcBorders>
                  <w:top w:val="single" w:sz="4" w:space="0" w:color="auto"/>
                  <w:left w:val="single" w:sz="4" w:space="0" w:color="auto"/>
                  <w:bottom w:val="single" w:sz="4" w:space="0" w:color="auto"/>
                  <w:right w:val="single" w:sz="4" w:space="0" w:color="auto"/>
                </w:tcBorders>
                <w:hideMark/>
              </w:tcPr>
              <w:p w14:paraId="0CD8336C" w14:textId="77777777" w:rsidR="00B548E6" w:rsidRPr="00FF027F" w:rsidRDefault="00B548E6" w:rsidP="0043792B">
                <w:pPr>
                  <w:jc w:val="center"/>
                  <w:rPr>
                    <w:rFonts w:ascii="Verdana" w:hAnsi="Verdana"/>
                    <w:sz w:val="20"/>
                    <w:szCs w:val="20"/>
                    <w:lang w:val="en-GB" w:eastAsia="en-GB"/>
                  </w:rPr>
                </w:pPr>
                <w:r w:rsidRPr="00FF027F">
                  <w:rPr>
                    <w:rFonts w:ascii="Verdana" w:hAnsi="Verdana"/>
                    <w:sz w:val="20"/>
                    <w:szCs w:val="20"/>
                    <w:lang w:val="en-GB"/>
                  </w:rPr>
                  <w:t>4</w:t>
                </w:r>
              </w:p>
            </w:tc>
          </w:tr>
        </w:tbl>
        <w:p w14:paraId="7E73DE77" w14:textId="77777777" w:rsidR="00B548E6" w:rsidRPr="00FF027F" w:rsidRDefault="00B548E6" w:rsidP="00B548E6">
          <w:pPr>
            <w:rPr>
              <w:rFonts w:ascii="Verdana" w:hAnsi="Verdana"/>
              <w:sz w:val="20"/>
              <w:szCs w:val="20"/>
              <w:lang w:val="en-GB" w:eastAsia="en-GB"/>
            </w:rPr>
          </w:pPr>
        </w:p>
        <w:p w14:paraId="3E2A8A32" w14:textId="77777777" w:rsidR="001C68B9" w:rsidRPr="00FF027F" w:rsidRDefault="006F1FFD" w:rsidP="002241FB">
          <w:pPr>
            <w:spacing w:before="360" w:after="240" w:line="360" w:lineRule="auto"/>
            <w:ind w:firstLine="720"/>
            <w:jc w:val="both"/>
            <w:rPr>
              <w:rFonts w:ascii="Arial" w:hAnsi="Arial" w:cs="Arial"/>
              <w:b/>
              <w:lang w:val="en-GB"/>
            </w:rPr>
          </w:pPr>
          <w:r w:rsidRPr="00FF027F">
            <w:rPr>
              <w:rFonts w:ascii="Arial" w:hAnsi="Arial" w:cs="Arial"/>
              <w:b/>
              <w:lang w:val="en-GB"/>
            </w:rPr>
            <w:t>TEN-</w:t>
          </w:r>
          <w:r w:rsidR="001C68B9" w:rsidRPr="00FF027F">
            <w:rPr>
              <w:rFonts w:ascii="Arial" w:hAnsi="Arial" w:cs="Arial"/>
              <w:b/>
              <w:lang w:val="en-GB"/>
            </w:rPr>
            <w:t>E</w:t>
          </w:r>
          <w:r w:rsidRPr="00FF027F">
            <w:rPr>
              <w:rFonts w:ascii="Arial" w:hAnsi="Arial" w:cs="Arial"/>
              <w:b/>
              <w:lang w:val="en-GB"/>
            </w:rPr>
            <w:t xml:space="preserve"> Regulation</w:t>
          </w:r>
        </w:p>
        <w:p w14:paraId="01046986" w14:textId="77777777" w:rsidR="001C68B9" w:rsidRPr="00FF027F" w:rsidRDefault="001C68B9" w:rsidP="0088393C">
          <w:pPr>
            <w:spacing w:before="360" w:after="240" w:line="360" w:lineRule="auto"/>
            <w:jc w:val="both"/>
            <w:rPr>
              <w:rFonts w:ascii="Arial" w:hAnsi="Arial" w:cs="Arial"/>
              <w:lang w:val="en-GB"/>
            </w:rPr>
          </w:pPr>
          <w:r w:rsidRPr="00FF027F">
            <w:rPr>
              <w:rFonts w:ascii="Arial" w:hAnsi="Arial" w:cs="Arial"/>
              <w:lang w:val="en-GB"/>
            </w:rPr>
            <w:t xml:space="preserve">The following constitutes the minimum expertise required for the performance of </w:t>
          </w:r>
          <w:r w:rsidR="0088393C" w:rsidRPr="00FF027F">
            <w:rPr>
              <w:rFonts w:ascii="Arial" w:hAnsi="Arial" w:cs="Arial"/>
              <w:lang w:val="en-GB"/>
            </w:rPr>
            <w:t xml:space="preserve">the Agency’s </w:t>
          </w:r>
          <w:r w:rsidRPr="00FF027F">
            <w:rPr>
              <w:rFonts w:ascii="Arial" w:hAnsi="Arial" w:cs="Arial"/>
              <w:lang w:val="en-GB"/>
            </w:rPr>
            <w:t>functions and tasks defined by the TEN-E Regulation:</w:t>
          </w:r>
        </w:p>
        <w:p w14:paraId="2150E67D" w14:textId="77777777" w:rsidR="001C68B9" w:rsidRPr="00FF027F" w:rsidRDefault="001C68B9" w:rsidP="006D214F">
          <w:pPr>
            <w:pStyle w:val="ListParagraph"/>
            <w:numPr>
              <w:ilvl w:val="0"/>
              <w:numId w:val="36"/>
            </w:numPr>
            <w:spacing w:before="360" w:after="240" w:line="360" w:lineRule="auto"/>
            <w:ind w:left="0" w:firstLine="0"/>
            <w:jc w:val="both"/>
            <w:rPr>
              <w:rFonts w:ascii="Arial" w:hAnsi="Arial" w:cs="Arial"/>
              <w:lang w:val="en-GB"/>
            </w:rPr>
          </w:pPr>
          <w:r w:rsidRPr="00FF027F">
            <w:rPr>
              <w:rFonts w:ascii="Arial" w:hAnsi="Arial" w:cs="Arial"/>
              <w:lang w:val="en-GB"/>
            </w:rPr>
            <w:t>Regulatory expertise at European and national level, particularly regarding gas and electricity network regulation;</w:t>
          </w:r>
        </w:p>
        <w:p w14:paraId="37A714B7" w14:textId="77777777" w:rsidR="001C68B9" w:rsidRPr="00FF027F" w:rsidRDefault="001C68B9" w:rsidP="006D214F">
          <w:pPr>
            <w:pStyle w:val="ListParagraph"/>
            <w:numPr>
              <w:ilvl w:val="0"/>
              <w:numId w:val="36"/>
            </w:numPr>
            <w:spacing w:before="360" w:after="240" w:line="360" w:lineRule="auto"/>
            <w:ind w:left="0" w:firstLine="0"/>
            <w:jc w:val="both"/>
            <w:rPr>
              <w:rFonts w:ascii="Arial" w:hAnsi="Arial" w:cs="Arial"/>
              <w:lang w:val="en-GB"/>
            </w:rPr>
          </w:pPr>
          <w:r w:rsidRPr="00FF027F">
            <w:rPr>
              <w:rFonts w:ascii="Arial" w:hAnsi="Arial" w:cs="Arial"/>
              <w:lang w:val="en-GB"/>
            </w:rPr>
            <w:t>Experience in pre-investment project analysis (feasibility studies, investment risk analysis, project assessment and reporting) regarding technical, economic, and financial aspects of large-scale projects;</w:t>
          </w:r>
        </w:p>
        <w:p w14:paraId="789A1C03" w14:textId="69FD95A2" w:rsidR="00891E3F" w:rsidRPr="00FF027F" w:rsidDel="00891E3F" w:rsidRDefault="001C68B9" w:rsidP="00891E3F">
          <w:pPr>
            <w:pStyle w:val="ListParagraph"/>
            <w:numPr>
              <w:ilvl w:val="0"/>
              <w:numId w:val="36"/>
            </w:numPr>
            <w:spacing w:before="360" w:after="240" w:line="360" w:lineRule="auto"/>
            <w:ind w:left="0" w:firstLine="0"/>
            <w:jc w:val="both"/>
            <w:rPr>
              <w:rFonts w:ascii="Arial" w:hAnsi="Arial" w:cs="Arial"/>
              <w:lang w:val="en-GB"/>
            </w:rPr>
          </w:pPr>
          <w:r w:rsidRPr="00FF027F">
            <w:rPr>
              <w:rFonts w:ascii="Arial" w:hAnsi="Arial" w:cs="Arial"/>
              <w:lang w:val="en-GB"/>
            </w:rPr>
            <w:t>Ability to review and execute cost analyses (such as cost-benefit analysis and cross-border cost allocation)</w:t>
          </w:r>
          <w:r w:rsidR="00891E3F" w:rsidRPr="00FF027F">
            <w:rPr>
              <w:rFonts w:ascii="Arial" w:hAnsi="Arial" w:cs="Arial"/>
              <w:lang w:val="en-GB"/>
            </w:rPr>
            <w:t>.</w:t>
          </w:r>
        </w:p>
        <w:p w14:paraId="5432828B" w14:textId="77777777" w:rsidR="001C68B9" w:rsidRPr="00FF027F" w:rsidRDefault="001C68B9" w:rsidP="0088393C">
          <w:pPr>
            <w:spacing w:before="360" w:after="240" w:line="360" w:lineRule="auto"/>
            <w:jc w:val="both"/>
            <w:rPr>
              <w:rFonts w:ascii="Arial" w:hAnsi="Arial" w:cs="Arial"/>
              <w:lang w:val="en-GB"/>
            </w:rPr>
          </w:pPr>
          <w:r w:rsidRPr="00FF027F">
            <w:rPr>
              <w:rFonts w:ascii="Arial" w:hAnsi="Arial" w:cs="Arial"/>
              <w:lang w:val="en-GB"/>
            </w:rPr>
            <w:t xml:space="preserve">Such expertise is required separately for the electricity and the gas sectors, since the two sectors and the projects which will be put to the attention of the Agency are different in terms of technology, economics, risks, investment frameworks and other key aspects. </w:t>
          </w:r>
        </w:p>
        <w:p w14:paraId="30C6DE72" w14:textId="1C8029B5" w:rsidR="000D0E9D" w:rsidRPr="00FF027F" w:rsidRDefault="0088393C" w:rsidP="0088393C">
          <w:pPr>
            <w:spacing w:before="360" w:after="240" w:line="360" w:lineRule="auto"/>
            <w:jc w:val="both"/>
            <w:rPr>
              <w:rFonts w:ascii="Arial" w:hAnsi="Arial" w:cs="Arial"/>
              <w:lang w:val="en-GB"/>
            </w:rPr>
          </w:pPr>
          <w:r w:rsidRPr="00FF027F">
            <w:rPr>
              <w:rFonts w:ascii="Arial" w:hAnsi="Arial" w:cs="Arial"/>
              <w:lang w:val="en-GB"/>
            </w:rPr>
            <w:t>According to the Agency’s assessment,</w:t>
          </w:r>
          <w:r w:rsidR="000D0E9D" w:rsidRPr="00FF027F">
            <w:rPr>
              <w:rFonts w:ascii="Arial" w:hAnsi="Arial" w:cs="Arial"/>
              <w:lang w:val="en-GB"/>
            </w:rPr>
            <w:t xml:space="preserve"> </w:t>
          </w:r>
          <w:r w:rsidRPr="00FF027F">
            <w:rPr>
              <w:rFonts w:ascii="Arial" w:hAnsi="Arial" w:cs="Arial"/>
              <w:lang w:val="en-GB"/>
            </w:rPr>
            <w:t xml:space="preserve">at least 14 FTEs are needed </w:t>
          </w:r>
          <w:r w:rsidR="000D0E9D" w:rsidRPr="00FF027F">
            <w:rPr>
              <w:rFonts w:ascii="Arial" w:hAnsi="Arial" w:cs="Arial"/>
              <w:lang w:val="en-GB"/>
            </w:rPr>
            <w:t>to ensure full cover</w:t>
          </w:r>
          <w:r w:rsidRPr="00FF027F">
            <w:rPr>
              <w:rFonts w:ascii="Arial" w:hAnsi="Arial" w:cs="Arial"/>
              <w:lang w:val="en-GB"/>
            </w:rPr>
            <w:t xml:space="preserve">age of the tasks, divided equally between </w:t>
          </w:r>
          <w:r w:rsidR="000D0E9D" w:rsidRPr="00FF027F">
            <w:rPr>
              <w:rFonts w:ascii="Arial" w:hAnsi="Arial" w:cs="Arial"/>
              <w:lang w:val="en-GB"/>
            </w:rPr>
            <w:t>the electricity and gas sectors</w:t>
          </w:r>
          <w:r w:rsidRPr="00FF027F">
            <w:rPr>
              <w:rFonts w:ascii="Arial" w:hAnsi="Arial" w:cs="Arial"/>
              <w:lang w:val="en-GB"/>
            </w:rPr>
            <w:t>.</w:t>
          </w:r>
          <w:r w:rsidR="000D0E9D" w:rsidRPr="00FF027F">
            <w:rPr>
              <w:rFonts w:ascii="Arial" w:hAnsi="Arial" w:cs="Arial"/>
              <w:lang w:val="en-GB"/>
            </w:rPr>
            <w:t xml:space="preserve"> In 2014, 5 additional posts </w:t>
          </w:r>
          <w:r w:rsidRPr="00FF027F">
            <w:rPr>
              <w:rFonts w:ascii="Arial" w:hAnsi="Arial" w:cs="Arial"/>
              <w:lang w:val="en-GB"/>
            </w:rPr>
            <w:t xml:space="preserve">were </w:t>
          </w:r>
          <w:r w:rsidR="000D0E9D" w:rsidRPr="00FF027F">
            <w:rPr>
              <w:rFonts w:ascii="Arial" w:hAnsi="Arial" w:cs="Arial"/>
              <w:lang w:val="en-GB"/>
            </w:rPr>
            <w:t>authori</w:t>
          </w:r>
          <w:r w:rsidR="0021711A" w:rsidRPr="00FF027F">
            <w:rPr>
              <w:rFonts w:ascii="Arial" w:hAnsi="Arial" w:cs="Arial"/>
              <w:lang w:val="en-GB"/>
            </w:rPr>
            <w:t>s</w:t>
          </w:r>
          <w:r w:rsidR="000D0E9D" w:rsidRPr="00FF027F">
            <w:rPr>
              <w:rFonts w:ascii="Arial" w:hAnsi="Arial" w:cs="Arial"/>
              <w:lang w:val="en-GB"/>
            </w:rPr>
            <w:t xml:space="preserve">ed. </w:t>
          </w:r>
          <w:r w:rsidRPr="00FF027F">
            <w:rPr>
              <w:rFonts w:ascii="Arial" w:hAnsi="Arial" w:cs="Arial"/>
              <w:lang w:val="en-GB"/>
            </w:rPr>
            <w:t>T</w:t>
          </w:r>
          <w:r w:rsidR="000D0E9D" w:rsidRPr="00FF027F">
            <w:rPr>
              <w:rFonts w:ascii="Arial" w:hAnsi="Arial" w:cs="Arial"/>
              <w:lang w:val="en-GB"/>
            </w:rPr>
            <w:t xml:space="preserve">he European Commission indicated that the Agency may be able to avail itself of the support of the </w:t>
          </w:r>
          <w:r w:rsidR="00891E3F" w:rsidRPr="00FF027F">
            <w:rPr>
              <w:rFonts w:ascii="Arial" w:hAnsi="Arial" w:cs="Arial"/>
              <w:lang w:val="en-GB"/>
            </w:rPr>
            <w:t xml:space="preserve">Innovation </w:t>
          </w:r>
          <w:r w:rsidR="00AB2645" w:rsidRPr="00FF027F">
            <w:rPr>
              <w:rFonts w:ascii="Arial" w:hAnsi="Arial" w:cs="Arial"/>
              <w:lang w:val="en-GB"/>
            </w:rPr>
            <w:t>and</w:t>
          </w:r>
          <w:r w:rsidR="00891E3F" w:rsidRPr="00FF027F">
            <w:rPr>
              <w:rFonts w:ascii="Arial" w:hAnsi="Arial" w:cs="Arial"/>
              <w:lang w:val="en-GB"/>
            </w:rPr>
            <w:t xml:space="preserve"> Networks Executive Agency (INEA)</w:t>
          </w:r>
          <w:r w:rsidR="000D0E9D" w:rsidRPr="00FF027F">
            <w:rPr>
              <w:rFonts w:ascii="Arial" w:hAnsi="Arial" w:cs="Arial"/>
              <w:lang w:val="en-GB"/>
            </w:rPr>
            <w:t xml:space="preserve"> for the monitoring of PCIs, although the details and conditions of such collaboration are</w:t>
          </w:r>
          <w:r w:rsidR="004C04AF" w:rsidRPr="00FF027F">
            <w:rPr>
              <w:rFonts w:ascii="Arial" w:hAnsi="Arial" w:cs="Arial"/>
              <w:lang w:val="en-GB"/>
            </w:rPr>
            <w:t xml:space="preserve"> still to be worked out. On the</w:t>
          </w:r>
          <w:r w:rsidR="000D0E9D" w:rsidRPr="00FF027F">
            <w:rPr>
              <w:rFonts w:ascii="Arial" w:hAnsi="Arial" w:cs="Arial"/>
              <w:lang w:val="en-GB"/>
            </w:rPr>
            <w:t xml:space="preserve"> basis</w:t>
          </w:r>
          <w:r w:rsidR="004C04AF" w:rsidRPr="00FF027F">
            <w:rPr>
              <w:rFonts w:ascii="Arial" w:hAnsi="Arial" w:cs="Arial"/>
              <w:lang w:val="en-GB"/>
            </w:rPr>
            <w:t xml:space="preserve"> of th</w:t>
          </w:r>
          <w:r w:rsidR="00667E33" w:rsidRPr="00FF027F">
            <w:rPr>
              <w:rFonts w:ascii="Arial" w:hAnsi="Arial" w:cs="Arial"/>
              <w:lang w:val="en-GB"/>
            </w:rPr>
            <w:t xml:space="preserve">is expected support from INEA, the Agency has reassessed its resource requirements (with respect to the estimates presented in the 2014 Work Programme) and, taking into account the 5 extra posts authorised in 2014, it now considers that </w:t>
          </w:r>
          <w:r w:rsidR="000D0E9D" w:rsidRPr="00FF027F">
            <w:rPr>
              <w:rFonts w:ascii="Arial" w:hAnsi="Arial" w:cs="Arial"/>
              <w:lang w:val="en-GB"/>
            </w:rPr>
            <w:t xml:space="preserve">6 </w:t>
          </w:r>
          <w:r w:rsidR="00667E33" w:rsidRPr="00FF027F">
            <w:rPr>
              <w:rFonts w:ascii="Arial" w:hAnsi="Arial" w:cs="Arial"/>
              <w:lang w:val="en-GB"/>
            </w:rPr>
            <w:t>additional posts -</w:t>
          </w:r>
          <w:r w:rsidR="000D0E9D" w:rsidRPr="00FF027F">
            <w:rPr>
              <w:rFonts w:ascii="Arial" w:hAnsi="Arial" w:cs="Arial"/>
              <w:lang w:val="en-GB"/>
            </w:rPr>
            <w:t xml:space="preserve"> of which 4 </w:t>
          </w:r>
          <w:r w:rsidR="00667E33" w:rsidRPr="00FF027F">
            <w:rPr>
              <w:rFonts w:ascii="Arial" w:hAnsi="Arial" w:cs="Arial"/>
              <w:lang w:val="en-GB"/>
            </w:rPr>
            <w:t xml:space="preserve">for </w:t>
          </w:r>
          <w:r w:rsidR="000D0E9D" w:rsidRPr="00FF027F">
            <w:rPr>
              <w:rFonts w:ascii="Arial" w:hAnsi="Arial" w:cs="Arial"/>
              <w:lang w:val="en-GB"/>
            </w:rPr>
            <w:t xml:space="preserve">experts and 2 </w:t>
          </w:r>
          <w:r w:rsidR="00667E33" w:rsidRPr="00FF027F">
            <w:rPr>
              <w:rFonts w:ascii="Arial" w:hAnsi="Arial" w:cs="Arial"/>
              <w:lang w:val="en-GB"/>
            </w:rPr>
            <w:t xml:space="preserve">for </w:t>
          </w:r>
          <w:r w:rsidR="000D0E9D" w:rsidRPr="00FF027F">
            <w:rPr>
              <w:rFonts w:ascii="Arial" w:hAnsi="Arial" w:cs="Arial"/>
              <w:lang w:val="en-GB"/>
            </w:rPr>
            <w:t>speciali</w:t>
          </w:r>
          <w:r w:rsidR="00891E3F" w:rsidRPr="00FF027F">
            <w:rPr>
              <w:rFonts w:ascii="Arial" w:hAnsi="Arial" w:cs="Arial"/>
              <w:lang w:val="en-GB"/>
            </w:rPr>
            <w:t>s</w:t>
          </w:r>
          <w:r w:rsidR="000D0E9D" w:rsidRPr="00FF027F">
            <w:rPr>
              <w:rFonts w:ascii="Arial" w:hAnsi="Arial" w:cs="Arial"/>
              <w:lang w:val="en-GB"/>
            </w:rPr>
            <w:t>ed IT support staff</w:t>
          </w:r>
          <w:r w:rsidR="00667E33" w:rsidRPr="00FF027F">
            <w:rPr>
              <w:rFonts w:ascii="Arial" w:hAnsi="Arial" w:cs="Arial"/>
              <w:lang w:val="en-GB"/>
            </w:rPr>
            <w:t xml:space="preserve"> - are still required f</w:t>
          </w:r>
          <w:r w:rsidR="00BB16BC" w:rsidRPr="00FF027F">
            <w:rPr>
              <w:rFonts w:ascii="Arial" w:hAnsi="Arial" w:cs="Arial"/>
              <w:lang w:val="en-GB"/>
            </w:rPr>
            <w:t>o</w:t>
          </w:r>
          <w:r w:rsidR="00667E33" w:rsidRPr="00FF027F">
            <w:rPr>
              <w:rFonts w:ascii="Arial" w:hAnsi="Arial" w:cs="Arial"/>
              <w:lang w:val="en-GB"/>
            </w:rPr>
            <w:t>r the full implementation of the TEN-E Regulation</w:t>
          </w:r>
          <w:r w:rsidR="000D0E9D" w:rsidRPr="00FF027F">
            <w:rPr>
              <w:rFonts w:ascii="Arial" w:hAnsi="Arial" w:cs="Arial"/>
              <w:lang w:val="en-GB"/>
            </w:rPr>
            <w:t xml:space="preserve">. </w:t>
          </w:r>
        </w:p>
        <w:p w14:paraId="58508DFC" w14:textId="77777777" w:rsidR="000D0E9D" w:rsidRPr="00FF027F" w:rsidRDefault="000D0E9D" w:rsidP="0088393C">
          <w:pPr>
            <w:spacing w:before="360" w:after="240" w:line="360" w:lineRule="auto"/>
            <w:jc w:val="both"/>
            <w:rPr>
              <w:rFonts w:ascii="Arial" w:hAnsi="Arial" w:cs="Arial"/>
              <w:lang w:val="en-GB"/>
            </w:rPr>
          </w:pPr>
          <w:r w:rsidRPr="00FF027F">
            <w:rPr>
              <w:rFonts w:ascii="Arial" w:hAnsi="Arial" w:cs="Arial"/>
              <w:lang w:val="en-GB"/>
            </w:rPr>
            <w:t>The additional staff will be assigned to the Electricity and Gas Departments and are expected to be graded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868"/>
            <w:gridCol w:w="3795"/>
          </w:tblGrid>
          <w:tr w:rsidR="000D0E9D" w:rsidRPr="00FF027F" w14:paraId="03D9B4FA" w14:textId="77777777" w:rsidTr="00801D28">
            <w:tc>
              <w:tcPr>
                <w:tcW w:w="1260" w:type="dxa"/>
                <w:tcBorders>
                  <w:top w:val="single" w:sz="4" w:space="0" w:color="auto"/>
                  <w:left w:val="single" w:sz="4" w:space="0" w:color="auto"/>
                  <w:bottom w:val="single" w:sz="4" w:space="0" w:color="auto"/>
                  <w:right w:val="single" w:sz="4" w:space="0" w:color="auto"/>
                </w:tcBorders>
                <w:hideMark/>
              </w:tcPr>
              <w:p w14:paraId="2563DCD5" w14:textId="77777777" w:rsidR="000D0E9D" w:rsidRPr="00FF027F" w:rsidRDefault="000D0E9D">
                <w:pPr>
                  <w:jc w:val="both"/>
                  <w:rPr>
                    <w:rFonts w:ascii="Verdana" w:hAnsi="Verdana"/>
                    <w:b/>
                    <w:sz w:val="20"/>
                    <w:szCs w:val="20"/>
                    <w:lang w:val="en-GB" w:eastAsia="en-GB"/>
                  </w:rPr>
                </w:pPr>
                <w:r w:rsidRPr="00FF027F">
                  <w:rPr>
                    <w:rFonts w:ascii="Verdana" w:hAnsi="Verdana"/>
                    <w:b/>
                    <w:sz w:val="20"/>
                    <w:szCs w:val="20"/>
                    <w:lang w:val="en-GB"/>
                  </w:rPr>
                  <w:t>Grade</w:t>
                </w:r>
              </w:p>
            </w:tc>
            <w:tc>
              <w:tcPr>
                <w:tcW w:w="3960" w:type="dxa"/>
                <w:tcBorders>
                  <w:top w:val="single" w:sz="4" w:space="0" w:color="auto"/>
                  <w:left w:val="single" w:sz="4" w:space="0" w:color="auto"/>
                  <w:bottom w:val="single" w:sz="4" w:space="0" w:color="auto"/>
                  <w:right w:val="single" w:sz="4" w:space="0" w:color="auto"/>
                </w:tcBorders>
                <w:hideMark/>
              </w:tcPr>
              <w:p w14:paraId="031B9A85" w14:textId="77777777" w:rsidR="000D0E9D" w:rsidRPr="00FF027F" w:rsidRDefault="000D0E9D">
                <w:pPr>
                  <w:jc w:val="center"/>
                  <w:rPr>
                    <w:rFonts w:ascii="Verdana" w:hAnsi="Verdana"/>
                    <w:b/>
                    <w:sz w:val="20"/>
                    <w:szCs w:val="20"/>
                    <w:lang w:val="en-GB" w:eastAsia="en-GB"/>
                  </w:rPr>
                </w:pPr>
                <w:r w:rsidRPr="00FF027F">
                  <w:rPr>
                    <w:rFonts w:ascii="Verdana" w:hAnsi="Verdana"/>
                    <w:b/>
                    <w:sz w:val="20"/>
                    <w:szCs w:val="20"/>
                    <w:lang w:val="en-GB"/>
                  </w:rPr>
                  <w:t>TAs for the Electricity Department</w:t>
                </w:r>
              </w:p>
            </w:tc>
            <w:tc>
              <w:tcPr>
                <w:tcW w:w="3884" w:type="dxa"/>
                <w:tcBorders>
                  <w:top w:val="single" w:sz="4" w:space="0" w:color="auto"/>
                  <w:left w:val="single" w:sz="4" w:space="0" w:color="auto"/>
                  <w:bottom w:val="single" w:sz="4" w:space="0" w:color="auto"/>
                  <w:right w:val="single" w:sz="4" w:space="0" w:color="auto"/>
                </w:tcBorders>
                <w:hideMark/>
              </w:tcPr>
              <w:p w14:paraId="55038A33" w14:textId="77777777" w:rsidR="000D0E9D" w:rsidRPr="00FF027F" w:rsidRDefault="000D0E9D">
                <w:pPr>
                  <w:jc w:val="center"/>
                  <w:rPr>
                    <w:rFonts w:ascii="Verdana" w:hAnsi="Verdana"/>
                    <w:b/>
                    <w:sz w:val="20"/>
                    <w:szCs w:val="20"/>
                    <w:lang w:val="en-GB" w:eastAsia="en-GB"/>
                  </w:rPr>
                </w:pPr>
                <w:r w:rsidRPr="00FF027F">
                  <w:rPr>
                    <w:rFonts w:ascii="Verdana" w:hAnsi="Verdana"/>
                    <w:b/>
                    <w:sz w:val="20"/>
                    <w:szCs w:val="20"/>
                    <w:lang w:val="en-GB"/>
                  </w:rPr>
                  <w:t>TAs for the Gas Department</w:t>
                </w:r>
              </w:p>
            </w:tc>
          </w:tr>
          <w:tr w:rsidR="000D0E9D" w:rsidRPr="00FF027F" w14:paraId="7291964F" w14:textId="77777777" w:rsidTr="00801D28">
            <w:tc>
              <w:tcPr>
                <w:tcW w:w="1260" w:type="dxa"/>
                <w:tcBorders>
                  <w:top w:val="single" w:sz="4" w:space="0" w:color="auto"/>
                  <w:left w:val="single" w:sz="4" w:space="0" w:color="auto"/>
                  <w:bottom w:val="single" w:sz="4" w:space="0" w:color="auto"/>
                  <w:right w:val="single" w:sz="4" w:space="0" w:color="auto"/>
                </w:tcBorders>
                <w:hideMark/>
              </w:tcPr>
              <w:p w14:paraId="52009B42" w14:textId="77777777" w:rsidR="000D0E9D" w:rsidRPr="00FF027F" w:rsidRDefault="000D0E9D">
                <w:pPr>
                  <w:jc w:val="both"/>
                  <w:rPr>
                    <w:rFonts w:ascii="Verdana" w:hAnsi="Verdana"/>
                    <w:sz w:val="20"/>
                    <w:szCs w:val="20"/>
                    <w:lang w:val="en-GB" w:eastAsia="en-GB"/>
                  </w:rPr>
                </w:pPr>
                <w:r w:rsidRPr="00FF027F">
                  <w:rPr>
                    <w:rFonts w:ascii="Verdana" w:hAnsi="Verdana"/>
                    <w:sz w:val="20"/>
                    <w:szCs w:val="20"/>
                    <w:lang w:val="en-GB"/>
                  </w:rPr>
                  <w:t>AD7</w:t>
                </w:r>
              </w:p>
            </w:tc>
            <w:tc>
              <w:tcPr>
                <w:tcW w:w="3960" w:type="dxa"/>
                <w:tcBorders>
                  <w:top w:val="single" w:sz="4" w:space="0" w:color="auto"/>
                  <w:left w:val="single" w:sz="4" w:space="0" w:color="auto"/>
                  <w:bottom w:val="single" w:sz="4" w:space="0" w:color="auto"/>
                  <w:right w:val="single" w:sz="4" w:space="0" w:color="auto"/>
                </w:tcBorders>
                <w:hideMark/>
              </w:tcPr>
              <w:p w14:paraId="7C5114E8" w14:textId="77777777" w:rsidR="000D0E9D" w:rsidRPr="00FF027F" w:rsidRDefault="000D0E9D">
                <w:pPr>
                  <w:jc w:val="center"/>
                  <w:rPr>
                    <w:rFonts w:ascii="Verdana" w:hAnsi="Verdana"/>
                    <w:sz w:val="20"/>
                    <w:szCs w:val="20"/>
                    <w:lang w:val="en-GB" w:eastAsia="en-GB"/>
                  </w:rPr>
                </w:pPr>
                <w:r w:rsidRPr="00FF027F">
                  <w:rPr>
                    <w:rFonts w:ascii="Verdana" w:hAnsi="Verdana"/>
                    <w:sz w:val="20"/>
                    <w:szCs w:val="20"/>
                    <w:lang w:val="en-GB"/>
                  </w:rPr>
                  <w:t>1</w:t>
                </w:r>
              </w:p>
            </w:tc>
            <w:tc>
              <w:tcPr>
                <w:tcW w:w="3884" w:type="dxa"/>
                <w:tcBorders>
                  <w:top w:val="single" w:sz="4" w:space="0" w:color="auto"/>
                  <w:left w:val="single" w:sz="4" w:space="0" w:color="auto"/>
                  <w:bottom w:val="single" w:sz="4" w:space="0" w:color="auto"/>
                  <w:right w:val="single" w:sz="4" w:space="0" w:color="auto"/>
                </w:tcBorders>
                <w:hideMark/>
              </w:tcPr>
              <w:p w14:paraId="4D9BF1A1" w14:textId="77777777" w:rsidR="000D0E9D" w:rsidRPr="00FF027F" w:rsidRDefault="000D0E9D">
                <w:pPr>
                  <w:jc w:val="center"/>
                  <w:rPr>
                    <w:rFonts w:ascii="Verdana" w:hAnsi="Verdana"/>
                    <w:sz w:val="20"/>
                    <w:szCs w:val="20"/>
                    <w:lang w:val="en-GB" w:eastAsia="en-GB"/>
                  </w:rPr>
                </w:pPr>
                <w:r w:rsidRPr="00FF027F">
                  <w:rPr>
                    <w:rFonts w:ascii="Verdana" w:hAnsi="Verdana"/>
                    <w:sz w:val="20"/>
                    <w:szCs w:val="20"/>
                    <w:lang w:val="en-GB"/>
                  </w:rPr>
                  <w:t>1</w:t>
                </w:r>
              </w:p>
            </w:tc>
          </w:tr>
          <w:tr w:rsidR="000D0E9D" w:rsidRPr="00FF027F" w14:paraId="354BAC02" w14:textId="77777777" w:rsidTr="00801D28">
            <w:tc>
              <w:tcPr>
                <w:tcW w:w="1260" w:type="dxa"/>
                <w:tcBorders>
                  <w:top w:val="single" w:sz="4" w:space="0" w:color="auto"/>
                  <w:left w:val="single" w:sz="4" w:space="0" w:color="auto"/>
                  <w:bottom w:val="single" w:sz="4" w:space="0" w:color="auto"/>
                  <w:right w:val="single" w:sz="4" w:space="0" w:color="auto"/>
                </w:tcBorders>
                <w:hideMark/>
              </w:tcPr>
              <w:p w14:paraId="56405952" w14:textId="77777777" w:rsidR="000D0E9D" w:rsidRPr="00FF027F" w:rsidRDefault="000D0E9D">
                <w:pPr>
                  <w:jc w:val="both"/>
                  <w:rPr>
                    <w:rFonts w:ascii="Verdana" w:hAnsi="Verdana"/>
                    <w:sz w:val="20"/>
                    <w:szCs w:val="20"/>
                    <w:lang w:val="en-GB" w:eastAsia="en-GB"/>
                  </w:rPr>
                </w:pPr>
                <w:r w:rsidRPr="00FF027F">
                  <w:rPr>
                    <w:rFonts w:ascii="Verdana" w:hAnsi="Verdana"/>
                    <w:sz w:val="20"/>
                    <w:szCs w:val="20"/>
                    <w:lang w:val="en-GB"/>
                  </w:rPr>
                  <w:t>AD5</w:t>
                </w:r>
              </w:p>
            </w:tc>
            <w:tc>
              <w:tcPr>
                <w:tcW w:w="3960" w:type="dxa"/>
                <w:tcBorders>
                  <w:top w:val="single" w:sz="4" w:space="0" w:color="auto"/>
                  <w:left w:val="single" w:sz="4" w:space="0" w:color="auto"/>
                  <w:bottom w:val="single" w:sz="4" w:space="0" w:color="auto"/>
                  <w:right w:val="single" w:sz="4" w:space="0" w:color="auto"/>
                </w:tcBorders>
                <w:hideMark/>
              </w:tcPr>
              <w:p w14:paraId="7DAF8C1B" w14:textId="77777777" w:rsidR="000D0E9D" w:rsidRPr="00FF027F" w:rsidRDefault="000D0E9D">
                <w:pPr>
                  <w:jc w:val="center"/>
                  <w:rPr>
                    <w:rFonts w:ascii="Verdana" w:hAnsi="Verdana"/>
                    <w:sz w:val="20"/>
                    <w:szCs w:val="20"/>
                    <w:lang w:val="en-GB" w:eastAsia="en-GB"/>
                  </w:rPr>
                </w:pPr>
                <w:r w:rsidRPr="00FF027F">
                  <w:rPr>
                    <w:rFonts w:ascii="Verdana" w:hAnsi="Verdana"/>
                    <w:sz w:val="20"/>
                    <w:szCs w:val="20"/>
                    <w:lang w:val="en-GB"/>
                  </w:rPr>
                  <w:t>1</w:t>
                </w:r>
              </w:p>
            </w:tc>
            <w:tc>
              <w:tcPr>
                <w:tcW w:w="3884" w:type="dxa"/>
                <w:tcBorders>
                  <w:top w:val="single" w:sz="4" w:space="0" w:color="auto"/>
                  <w:left w:val="single" w:sz="4" w:space="0" w:color="auto"/>
                  <w:bottom w:val="single" w:sz="4" w:space="0" w:color="auto"/>
                  <w:right w:val="single" w:sz="4" w:space="0" w:color="auto"/>
                </w:tcBorders>
                <w:hideMark/>
              </w:tcPr>
              <w:p w14:paraId="529EE889" w14:textId="77777777" w:rsidR="000D0E9D" w:rsidRPr="00FF027F" w:rsidRDefault="000D0E9D">
                <w:pPr>
                  <w:jc w:val="center"/>
                  <w:rPr>
                    <w:rFonts w:ascii="Verdana" w:hAnsi="Verdana"/>
                    <w:sz w:val="20"/>
                    <w:szCs w:val="20"/>
                    <w:lang w:val="en-GB" w:eastAsia="en-GB"/>
                  </w:rPr>
                </w:pPr>
                <w:r w:rsidRPr="00FF027F">
                  <w:rPr>
                    <w:rFonts w:ascii="Verdana" w:hAnsi="Verdana"/>
                    <w:sz w:val="20"/>
                    <w:szCs w:val="20"/>
                    <w:lang w:val="en-GB"/>
                  </w:rPr>
                  <w:t>1</w:t>
                </w:r>
              </w:p>
            </w:tc>
          </w:tr>
          <w:tr w:rsidR="000D0E9D" w:rsidRPr="00FF027F" w14:paraId="09F276DE" w14:textId="77777777" w:rsidTr="00801D28">
            <w:tc>
              <w:tcPr>
                <w:tcW w:w="1260" w:type="dxa"/>
                <w:tcBorders>
                  <w:top w:val="single" w:sz="4" w:space="0" w:color="auto"/>
                  <w:left w:val="single" w:sz="4" w:space="0" w:color="auto"/>
                  <w:bottom w:val="single" w:sz="4" w:space="0" w:color="auto"/>
                  <w:right w:val="single" w:sz="4" w:space="0" w:color="auto"/>
                </w:tcBorders>
                <w:hideMark/>
              </w:tcPr>
              <w:p w14:paraId="33129335" w14:textId="77777777" w:rsidR="000D0E9D" w:rsidRPr="00FF027F" w:rsidRDefault="000D0E9D">
                <w:pPr>
                  <w:jc w:val="both"/>
                  <w:rPr>
                    <w:rFonts w:ascii="Verdana" w:hAnsi="Verdana"/>
                    <w:sz w:val="20"/>
                    <w:szCs w:val="20"/>
                    <w:lang w:val="en-GB" w:eastAsia="en-GB"/>
                  </w:rPr>
                </w:pPr>
                <w:r w:rsidRPr="00FF027F">
                  <w:rPr>
                    <w:rFonts w:ascii="Verdana" w:hAnsi="Verdana"/>
                    <w:sz w:val="20"/>
                    <w:szCs w:val="20"/>
                    <w:lang w:val="en-GB"/>
                  </w:rPr>
                  <w:t>AST3</w:t>
                </w:r>
              </w:p>
            </w:tc>
            <w:tc>
              <w:tcPr>
                <w:tcW w:w="3960" w:type="dxa"/>
                <w:tcBorders>
                  <w:top w:val="single" w:sz="4" w:space="0" w:color="auto"/>
                  <w:left w:val="single" w:sz="4" w:space="0" w:color="auto"/>
                  <w:bottom w:val="single" w:sz="4" w:space="0" w:color="auto"/>
                  <w:right w:val="single" w:sz="4" w:space="0" w:color="auto"/>
                </w:tcBorders>
                <w:hideMark/>
              </w:tcPr>
              <w:p w14:paraId="6AA620DB" w14:textId="77777777" w:rsidR="000D0E9D" w:rsidRPr="00FF027F" w:rsidRDefault="000D0E9D">
                <w:pPr>
                  <w:jc w:val="center"/>
                  <w:rPr>
                    <w:rFonts w:ascii="Verdana" w:hAnsi="Verdana"/>
                    <w:sz w:val="20"/>
                    <w:szCs w:val="20"/>
                    <w:lang w:val="en-GB" w:eastAsia="en-GB"/>
                  </w:rPr>
                </w:pPr>
                <w:r w:rsidRPr="00FF027F">
                  <w:rPr>
                    <w:rFonts w:ascii="Verdana" w:hAnsi="Verdana"/>
                    <w:sz w:val="20"/>
                    <w:szCs w:val="20"/>
                    <w:lang w:val="en-GB"/>
                  </w:rPr>
                  <w:t>1</w:t>
                </w:r>
              </w:p>
            </w:tc>
            <w:tc>
              <w:tcPr>
                <w:tcW w:w="3884" w:type="dxa"/>
                <w:tcBorders>
                  <w:top w:val="single" w:sz="4" w:space="0" w:color="auto"/>
                  <w:left w:val="single" w:sz="4" w:space="0" w:color="auto"/>
                  <w:bottom w:val="single" w:sz="4" w:space="0" w:color="auto"/>
                  <w:right w:val="single" w:sz="4" w:space="0" w:color="auto"/>
                </w:tcBorders>
                <w:hideMark/>
              </w:tcPr>
              <w:p w14:paraId="02477224" w14:textId="77777777" w:rsidR="000D0E9D" w:rsidRPr="00FF027F" w:rsidRDefault="000D0E9D">
                <w:pPr>
                  <w:jc w:val="center"/>
                  <w:rPr>
                    <w:rFonts w:ascii="Verdana" w:hAnsi="Verdana"/>
                    <w:sz w:val="20"/>
                    <w:szCs w:val="20"/>
                    <w:lang w:val="en-GB" w:eastAsia="en-GB"/>
                  </w:rPr>
                </w:pPr>
                <w:r w:rsidRPr="00FF027F">
                  <w:rPr>
                    <w:rFonts w:ascii="Verdana" w:hAnsi="Verdana"/>
                    <w:sz w:val="20"/>
                    <w:szCs w:val="20"/>
                    <w:lang w:val="en-GB"/>
                  </w:rPr>
                  <w:t>1</w:t>
                </w:r>
              </w:p>
            </w:tc>
          </w:tr>
        </w:tbl>
        <w:p w14:paraId="35C6E770" w14:textId="77777777" w:rsidR="001C68B9" w:rsidRPr="00FF027F" w:rsidRDefault="001C68B9" w:rsidP="000D0E9D">
          <w:pPr>
            <w:spacing w:after="120"/>
            <w:rPr>
              <w:rFonts w:ascii="Verdana" w:eastAsia="Verdana" w:hAnsi="Verdana" w:cs="Times New Roman"/>
              <w:color w:val="FF0000"/>
              <w:sz w:val="20"/>
              <w:szCs w:val="20"/>
              <w:lang w:val="en-GB" w:eastAsia="en-GB"/>
            </w:rPr>
          </w:pPr>
        </w:p>
        <w:p w14:paraId="2AA9746B" w14:textId="77777777" w:rsidR="0014478F" w:rsidRPr="00FF027F" w:rsidRDefault="001C68B9" w:rsidP="0068746C">
          <w:pPr>
            <w:spacing w:before="240" w:after="120" w:line="360" w:lineRule="auto"/>
            <w:jc w:val="both"/>
            <w:rPr>
              <w:rFonts w:ascii="Arial" w:eastAsia="Verdana" w:hAnsi="Arial" w:cs="Arial"/>
              <w:lang w:val="en-GB" w:eastAsia="en-GB"/>
            </w:rPr>
          </w:pPr>
          <w:r w:rsidRPr="00FF027F">
            <w:rPr>
              <w:rFonts w:ascii="Arial" w:eastAsia="Verdana" w:hAnsi="Arial" w:cs="Arial"/>
              <w:b/>
              <w:lang w:val="en-GB" w:eastAsia="en-GB"/>
            </w:rPr>
            <w:t>Negative priorities/decrease of existing tasks</w:t>
          </w:r>
        </w:p>
        <w:p w14:paraId="41E3F507" w14:textId="5BF48845" w:rsidR="001C68B9" w:rsidRPr="00FF027F" w:rsidRDefault="001C68B9" w:rsidP="0068746C">
          <w:pPr>
            <w:spacing w:before="240" w:after="240" w:line="360" w:lineRule="auto"/>
            <w:jc w:val="both"/>
            <w:rPr>
              <w:rFonts w:ascii="Arial" w:hAnsi="Arial" w:cs="Arial"/>
              <w:lang w:val="en-GB"/>
            </w:rPr>
          </w:pPr>
          <w:r w:rsidRPr="00FF027F">
            <w:rPr>
              <w:rFonts w:ascii="Arial" w:hAnsi="Arial" w:cs="Arial"/>
              <w:lang w:val="en-GB"/>
            </w:rPr>
            <w:t>As new tasks in the areas of wholesale energy market monitoring and infrastructure develop</w:t>
          </w:r>
          <w:r w:rsidR="0014478F" w:rsidRPr="00FF027F">
            <w:rPr>
              <w:rFonts w:ascii="Arial" w:hAnsi="Arial" w:cs="Arial"/>
              <w:lang w:val="en-GB"/>
            </w:rPr>
            <w:t xml:space="preserve">ment are being assigned to </w:t>
          </w:r>
          <w:r w:rsidR="00D10846" w:rsidRPr="00FF027F">
            <w:rPr>
              <w:rFonts w:ascii="Arial" w:hAnsi="Arial" w:cs="Arial"/>
              <w:lang w:val="en-GB"/>
            </w:rPr>
            <w:t xml:space="preserve">the </w:t>
          </w:r>
          <w:r w:rsidR="00891E3F" w:rsidRPr="00FF027F">
            <w:rPr>
              <w:rFonts w:ascii="Arial" w:hAnsi="Arial" w:cs="Arial"/>
              <w:lang w:val="en-GB"/>
            </w:rPr>
            <w:t>Agency</w:t>
          </w:r>
          <w:r w:rsidRPr="00FF027F">
            <w:rPr>
              <w:rFonts w:ascii="Arial" w:hAnsi="Arial" w:cs="Arial"/>
              <w:lang w:val="en-GB"/>
            </w:rPr>
            <w:t xml:space="preserve"> and the Agency cannot cease to deliver </w:t>
          </w:r>
          <w:r w:rsidR="00D10846" w:rsidRPr="00FF027F">
            <w:rPr>
              <w:rFonts w:ascii="Arial" w:hAnsi="Arial" w:cs="Arial"/>
              <w:lang w:val="en-GB"/>
            </w:rPr>
            <w:t xml:space="preserve">on </w:t>
          </w:r>
          <w:r w:rsidRPr="00FF027F">
            <w:rPr>
              <w:rFonts w:ascii="Arial" w:hAnsi="Arial" w:cs="Arial"/>
              <w:lang w:val="en-GB"/>
            </w:rPr>
            <w:t>its original mandate, additional resources are required</w:t>
          </w:r>
          <w:r w:rsidR="00D10846" w:rsidRPr="00FF027F">
            <w:rPr>
              <w:rFonts w:ascii="Arial" w:hAnsi="Arial" w:cs="Arial"/>
              <w:lang w:val="en-GB"/>
            </w:rPr>
            <w:t>.</w:t>
          </w:r>
          <w:r w:rsidRPr="00FF027F">
            <w:rPr>
              <w:rFonts w:ascii="Arial" w:hAnsi="Arial" w:cs="Arial"/>
              <w:lang w:val="en-GB"/>
            </w:rPr>
            <w:t xml:space="preserve"> </w:t>
          </w:r>
          <w:r w:rsidR="005C517E" w:rsidRPr="00FF027F">
            <w:rPr>
              <w:rFonts w:ascii="Arial" w:hAnsi="Arial" w:cs="Arial"/>
              <w:lang w:val="en-GB"/>
            </w:rPr>
            <w:t xml:space="preserve">In case of </w:t>
          </w:r>
          <w:r w:rsidR="0014478F" w:rsidRPr="00FF027F">
            <w:rPr>
              <w:rFonts w:ascii="Arial" w:hAnsi="Arial" w:cs="Arial"/>
              <w:lang w:val="en-GB"/>
            </w:rPr>
            <w:t xml:space="preserve">insufficient resources, </w:t>
          </w:r>
          <w:r w:rsidRPr="00FF027F">
            <w:rPr>
              <w:rFonts w:ascii="Arial" w:hAnsi="Arial" w:cs="Arial"/>
              <w:lang w:val="en-GB"/>
            </w:rPr>
            <w:t>negative priorities, including among existing tasks, would have to be identified.</w:t>
          </w:r>
        </w:p>
        <w:p w14:paraId="613BE44F" w14:textId="5C5A9A99" w:rsidR="0014478F" w:rsidRPr="00FF027F" w:rsidRDefault="0014478F" w:rsidP="0014478F">
          <w:pPr>
            <w:spacing w:before="360" w:after="240" w:line="360" w:lineRule="auto"/>
            <w:jc w:val="both"/>
            <w:rPr>
              <w:rFonts w:ascii="Arial" w:eastAsia="Verdana" w:hAnsi="Arial" w:cs="Arial"/>
              <w:lang w:val="en-GB" w:eastAsia="en-GB"/>
            </w:rPr>
          </w:pPr>
          <w:r w:rsidRPr="00FF027F">
            <w:rPr>
              <w:rFonts w:ascii="Arial" w:hAnsi="Arial" w:cs="Arial"/>
              <w:lang w:val="en-GB"/>
            </w:rPr>
            <w:t xml:space="preserve">In particular, </w:t>
          </w:r>
          <w:r w:rsidR="00387FC6" w:rsidRPr="00FF027F">
            <w:rPr>
              <w:rFonts w:ascii="Arial" w:hAnsi="Arial" w:cs="Arial"/>
              <w:lang w:val="en-GB"/>
            </w:rPr>
            <w:t xml:space="preserve">in such circumstances </w:t>
          </w:r>
          <w:r w:rsidRPr="00FF027F">
            <w:rPr>
              <w:rFonts w:ascii="Arial" w:hAnsi="Arial" w:cs="Arial"/>
              <w:lang w:val="en-GB"/>
            </w:rPr>
            <w:t xml:space="preserve">the Agency </w:t>
          </w:r>
          <w:r w:rsidR="00387FC6" w:rsidRPr="00FF027F">
            <w:rPr>
              <w:rFonts w:ascii="Arial" w:hAnsi="Arial" w:cs="Arial"/>
              <w:lang w:val="en-GB"/>
            </w:rPr>
            <w:t>would focus primarily on the implementation of th</w:t>
          </w:r>
          <w:r w:rsidR="00BB16BC" w:rsidRPr="00FF027F">
            <w:rPr>
              <w:rFonts w:ascii="Arial" w:hAnsi="Arial" w:cs="Arial"/>
              <w:lang w:val="en-GB"/>
            </w:rPr>
            <w:t>os</w:t>
          </w:r>
          <w:r w:rsidR="00387FC6" w:rsidRPr="00FF027F">
            <w:rPr>
              <w:rFonts w:ascii="Arial" w:hAnsi="Arial" w:cs="Arial"/>
              <w:lang w:val="en-GB"/>
            </w:rPr>
            <w:t xml:space="preserve">e tasks </w:t>
          </w:r>
          <w:r w:rsidR="00BB16BC" w:rsidRPr="00FF027F">
            <w:rPr>
              <w:rFonts w:ascii="Arial" w:hAnsi="Arial" w:cs="Arial"/>
              <w:lang w:val="en-GB"/>
            </w:rPr>
            <w:t>which are</w:t>
          </w:r>
          <w:r w:rsidR="00891E3F" w:rsidRPr="00FF027F">
            <w:rPr>
              <w:rFonts w:ascii="Arial" w:hAnsi="Arial" w:cs="Arial"/>
              <w:lang w:val="en-GB"/>
            </w:rPr>
            <w:t xml:space="preserve"> critical for the well-functioning of the Internal Energy Market and for delivering tangible </w:t>
          </w:r>
          <w:r w:rsidR="00AB2645" w:rsidRPr="00FF027F">
            <w:rPr>
              <w:rFonts w:ascii="Arial" w:hAnsi="Arial" w:cs="Arial"/>
              <w:lang w:val="en-GB"/>
            </w:rPr>
            <w:t>benefits to</w:t>
          </w:r>
          <w:r w:rsidR="00891E3F" w:rsidRPr="00FF027F">
            <w:rPr>
              <w:rFonts w:ascii="Arial" w:hAnsi="Arial" w:cs="Arial"/>
              <w:lang w:val="en-GB"/>
            </w:rPr>
            <w:t xml:space="preserve"> energy consumers</w:t>
          </w:r>
          <w:r w:rsidR="00BB16BC" w:rsidRPr="00FF027F">
            <w:rPr>
              <w:rFonts w:ascii="Arial" w:hAnsi="Arial" w:cs="Arial"/>
              <w:lang w:val="en-GB"/>
            </w:rPr>
            <w:t>, deprioritising other activities</w:t>
          </w:r>
          <w:r w:rsidR="00387FC6" w:rsidRPr="00FF027F">
            <w:rPr>
              <w:rFonts w:ascii="Arial" w:hAnsi="Arial" w:cs="Arial"/>
              <w:lang w:val="en-GB"/>
            </w:rPr>
            <w:t xml:space="preserve">. As concerns </w:t>
          </w:r>
          <w:r w:rsidRPr="00FF027F">
            <w:rPr>
              <w:rFonts w:ascii="Arial" w:eastAsia="Verdana" w:hAnsi="Arial" w:cs="Arial"/>
              <w:lang w:val="en-GB" w:eastAsia="en-GB"/>
            </w:rPr>
            <w:t>the analysis of the data reported by market participa</w:t>
          </w:r>
          <w:r w:rsidR="00387FC6" w:rsidRPr="00FF027F">
            <w:rPr>
              <w:rFonts w:ascii="Arial" w:eastAsia="Verdana" w:hAnsi="Arial" w:cs="Arial"/>
              <w:lang w:val="en-GB" w:eastAsia="en-GB"/>
            </w:rPr>
            <w:t>nts and other reporting parties, the Agency would be obliged to fulfil</w:t>
          </w:r>
          <w:r w:rsidRPr="00FF027F">
            <w:rPr>
              <w:rFonts w:ascii="Arial" w:eastAsia="Verdana" w:hAnsi="Arial" w:cs="Arial"/>
              <w:lang w:val="en-GB" w:eastAsia="en-GB"/>
            </w:rPr>
            <w:t xml:space="preserve"> to a different extent the re</w:t>
          </w:r>
          <w:r w:rsidR="00387FC6" w:rsidRPr="00FF027F">
            <w:rPr>
              <w:rFonts w:ascii="Arial" w:eastAsia="Verdana" w:hAnsi="Arial" w:cs="Arial"/>
              <w:lang w:val="en-GB" w:eastAsia="en-GB"/>
            </w:rPr>
            <w:t>quirements foreseen under REMIT, depending on the actual staff at its disposal.</w:t>
          </w:r>
        </w:p>
        <w:p w14:paraId="51B29193" w14:textId="77777777" w:rsidR="008B2147" w:rsidRPr="00FF027F" w:rsidRDefault="001C68B9" w:rsidP="00B67E53">
          <w:pPr>
            <w:spacing w:before="360" w:after="240" w:line="360" w:lineRule="auto"/>
            <w:jc w:val="both"/>
            <w:rPr>
              <w:rFonts w:ascii="Arial" w:eastAsia="Verdana" w:hAnsi="Arial" w:cs="Arial"/>
              <w:lang w:val="en-GB" w:eastAsia="en-GB"/>
            </w:rPr>
          </w:pPr>
          <w:r w:rsidRPr="00FF027F">
            <w:rPr>
              <w:rFonts w:ascii="Arial" w:eastAsia="Verdana" w:hAnsi="Arial" w:cs="Arial"/>
              <w:b/>
              <w:lang w:val="en-GB" w:eastAsia="en-GB"/>
            </w:rPr>
            <w:t>Redeployment</w:t>
          </w:r>
          <w:r w:rsidRPr="00FF027F">
            <w:rPr>
              <w:rFonts w:ascii="Arial" w:eastAsia="Verdana" w:hAnsi="Arial" w:cs="Arial"/>
              <w:lang w:val="en-GB" w:eastAsia="en-GB"/>
            </w:rPr>
            <w:t xml:space="preserve"> </w:t>
          </w:r>
        </w:p>
        <w:p w14:paraId="4A879D4D" w14:textId="5AF6D68E" w:rsidR="001C68B9" w:rsidRPr="00FF027F" w:rsidRDefault="001C68B9" w:rsidP="0068746C">
          <w:pPr>
            <w:spacing w:before="240" w:after="240" w:line="360" w:lineRule="auto"/>
            <w:jc w:val="both"/>
            <w:rPr>
              <w:rFonts w:ascii="Arial" w:eastAsia="Verdana" w:hAnsi="Arial" w:cs="Arial"/>
              <w:lang w:val="en-GB" w:eastAsia="en-GB"/>
            </w:rPr>
          </w:pPr>
          <w:r w:rsidRPr="00FF027F">
            <w:rPr>
              <w:rFonts w:ascii="Arial" w:eastAsia="Verdana" w:hAnsi="Arial" w:cs="Arial"/>
              <w:lang w:val="en-GB" w:eastAsia="en-GB"/>
            </w:rPr>
            <w:t>No redeployment is envisaged until 2018</w:t>
          </w:r>
          <w:r w:rsidR="003551FA" w:rsidRPr="00FF027F">
            <w:rPr>
              <w:rFonts w:ascii="Arial" w:eastAsia="Verdana" w:hAnsi="Arial" w:cs="Arial"/>
              <w:lang w:val="en-GB" w:eastAsia="en-GB"/>
            </w:rPr>
            <w:t>,</w:t>
          </w:r>
          <w:r w:rsidRPr="00FF027F">
            <w:rPr>
              <w:rFonts w:ascii="Arial" w:eastAsia="Verdana" w:hAnsi="Arial" w:cs="Arial"/>
              <w:lang w:val="en-GB" w:eastAsia="en-GB"/>
            </w:rPr>
            <w:t xml:space="preserve"> as </w:t>
          </w:r>
          <w:r w:rsidR="003551FA" w:rsidRPr="00FF027F">
            <w:rPr>
              <w:rFonts w:ascii="Arial" w:eastAsia="Verdana" w:hAnsi="Arial" w:cs="Arial"/>
              <w:lang w:val="en-GB" w:eastAsia="en-GB"/>
            </w:rPr>
            <w:t xml:space="preserve">ACER </w:t>
          </w:r>
          <w:r w:rsidRPr="00FF027F">
            <w:rPr>
              <w:rFonts w:ascii="Arial" w:eastAsia="Verdana" w:hAnsi="Arial" w:cs="Arial"/>
              <w:lang w:val="en-GB" w:eastAsia="en-GB"/>
            </w:rPr>
            <w:t xml:space="preserve">is marked as an Agency with new tasks and still has to recruit additional staff in order to implement its newly assigned tasks. Once the implementation of all new tasks is completed redeployment opportunities </w:t>
          </w:r>
          <w:r w:rsidR="0021711A" w:rsidRPr="00FF027F">
            <w:rPr>
              <w:rFonts w:ascii="Arial" w:eastAsia="Verdana" w:hAnsi="Arial" w:cs="Arial"/>
              <w:lang w:val="en-GB" w:eastAsia="en-GB"/>
            </w:rPr>
            <w:t>could be consi</w:t>
          </w:r>
          <w:r w:rsidR="008B2147" w:rsidRPr="00FF027F">
            <w:rPr>
              <w:rFonts w:ascii="Arial" w:eastAsia="Verdana" w:hAnsi="Arial" w:cs="Arial"/>
              <w:lang w:val="en-GB" w:eastAsia="en-GB"/>
            </w:rPr>
            <w:t>d</w:t>
          </w:r>
          <w:r w:rsidR="0021711A" w:rsidRPr="00FF027F">
            <w:rPr>
              <w:rFonts w:ascii="Arial" w:eastAsia="Verdana" w:hAnsi="Arial" w:cs="Arial"/>
              <w:lang w:val="en-GB" w:eastAsia="en-GB"/>
            </w:rPr>
            <w:t>ered</w:t>
          </w:r>
          <w:r w:rsidRPr="00FF027F">
            <w:rPr>
              <w:rFonts w:ascii="Arial" w:eastAsia="Verdana" w:hAnsi="Arial" w:cs="Arial"/>
              <w:lang w:val="en-GB" w:eastAsia="en-GB"/>
            </w:rPr>
            <w:t>.</w:t>
          </w:r>
        </w:p>
        <w:p w14:paraId="1D102F3F" w14:textId="77777777" w:rsidR="0068746C" w:rsidRDefault="0068746C">
          <w:pPr>
            <w:rPr>
              <w:rFonts w:ascii="Verdana" w:eastAsia="Times New Roman" w:hAnsi="Verdana" w:cs="Times New Roman Bold"/>
              <w:b/>
              <w:bCs/>
              <w:caps/>
              <w:color w:val="004494"/>
              <w:sz w:val="40"/>
              <w:szCs w:val="40"/>
              <w:lang w:val="en-GB" w:eastAsia="en-GB"/>
            </w:rPr>
          </w:pPr>
          <w:r>
            <w:rPr>
              <w:sz w:val="40"/>
              <w:szCs w:val="40"/>
            </w:rPr>
            <w:br w:type="page"/>
          </w:r>
        </w:p>
        <w:p w14:paraId="6E437A7B" w14:textId="7340EEA5" w:rsidR="00900A7A" w:rsidRPr="00FF027F" w:rsidRDefault="00900A7A" w:rsidP="00900A7A">
          <w:pPr>
            <w:pStyle w:val="Heading1"/>
            <w:numPr>
              <w:ilvl w:val="0"/>
              <w:numId w:val="0"/>
            </w:numPr>
            <w:ind w:left="90"/>
          </w:pPr>
          <w:bookmarkStart w:id="66" w:name="_Toc396913776"/>
          <w:r w:rsidRPr="00FF027F">
            <w:rPr>
              <w:sz w:val="40"/>
              <w:szCs w:val="40"/>
            </w:rPr>
            <w:t>section III</w:t>
          </w:r>
          <w:r w:rsidRPr="00FF027F">
            <w:t xml:space="preserve"> </w:t>
          </w:r>
          <w:r w:rsidR="00C4181D" w:rsidRPr="00FF027F">
            <w:t>–</w:t>
          </w:r>
          <w:r w:rsidRPr="00FF027F">
            <w:t xml:space="preserve"> </w:t>
          </w:r>
          <w:r w:rsidR="00C4181D" w:rsidRPr="00FF027F">
            <w:t>work programme 2015</w:t>
          </w:r>
          <w:bookmarkEnd w:id="66"/>
        </w:p>
        <w:p w14:paraId="2DBEB499" w14:textId="77777777" w:rsidR="00483A63" w:rsidRPr="00FF027F" w:rsidRDefault="00D3169E" w:rsidP="006D214F">
          <w:pPr>
            <w:pStyle w:val="Heading1"/>
            <w:numPr>
              <w:ilvl w:val="0"/>
              <w:numId w:val="24"/>
            </w:numPr>
          </w:pPr>
          <w:bookmarkStart w:id="67" w:name="_Toc396913777"/>
          <w:r w:rsidRPr="00FF027F">
            <w:t>The agency’s priorities for 2015</w:t>
          </w:r>
          <w:bookmarkEnd w:id="67"/>
          <w:r w:rsidRPr="00FF027F">
            <w:t xml:space="preserve"> </w:t>
          </w:r>
        </w:p>
        <w:p w14:paraId="53C8CE2B" w14:textId="12D75D48" w:rsidR="00891E3F" w:rsidRPr="00FF027F" w:rsidRDefault="00891E3F"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 xml:space="preserve">The 2015 Work Programme already focuses on the priority areas identified as strategic objectives </w:t>
          </w:r>
          <w:r w:rsidR="00BB16BC" w:rsidRPr="00FF027F">
            <w:rPr>
              <w:rFonts w:ascii="Arial" w:hAnsi="Arial" w:cs="Arial"/>
              <w:lang w:val="en-GB"/>
            </w:rPr>
            <w:t>for</w:t>
          </w:r>
          <w:r w:rsidRPr="00FF027F">
            <w:rPr>
              <w:rFonts w:ascii="Arial" w:hAnsi="Arial" w:cs="Arial"/>
              <w:lang w:val="en-GB"/>
            </w:rPr>
            <w:t xml:space="preserve"> the Agency over the next few years (see Section II.</w:t>
          </w:r>
          <w:r w:rsidRPr="00FF027F">
            <w:rPr>
              <w:rFonts w:ascii="Arial" w:hAnsi="Arial" w:cs="Arial"/>
              <w:lang w:val="en-GB"/>
            </w:rPr>
            <w:fldChar w:fldCharType="begin"/>
          </w:r>
          <w:r w:rsidRPr="00FF027F">
            <w:rPr>
              <w:rFonts w:ascii="Arial" w:hAnsi="Arial" w:cs="Arial"/>
              <w:lang w:val="en-GB"/>
            </w:rPr>
            <w:instrText xml:space="preserve"> REF _Ref391324452 \r \h  \* MERGEFORMAT </w:instrText>
          </w:r>
          <w:r w:rsidRPr="00FF027F">
            <w:rPr>
              <w:rFonts w:ascii="Arial" w:hAnsi="Arial" w:cs="Arial"/>
              <w:lang w:val="en-GB"/>
            </w:rPr>
          </w:r>
          <w:r w:rsidRPr="00FF027F">
            <w:rPr>
              <w:rFonts w:ascii="Arial" w:hAnsi="Arial" w:cs="Arial"/>
              <w:lang w:val="en-GB"/>
            </w:rPr>
            <w:fldChar w:fldCharType="separate"/>
          </w:r>
          <w:r w:rsidR="00A44D26">
            <w:rPr>
              <w:rFonts w:ascii="Arial" w:hAnsi="Arial" w:cs="Arial"/>
              <w:lang w:val="en-GB"/>
            </w:rPr>
            <w:t>1</w:t>
          </w:r>
          <w:r w:rsidRPr="00FF027F">
            <w:rPr>
              <w:rFonts w:ascii="Arial" w:hAnsi="Arial" w:cs="Arial"/>
              <w:lang w:val="en-GB"/>
            </w:rPr>
            <w:fldChar w:fldCharType="end"/>
          </w:r>
          <w:r w:rsidRPr="00FF027F">
            <w:rPr>
              <w:rFonts w:ascii="Arial" w:hAnsi="Arial" w:cs="Arial"/>
              <w:lang w:val="en-GB"/>
            </w:rPr>
            <w:t>).</w:t>
          </w:r>
        </w:p>
        <w:p w14:paraId="107BF8C1" w14:textId="6B224AE7" w:rsidR="00891E3F" w:rsidRPr="00FF027F" w:rsidRDefault="00891E3F"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In the area of electricity and gas markets integration</w:t>
          </w:r>
          <w:r w:rsidR="00BB16BC" w:rsidRPr="00FF027F">
            <w:rPr>
              <w:rFonts w:ascii="Arial" w:hAnsi="Arial" w:cs="Arial"/>
              <w:lang w:val="en-GB"/>
            </w:rPr>
            <w:t>,</w:t>
          </w:r>
          <w:r w:rsidRPr="00FF027F">
            <w:rPr>
              <w:rFonts w:ascii="Arial" w:hAnsi="Arial" w:cs="Arial"/>
              <w:lang w:val="en-GB"/>
            </w:rPr>
            <w:t xml:space="preserve"> 2015 will see the adoption of the remaining Network Codes which have been developed on the basis of the eight Framework Guidelines prepared by the Agency since 2011 in the areas identified by the European Commission as core for the completion of the Internal Energy Markets. A number of these Network Codes will also enter into force in 2015 and, in any case, it is expected that the </w:t>
          </w:r>
          <w:r w:rsidR="00AB2645" w:rsidRPr="00FF027F">
            <w:rPr>
              <w:rFonts w:ascii="Arial" w:hAnsi="Arial" w:cs="Arial"/>
              <w:lang w:val="en-GB"/>
            </w:rPr>
            <w:t>early</w:t>
          </w:r>
          <w:r w:rsidRPr="00FF027F">
            <w:rPr>
              <w:rFonts w:ascii="Arial" w:hAnsi="Arial" w:cs="Arial"/>
              <w:lang w:val="en-GB"/>
            </w:rPr>
            <w:t xml:space="preserve"> implementation process will further progress.</w:t>
          </w:r>
        </w:p>
        <w:p w14:paraId="2ADC37FD" w14:textId="565B9AFF" w:rsidR="00891E3F" w:rsidRPr="00FF027F" w:rsidRDefault="00891E3F"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In the energy infrastructure areas, in</w:t>
          </w:r>
          <w:r w:rsidR="009B7DF2" w:rsidRPr="00FF027F">
            <w:rPr>
              <w:rFonts w:ascii="Arial" w:hAnsi="Arial" w:cs="Arial"/>
              <w:lang w:val="en-GB"/>
            </w:rPr>
            <w:t xml:space="preserve"> 2015 the second EU-wide PCI list will be adopted, based on the TYNDP for gas, to be developed by ENTSOG early in the year </w:t>
          </w:r>
          <w:r w:rsidR="00AB2645" w:rsidRPr="00FF027F">
            <w:rPr>
              <w:rFonts w:ascii="Arial" w:hAnsi="Arial" w:cs="Arial"/>
              <w:lang w:val="en-GB"/>
            </w:rPr>
            <w:t>and the</w:t>
          </w:r>
          <w:r w:rsidR="009B7DF2" w:rsidRPr="00FF027F">
            <w:rPr>
              <w:rFonts w:ascii="Arial" w:hAnsi="Arial" w:cs="Arial"/>
              <w:lang w:val="en-GB"/>
            </w:rPr>
            <w:t xml:space="preserve"> TYNDP for electricity expected from ENTSO-E late in 2014.</w:t>
          </w:r>
        </w:p>
        <w:p w14:paraId="4FA5DC69" w14:textId="6C543481" w:rsidR="009B7DF2" w:rsidRPr="00FF027F" w:rsidRDefault="009B7DF2"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 xml:space="preserve">As already indicated, the trade and fundamental data reporting obligations under REMIT should enter into </w:t>
          </w:r>
          <w:r w:rsidR="00AB2645" w:rsidRPr="00FF027F">
            <w:rPr>
              <w:rFonts w:ascii="Arial" w:hAnsi="Arial" w:cs="Arial"/>
              <w:lang w:val="en-GB"/>
            </w:rPr>
            <w:t>force</w:t>
          </w:r>
          <w:r w:rsidRPr="00FF027F">
            <w:rPr>
              <w:rFonts w:ascii="Arial" w:hAnsi="Arial" w:cs="Arial"/>
              <w:lang w:val="en-GB"/>
            </w:rPr>
            <w:t xml:space="preserve"> early in 2015, thus providing the Agency with the information required for wholesale energy market monitoring.</w:t>
          </w:r>
        </w:p>
        <w:p w14:paraId="37839E09" w14:textId="4A608429" w:rsidR="009B7DF2" w:rsidRPr="00FF027F" w:rsidRDefault="009B7DF2"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Finally, some of the recommendations stemming from the</w:t>
          </w:r>
          <w:r w:rsidR="00CE6E94">
            <w:rPr>
              <w:rFonts w:ascii="Arial" w:hAnsi="Arial" w:cs="Arial"/>
              <w:lang w:val="en-GB"/>
            </w:rPr>
            <w:t xml:space="preserve"> Paper</w:t>
          </w:r>
          <w:r w:rsidRPr="00FF027F">
            <w:rPr>
              <w:rFonts w:ascii="Arial" w:hAnsi="Arial" w:cs="Arial"/>
              <w:lang w:val="en-GB"/>
            </w:rPr>
            <w:t xml:space="preserve"> “</w:t>
          </w:r>
          <w:r w:rsidR="00CE6E94">
            <w:rPr>
              <w:rFonts w:ascii="Arial" w:hAnsi="Arial" w:cs="Arial"/>
              <w:lang w:val="en-GB"/>
            </w:rPr>
            <w:t xml:space="preserve">Energy Regulation: </w:t>
          </w:r>
          <w:r w:rsidR="00C005C3">
            <w:rPr>
              <w:rFonts w:ascii="Arial" w:hAnsi="Arial" w:cs="Arial"/>
              <w:lang w:val="en-GB"/>
            </w:rPr>
            <w:t xml:space="preserve">A </w:t>
          </w:r>
          <w:r w:rsidRPr="00FF027F">
            <w:rPr>
              <w:rFonts w:ascii="Arial" w:hAnsi="Arial" w:cs="Arial"/>
              <w:lang w:val="en-GB"/>
            </w:rPr>
            <w:t xml:space="preserve">Bridge to 2025” may already be implemented in 2015, even though it is expected that most of the </w:t>
          </w:r>
          <w:r w:rsidR="00AB2645" w:rsidRPr="00FF027F">
            <w:rPr>
              <w:rFonts w:ascii="Arial" w:hAnsi="Arial" w:cs="Arial"/>
              <w:lang w:val="en-GB"/>
            </w:rPr>
            <w:t>recommended</w:t>
          </w:r>
          <w:r w:rsidRPr="00FF027F">
            <w:rPr>
              <w:rFonts w:ascii="Arial" w:hAnsi="Arial" w:cs="Arial"/>
              <w:lang w:val="en-GB"/>
            </w:rPr>
            <w:t xml:space="preserve"> activities will be implemented in </w:t>
          </w:r>
          <w:r w:rsidR="005C517E" w:rsidRPr="00FF027F">
            <w:rPr>
              <w:rFonts w:ascii="Arial" w:hAnsi="Arial" w:cs="Arial"/>
              <w:lang w:val="en-GB"/>
            </w:rPr>
            <w:t xml:space="preserve">the following </w:t>
          </w:r>
          <w:r w:rsidRPr="00FF027F">
            <w:rPr>
              <w:rFonts w:ascii="Arial" w:hAnsi="Arial" w:cs="Arial"/>
              <w:lang w:val="en-GB"/>
            </w:rPr>
            <w:t>years.</w:t>
          </w:r>
        </w:p>
        <w:p w14:paraId="154464B2" w14:textId="2AFA583D" w:rsidR="009B7DF2" w:rsidRPr="00FF027F" w:rsidRDefault="009B7DF2"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 xml:space="preserve">As already indicated in this document, the ability of the Agency to deliver in 2015 the activities presented in this Section crucially depends on the required human and financial resources, presented in Section II.3, being made available to the Agency. </w:t>
          </w:r>
        </w:p>
        <w:p w14:paraId="52CD74B5" w14:textId="77777777" w:rsidR="00483A63" w:rsidRPr="00FF027F" w:rsidRDefault="00C4181D" w:rsidP="004C3C5A">
          <w:pPr>
            <w:pStyle w:val="Heading1"/>
          </w:pPr>
          <w:bookmarkStart w:id="68" w:name="_Toc396913778"/>
          <w:r w:rsidRPr="00FF027F">
            <w:t>Consultation on 2015 Work Programme</w:t>
          </w:r>
          <w:bookmarkEnd w:id="68"/>
          <w:r w:rsidRPr="00FF027F">
            <w:t xml:space="preserve"> </w:t>
          </w:r>
        </w:p>
        <w:bookmarkEnd w:id="61"/>
        <w:bookmarkEnd w:id="62"/>
        <w:p w14:paraId="63CC24B0" w14:textId="699CADC3" w:rsidR="00F46D44" w:rsidRPr="00FF027F" w:rsidRDefault="002F1938"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 xml:space="preserve">A draft of this Work Programme was submitted by the Director to the Board of Regulators, to the European Parliament and to the European Commission on </w:t>
          </w:r>
          <w:r w:rsidR="00360513" w:rsidRPr="00FF027F">
            <w:rPr>
              <w:rFonts w:ascii="Arial" w:hAnsi="Arial" w:cs="Arial"/>
              <w:lang w:val="en-GB"/>
            </w:rPr>
            <w:t xml:space="preserve">30 </w:t>
          </w:r>
          <w:r w:rsidR="00630BE2" w:rsidRPr="00FF027F">
            <w:rPr>
              <w:rFonts w:ascii="Arial" w:hAnsi="Arial" w:cs="Arial"/>
              <w:lang w:val="en-GB"/>
            </w:rPr>
            <w:t xml:space="preserve">June </w:t>
          </w:r>
          <w:r w:rsidRPr="00FF027F">
            <w:rPr>
              <w:rFonts w:ascii="Arial" w:hAnsi="Arial" w:cs="Arial"/>
              <w:lang w:val="en-GB"/>
            </w:rPr>
            <w:t>201</w:t>
          </w:r>
          <w:r w:rsidR="00C4181D" w:rsidRPr="00FF027F">
            <w:rPr>
              <w:rFonts w:ascii="Arial" w:hAnsi="Arial" w:cs="Arial"/>
              <w:lang w:val="en-GB"/>
            </w:rPr>
            <w:t>4</w:t>
          </w:r>
          <w:r w:rsidRPr="00FF027F">
            <w:rPr>
              <w:rFonts w:ascii="Arial" w:hAnsi="Arial" w:cs="Arial"/>
              <w:lang w:val="en-GB"/>
            </w:rPr>
            <w:t xml:space="preserve">, pursuant to Article 17(6) of </w:t>
          </w:r>
          <w:r w:rsidR="00BB16BC" w:rsidRPr="00FF027F">
            <w:rPr>
              <w:rFonts w:ascii="Arial" w:hAnsi="Arial" w:cs="Arial"/>
              <w:lang w:val="en-GB"/>
            </w:rPr>
            <w:t xml:space="preserve">the Agency </w:t>
          </w:r>
          <w:r w:rsidRPr="00FF027F">
            <w:rPr>
              <w:rFonts w:ascii="Arial" w:hAnsi="Arial" w:cs="Arial"/>
              <w:lang w:val="en-GB"/>
            </w:rPr>
            <w:t>Regulation, and published on the Agency’s website. In preparation of the draft Work Programme</w:t>
          </w:r>
          <w:r w:rsidR="00BB16BC" w:rsidRPr="00FF027F">
            <w:rPr>
              <w:rFonts w:ascii="Arial" w:hAnsi="Arial" w:cs="Arial"/>
              <w:lang w:val="en-GB"/>
            </w:rPr>
            <w:t>,</w:t>
          </w:r>
          <w:r w:rsidRPr="00FF027F">
            <w:rPr>
              <w:rFonts w:ascii="Arial" w:hAnsi="Arial" w:cs="Arial"/>
              <w:lang w:val="en-GB"/>
            </w:rPr>
            <w:t xml:space="preserve"> the Agency</w:t>
          </w:r>
          <w:r w:rsidR="009B7DF2" w:rsidRPr="00FF027F">
            <w:rPr>
              <w:rFonts w:ascii="Arial" w:hAnsi="Arial" w:cs="Arial"/>
              <w:lang w:val="en-GB"/>
            </w:rPr>
            <w:t xml:space="preserve"> s</w:t>
          </w:r>
          <w:r w:rsidR="00126032" w:rsidRPr="00FF027F">
            <w:rPr>
              <w:rFonts w:ascii="Arial" w:hAnsi="Arial" w:cs="Arial"/>
              <w:lang w:val="en-GB"/>
            </w:rPr>
            <w:t>ought e</w:t>
          </w:r>
          <w:r w:rsidRPr="00FF027F">
            <w:rPr>
              <w:rFonts w:ascii="Arial" w:hAnsi="Arial" w:cs="Arial"/>
              <w:lang w:val="en-GB"/>
            </w:rPr>
            <w:t>arly stakeholders</w:t>
          </w:r>
          <w:r w:rsidR="00424853" w:rsidRPr="00FF027F">
            <w:rPr>
              <w:rFonts w:ascii="Arial" w:hAnsi="Arial" w:cs="Arial"/>
              <w:lang w:val="en-GB"/>
            </w:rPr>
            <w:t>’</w:t>
          </w:r>
          <w:r w:rsidRPr="00FF027F">
            <w:rPr>
              <w:rFonts w:ascii="Arial" w:hAnsi="Arial" w:cs="Arial"/>
              <w:lang w:val="en-GB"/>
            </w:rPr>
            <w:t xml:space="preserve"> feedback on the main areas o</w:t>
          </w:r>
          <w:r w:rsidR="00B5580E" w:rsidRPr="00FF027F">
            <w:rPr>
              <w:rFonts w:ascii="Arial" w:hAnsi="Arial" w:cs="Arial"/>
              <w:lang w:val="en-GB"/>
            </w:rPr>
            <w:t>f activity of the Agency in 2015</w:t>
          </w:r>
          <w:r w:rsidRPr="00FF027F">
            <w:rPr>
              <w:rFonts w:ascii="Arial" w:hAnsi="Arial" w:cs="Arial"/>
              <w:lang w:val="en-GB"/>
            </w:rPr>
            <w:t xml:space="preserve"> in a Workshop </w:t>
          </w:r>
          <w:r w:rsidR="005D6EEF" w:rsidRPr="00FF027F">
            <w:rPr>
              <w:rFonts w:ascii="Arial" w:hAnsi="Arial" w:cs="Arial"/>
              <w:lang w:val="en-GB"/>
            </w:rPr>
            <w:t>held in Ljubljana on 4</w:t>
          </w:r>
          <w:r w:rsidR="00B5580E" w:rsidRPr="00FF027F">
            <w:rPr>
              <w:rFonts w:ascii="Arial" w:hAnsi="Arial" w:cs="Arial"/>
              <w:lang w:val="en-GB"/>
            </w:rPr>
            <w:t xml:space="preserve"> June 2014</w:t>
          </w:r>
          <w:r w:rsidR="00EB482D" w:rsidRPr="00FF027F">
            <w:rPr>
              <w:rFonts w:ascii="Arial" w:hAnsi="Arial" w:cs="Arial"/>
              <w:lang w:val="en-GB"/>
            </w:rPr>
            <w:t xml:space="preserve">. </w:t>
          </w:r>
          <w:r w:rsidR="00126032" w:rsidRPr="00FF027F">
            <w:rPr>
              <w:rFonts w:ascii="Arial" w:hAnsi="Arial" w:cs="Arial"/>
              <w:lang w:val="en-GB"/>
            </w:rPr>
            <w:t>Stakeholders were asked to provide feedback and inputs by</w:t>
          </w:r>
          <w:r w:rsidR="00B67E53" w:rsidRPr="00FF027F">
            <w:rPr>
              <w:rFonts w:ascii="Arial" w:hAnsi="Arial" w:cs="Arial"/>
              <w:lang w:val="en-GB"/>
            </w:rPr>
            <w:t xml:space="preserve"> 18 June.</w:t>
          </w:r>
          <w:r w:rsidR="00126032" w:rsidRPr="00FF027F">
            <w:rPr>
              <w:rFonts w:ascii="Arial" w:hAnsi="Arial" w:cs="Arial"/>
              <w:lang w:val="en-GB"/>
            </w:rPr>
            <w:t xml:space="preserve"> </w:t>
          </w:r>
        </w:p>
        <w:p w14:paraId="61391143" w14:textId="29A8557F" w:rsidR="005D6EEF" w:rsidRPr="00FF027F" w:rsidRDefault="002F1938" w:rsidP="00360513">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 xml:space="preserve">The Agency thanks stakeholders for their valuable </w:t>
          </w:r>
          <w:r w:rsidR="00D145DF" w:rsidRPr="00FF027F">
            <w:rPr>
              <w:rFonts w:ascii="Arial" w:hAnsi="Arial" w:cs="Arial"/>
              <w:lang w:val="en-GB"/>
            </w:rPr>
            <w:t xml:space="preserve">feedbacks and </w:t>
          </w:r>
          <w:r w:rsidRPr="00FF027F">
            <w:rPr>
              <w:rFonts w:ascii="Arial" w:hAnsi="Arial" w:cs="Arial"/>
              <w:lang w:val="en-GB"/>
            </w:rPr>
            <w:t>input</w:t>
          </w:r>
          <w:r w:rsidR="00D145DF" w:rsidRPr="00FF027F">
            <w:rPr>
              <w:rFonts w:ascii="Arial" w:hAnsi="Arial" w:cs="Arial"/>
              <w:lang w:val="en-GB"/>
            </w:rPr>
            <w:t>s</w:t>
          </w:r>
          <w:r w:rsidR="000D3FEF" w:rsidRPr="00FF027F">
            <w:rPr>
              <w:rFonts w:ascii="Arial" w:hAnsi="Arial" w:cs="Arial"/>
              <w:lang w:val="en-GB"/>
            </w:rPr>
            <w:t xml:space="preserve"> on the outline of the</w:t>
          </w:r>
          <w:r w:rsidRPr="00FF027F">
            <w:rPr>
              <w:rFonts w:ascii="Arial" w:hAnsi="Arial" w:cs="Arial"/>
              <w:lang w:val="en-GB"/>
            </w:rPr>
            <w:t xml:space="preserve"> W</w:t>
          </w:r>
          <w:r w:rsidR="00EB482D" w:rsidRPr="00FF027F">
            <w:rPr>
              <w:rFonts w:ascii="Arial" w:hAnsi="Arial" w:cs="Arial"/>
              <w:lang w:val="en-GB"/>
            </w:rPr>
            <w:t xml:space="preserve">ork </w:t>
          </w:r>
          <w:r w:rsidRPr="00FF027F">
            <w:rPr>
              <w:rFonts w:ascii="Arial" w:hAnsi="Arial" w:cs="Arial"/>
              <w:lang w:val="en-GB"/>
            </w:rPr>
            <w:t>P</w:t>
          </w:r>
          <w:r w:rsidR="00EB482D" w:rsidRPr="00FF027F">
            <w:rPr>
              <w:rFonts w:ascii="Arial" w:hAnsi="Arial" w:cs="Arial"/>
              <w:lang w:val="en-GB"/>
            </w:rPr>
            <w:t>rogramme</w:t>
          </w:r>
          <w:r w:rsidRPr="00FF027F">
            <w:rPr>
              <w:rFonts w:ascii="Arial" w:hAnsi="Arial" w:cs="Arial"/>
              <w:lang w:val="en-GB"/>
            </w:rPr>
            <w:t>.</w:t>
          </w:r>
          <w:r w:rsidR="009B7DF2" w:rsidRPr="00FF027F">
            <w:rPr>
              <w:rFonts w:ascii="Arial" w:hAnsi="Arial" w:cs="Arial"/>
              <w:lang w:val="en-GB"/>
            </w:rPr>
            <w:t xml:space="preserve"> The Agency </w:t>
          </w:r>
          <w:r w:rsidR="00BB16BC" w:rsidRPr="00FF027F">
            <w:rPr>
              <w:rFonts w:ascii="Arial" w:hAnsi="Arial" w:cs="Arial"/>
              <w:lang w:val="en-GB"/>
            </w:rPr>
            <w:t xml:space="preserve">has </w:t>
          </w:r>
          <w:r w:rsidR="00360513" w:rsidRPr="00FF027F">
            <w:rPr>
              <w:rFonts w:ascii="Arial" w:hAnsi="Arial" w:cs="Arial"/>
              <w:lang w:val="en-GB"/>
            </w:rPr>
            <w:t>align</w:t>
          </w:r>
          <w:r w:rsidR="00BB16BC" w:rsidRPr="00FF027F">
            <w:rPr>
              <w:rFonts w:ascii="Arial" w:hAnsi="Arial" w:cs="Arial"/>
              <w:lang w:val="en-GB"/>
            </w:rPr>
            <w:t>ed</w:t>
          </w:r>
          <w:r w:rsidR="00360513" w:rsidRPr="00FF027F">
            <w:rPr>
              <w:rFonts w:ascii="Arial" w:hAnsi="Arial" w:cs="Arial"/>
              <w:lang w:val="en-GB"/>
            </w:rPr>
            <w:t xml:space="preserve"> </w:t>
          </w:r>
          <w:r w:rsidR="00104FEE" w:rsidRPr="00FF027F">
            <w:rPr>
              <w:rFonts w:ascii="Arial" w:hAnsi="Arial" w:cs="Arial"/>
              <w:lang w:val="en-GB"/>
            </w:rPr>
            <w:t xml:space="preserve">its </w:t>
          </w:r>
          <w:r w:rsidR="00BB16BC" w:rsidRPr="00FF027F">
            <w:rPr>
              <w:rFonts w:ascii="Arial" w:hAnsi="Arial" w:cs="Arial"/>
              <w:lang w:val="en-GB"/>
            </w:rPr>
            <w:t xml:space="preserve">draft </w:t>
          </w:r>
          <w:r w:rsidR="00104FEE" w:rsidRPr="00FF027F">
            <w:rPr>
              <w:rFonts w:ascii="Arial" w:hAnsi="Arial" w:cs="Arial"/>
              <w:lang w:val="en-GB"/>
            </w:rPr>
            <w:t>Work P</w:t>
          </w:r>
          <w:r w:rsidR="00B949EE" w:rsidRPr="00FF027F">
            <w:rPr>
              <w:rFonts w:ascii="Arial" w:hAnsi="Arial" w:cs="Arial"/>
              <w:lang w:val="en-GB"/>
            </w:rPr>
            <w:t xml:space="preserve">rogramme with the Commission’s public consultation document on the </w:t>
          </w:r>
          <w:r w:rsidR="005D6EEF" w:rsidRPr="00FF027F">
            <w:rPr>
              <w:rFonts w:ascii="Arial" w:hAnsi="Arial" w:cs="Arial"/>
              <w:lang w:val="en-GB"/>
            </w:rPr>
            <w:t xml:space="preserve">Annual priority list </w:t>
          </w:r>
          <w:r w:rsidR="00B949EE" w:rsidRPr="00FF027F">
            <w:rPr>
              <w:rFonts w:ascii="Arial" w:hAnsi="Arial" w:cs="Arial"/>
              <w:lang w:val="en-GB"/>
            </w:rPr>
            <w:t>of</w:t>
          </w:r>
          <w:r w:rsidR="005D6EEF" w:rsidRPr="00FF027F">
            <w:rPr>
              <w:rFonts w:ascii="Arial" w:hAnsi="Arial" w:cs="Arial"/>
              <w:lang w:val="en-GB"/>
            </w:rPr>
            <w:t xml:space="preserve"> </w:t>
          </w:r>
          <w:r w:rsidR="0017513A" w:rsidRPr="00FF027F">
            <w:rPr>
              <w:rFonts w:ascii="Arial" w:hAnsi="Arial" w:cs="Arial"/>
              <w:lang w:val="en-GB"/>
            </w:rPr>
            <w:t>N</w:t>
          </w:r>
          <w:r w:rsidR="005D6EEF" w:rsidRPr="00FF027F">
            <w:rPr>
              <w:rFonts w:ascii="Arial" w:hAnsi="Arial" w:cs="Arial"/>
              <w:lang w:val="en-GB"/>
            </w:rPr>
            <w:t xml:space="preserve">etwork </w:t>
          </w:r>
          <w:r w:rsidR="0017513A" w:rsidRPr="00FF027F">
            <w:rPr>
              <w:rFonts w:ascii="Arial" w:hAnsi="Arial" w:cs="Arial"/>
              <w:lang w:val="en-GB"/>
            </w:rPr>
            <w:t>C</w:t>
          </w:r>
          <w:r w:rsidR="005D6EEF" w:rsidRPr="00FF027F">
            <w:rPr>
              <w:rFonts w:ascii="Arial" w:hAnsi="Arial" w:cs="Arial"/>
              <w:lang w:val="en-GB"/>
            </w:rPr>
            <w:t xml:space="preserve">odes and </w:t>
          </w:r>
          <w:r w:rsidR="0017513A" w:rsidRPr="00FF027F">
            <w:rPr>
              <w:rFonts w:ascii="Arial" w:hAnsi="Arial" w:cs="Arial"/>
              <w:lang w:val="en-GB"/>
            </w:rPr>
            <w:t>G</w:t>
          </w:r>
          <w:r w:rsidR="005D6EEF" w:rsidRPr="00FF027F">
            <w:rPr>
              <w:rFonts w:ascii="Arial" w:hAnsi="Arial" w:cs="Arial"/>
              <w:lang w:val="en-GB"/>
            </w:rPr>
            <w:t>uidelines 2015</w:t>
          </w:r>
          <w:r w:rsidR="00B949EE" w:rsidRPr="00FF027F">
            <w:rPr>
              <w:rFonts w:ascii="Arial" w:hAnsi="Arial" w:cs="Arial"/>
              <w:lang w:val="en-GB"/>
            </w:rPr>
            <w:t>.</w:t>
          </w:r>
          <w:r w:rsidR="005D6EEF" w:rsidRPr="00FF027F">
            <w:rPr>
              <w:rFonts w:ascii="Arial" w:hAnsi="Arial" w:cs="Arial"/>
              <w:lang w:val="en-GB"/>
            </w:rPr>
            <w:t xml:space="preserve"> </w:t>
          </w:r>
        </w:p>
        <w:p w14:paraId="65583358" w14:textId="77777777" w:rsidR="00483A63" w:rsidRPr="00FF027F" w:rsidRDefault="0029745F" w:rsidP="004C3C5A">
          <w:pPr>
            <w:pStyle w:val="Heading1"/>
            <w:rPr>
              <w:color w:val="FF0000"/>
            </w:rPr>
          </w:pPr>
          <w:bookmarkStart w:id="69" w:name="_Toc396913779"/>
          <w:r w:rsidRPr="00FF027F">
            <w:t>Opera</w:t>
          </w:r>
          <w:r w:rsidR="002A3974" w:rsidRPr="00FF027F">
            <w:t xml:space="preserve">tional </w:t>
          </w:r>
          <w:r w:rsidR="00E41D9B" w:rsidRPr="00FF027F">
            <w:t>Activities/ Deliverables</w:t>
          </w:r>
          <w:bookmarkEnd w:id="69"/>
          <w:r w:rsidR="00E41D9B" w:rsidRPr="00FF027F">
            <w:t xml:space="preserve"> </w:t>
          </w:r>
        </w:p>
        <w:p w14:paraId="03B6A86A" w14:textId="77777777" w:rsidR="00483A63" w:rsidRPr="00FF027F" w:rsidRDefault="00B5580E" w:rsidP="00483A63">
          <w:pPr>
            <w:pStyle w:val="Heading2"/>
          </w:pPr>
          <w:bookmarkStart w:id="70" w:name="_Toc396913780"/>
          <w:r w:rsidRPr="00FF027F">
            <w:t>Electricity</w:t>
          </w:r>
          <w:bookmarkEnd w:id="70"/>
          <w:r w:rsidR="00CD3F89" w:rsidRPr="00FF027F">
            <w:rPr>
              <w:color w:val="FF0000"/>
            </w:rPr>
            <w:t xml:space="preserve"> </w:t>
          </w:r>
        </w:p>
        <w:p w14:paraId="11679E23" w14:textId="7BD644AC" w:rsidR="008D5E93" w:rsidRPr="00FF027F" w:rsidRDefault="008D5E93" w:rsidP="00B949EE">
          <w:pPr>
            <w:pStyle w:val="11ptVerdanaBold"/>
            <w:spacing w:before="360" w:after="240" w:line="360" w:lineRule="auto"/>
            <w:jc w:val="both"/>
            <w:rPr>
              <w:rFonts w:ascii="Arial" w:hAnsi="Arial" w:cs="Arial"/>
              <w:b w:val="0"/>
            </w:rPr>
          </w:pPr>
          <w:r w:rsidRPr="00FF027F">
            <w:rPr>
              <w:rFonts w:ascii="Arial" w:hAnsi="Arial" w:cs="Arial"/>
              <w:b w:val="0"/>
            </w:rPr>
            <w:t xml:space="preserve">This stream of work will be mainly driven by the </w:t>
          </w:r>
          <w:r w:rsidR="00010B26" w:rsidRPr="00FF027F">
            <w:rPr>
              <w:rFonts w:ascii="Arial" w:hAnsi="Arial" w:cs="Arial"/>
              <w:b w:val="0"/>
            </w:rPr>
            <w:t xml:space="preserve">timing </w:t>
          </w:r>
          <w:r w:rsidRPr="00FF027F">
            <w:rPr>
              <w:rFonts w:ascii="Arial" w:hAnsi="Arial" w:cs="Arial"/>
              <w:b w:val="0"/>
            </w:rPr>
            <w:t>of the Comitology process for the adoption of the Network Codes already recommended by the Agency, the efficiency of their implementation</w:t>
          </w:r>
          <w:r w:rsidR="00010B26" w:rsidRPr="00FF027F">
            <w:rPr>
              <w:rFonts w:ascii="Arial" w:hAnsi="Arial" w:cs="Arial"/>
              <w:b w:val="0"/>
            </w:rPr>
            <w:t>,</w:t>
          </w:r>
          <w:r w:rsidRPr="00FF027F">
            <w:rPr>
              <w:rFonts w:ascii="Arial" w:hAnsi="Arial" w:cs="Arial"/>
              <w:b w:val="0"/>
            </w:rPr>
            <w:t xml:space="preserve"> but also </w:t>
          </w:r>
          <w:r w:rsidR="00BB16BC" w:rsidRPr="00FF027F">
            <w:rPr>
              <w:rFonts w:ascii="Arial" w:hAnsi="Arial" w:cs="Arial"/>
              <w:b w:val="0"/>
            </w:rPr>
            <w:t>by</w:t>
          </w:r>
          <w:r w:rsidR="00010B26" w:rsidRPr="00FF027F">
            <w:rPr>
              <w:rFonts w:ascii="Arial" w:hAnsi="Arial" w:cs="Arial"/>
              <w:b w:val="0"/>
            </w:rPr>
            <w:t xml:space="preserve"> any </w:t>
          </w:r>
          <w:r w:rsidR="00B949EE" w:rsidRPr="00FF027F">
            <w:rPr>
              <w:rFonts w:ascii="Arial" w:hAnsi="Arial" w:cs="Arial"/>
              <w:b w:val="0"/>
            </w:rPr>
            <w:t xml:space="preserve">new </w:t>
          </w:r>
          <w:r w:rsidRPr="00FF027F">
            <w:rPr>
              <w:rFonts w:ascii="Arial" w:hAnsi="Arial" w:cs="Arial"/>
              <w:b w:val="0"/>
            </w:rPr>
            <w:t xml:space="preserve">priorities </w:t>
          </w:r>
          <w:r w:rsidR="00010B26" w:rsidRPr="00FF027F">
            <w:rPr>
              <w:rFonts w:ascii="Arial" w:hAnsi="Arial" w:cs="Arial"/>
              <w:b w:val="0"/>
            </w:rPr>
            <w:t xml:space="preserve">set by the Europen Commission </w:t>
          </w:r>
          <w:r w:rsidRPr="00FF027F">
            <w:rPr>
              <w:rFonts w:ascii="Arial" w:hAnsi="Arial" w:cs="Arial"/>
              <w:b w:val="0"/>
            </w:rPr>
            <w:t>for 2015.</w:t>
          </w:r>
        </w:p>
        <w:p w14:paraId="4F2A5DF6" w14:textId="77777777" w:rsidR="00B82A7A" w:rsidRPr="00FF027F" w:rsidRDefault="00B82A7A" w:rsidP="00B82A7A">
          <w:pPr>
            <w:pStyle w:val="Heading3"/>
            <w:rPr>
              <w:color w:val="4F81BD" w:themeColor="accent1"/>
            </w:rPr>
          </w:pPr>
          <w:bookmarkStart w:id="71" w:name="_Toc396913781"/>
          <w:r w:rsidRPr="00FF027F">
            <w:rPr>
              <w:color w:val="4F81BD" w:themeColor="accent1"/>
            </w:rPr>
            <w:t>Framework Guidelines</w:t>
          </w:r>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B82A7A" w:rsidRPr="00FF027F" w14:paraId="713E5C2B" w14:textId="77777777" w:rsidTr="00C50CB4">
            <w:trPr>
              <w:trHeight w:val="520"/>
            </w:trPr>
            <w:tc>
              <w:tcPr>
                <w:tcW w:w="1985" w:type="dxa"/>
                <w:shd w:val="clear" w:color="auto" w:fill="002060"/>
              </w:tcPr>
              <w:p w14:paraId="27637784" w14:textId="0D7CED83" w:rsidR="00B82A7A" w:rsidRPr="00FF027F" w:rsidRDefault="00D21685" w:rsidP="005C517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2DECD1EE" w14:textId="2ECAE295" w:rsidR="00B82A7A" w:rsidRPr="00FF027F" w:rsidRDefault="00B82A7A" w:rsidP="00662EA5">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Scoping </w:t>
                </w:r>
                <w:r w:rsidR="00662EA5" w:rsidRPr="00FF027F">
                  <w:rPr>
                    <w:rFonts w:ascii="Arial" w:hAnsi="Arial" w:cs="Arial"/>
                    <w:b/>
                    <w:lang w:val="en-GB"/>
                  </w:rPr>
                  <w:t xml:space="preserve">to prepare for possible </w:t>
                </w:r>
                <w:r w:rsidRPr="00FF027F">
                  <w:rPr>
                    <w:rFonts w:ascii="Arial" w:hAnsi="Arial" w:cs="Arial"/>
                    <w:b/>
                    <w:lang w:val="en-GB"/>
                  </w:rPr>
                  <w:t>Framework Guidelines on rules regarding harmonised electricity</w:t>
                </w:r>
                <w:r w:rsidR="00662EA5" w:rsidRPr="00FF027F">
                  <w:rPr>
                    <w:rFonts w:ascii="Arial" w:hAnsi="Arial" w:cs="Arial"/>
                    <w:b/>
                    <w:lang w:val="en-GB"/>
                  </w:rPr>
                  <w:t xml:space="preserve"> transmission tariff structures</w:t>
                </w:r>
              </w:p>
            </w:tc>
          </w:tr>
          <w:tr w:rsidR="00B82A7A" w:rsidRPr="00FF027F" w14:paraId="315040ED" w14:textId="77777777" w:rsidTr="00C50CB4">
            <w:trPr>
              <w:trHeight w:val="504"/>
            </w:trPr>
            <w:tc>
              <w:tcPr>
                <w:tcW w:w="1985" w:type="dxa"/>
                <w:shd w:val="clear" w:color="auto" w:fill="auto"/>
              </w:tcPr>
              <w:p w14:paraId="0062CD1E"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Legal basis</w:t>
                </w:r>
              </w:p>
            </w:tc>
            <w:tc>
              <w:tcPr>
                <w:tcW w:w="7150" w:type="dxa"/>
                <w:shd w:val="clear" w:color="auto" w:fill="auto"/>
              </w:tcPr>
              <w:p w14:paraId="6963B629" w14:textId="7A3A1891" w:rsidR="00B82A7A" w:rsidRPr="00FF027F" w:rsidRDefault="00B82A7A" w:rsidP="00360513">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Article 6(4) Reg. (EC) No 713/2009; Articles 6(7), 6(9) and 8(6)(k) Reg. (EC) No 714/2009</w:t>
                </w:r>
              </w:p>
            </w:tc>
          </w:tr>
          <w:tr w:rsidR="00B82A7A" w:rsidRPr="00FF027F" w14:paraId="4FEF6837" w14:textId="77777777" w:rsidTr="00C50CB4">
            <w:trPr>
              <w:trHeight w:val="392"/>
            </w:trPr>
            <w:tc>
              <w:tcPr>
                <w:tcW w:w="1985" w:type="dxa"/>
                <w:shd w:val="clear" w:color="auto" w:fill="auto"/>
              </w:tcPr>
              <w:p w14:paraId="6ED799E3"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Overview (status)</w:t>
                </w:r>
              </w:p>
            </w:tc>
            <w:tc>
              <w:tcPr>
                <w:tcW w:w="7150" w:type="dxa"/>
                <w:shd w:val="clear" w:color="auto" w:fill="auto"/>
              </w:tcPr>
              <w:p w14:paraId="603798D7" w14:textId="33229F7C" w:rsidR="00B82A7A" w:rsidRPr="00FF027F" w:rsidRDefault="00B82A7A" w:rsidP="00662EA5">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Scoping </w:t>
                </w:r>
                <w:r w:rsidR="00662EA5" w:rsidRPr="00FF027F">
                  <w:rPr>
                    <w:rFonts w:ascii="Arial" w:eastAsia="Calibri" w:hAnsi="Arial" w:cs="Arial"/>
                    <w:bCs/>
                    <w:lang w:val="en-GB"/>
                  </w:rPr>
                  <w:t xml:space="preserve">to prepare for possible </w:t>
                </w:r>
                <w:r w:rsidRPr="00FF027F">
                  <w:rPr>
                    <w:rFonts w:ascii="Arial" w:eastAsia="Calibri" w:hAnsi="Arial" w:cs="Arial"/>
                    <w:bCs/>
                    <w:lang w:val="en-GB"/>
                  </w:rPr>
                  <w:t>Framework Guidelines on Rules regarding Harmonised Electricity Transmission Tariff Structures started in 2013 and will be completed in 2015</w:t>
                </w:r>
                <w:r w:rsidR="00B949EE" w:rsidRPr="00FF027F">
                  <w:rPr>
                    <w:rFonts w:ascii="Arial" w:eastAsia="Calibri" w:hAnsi="Arial" w:cs="Arial"/>
                    <w:bCs/>
                    <w:lang w:val="en-GB"/>
                  </w:rPr>
                  <w:t>.</w:t>
                </w:r>
              </w:p>
            </w:tc>
          </w:tr>
          <w:tr w:rsidR="00B82A7A" w:rsidRPr="00FF027F" w14:paraId="56834F3E" w14:textId="77777777" w:rsidTr="00C50CB4">
            <w:trPr>
              <w:trHeight w:val="701"/>
            </w:trPr>
            <w:tc>
              <w:tcPr>
                <w:tcW w:w="1985" w:type="dxa"/>
                <w:shd w:val="clear" w:color="auto" w:fill="auto"/>
              </w:tcPr>
              <w:p w14:paraId="2E7DE657"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Objectives and Outputs </w:t>
                </w:r>
              </w:p>
            </w:tc>
            <w:tc>
              <w:tcPr>
                <w:tcW w:w="7150" w:type="dxa"/>
                <w:shd w:val="clear" w:color="auto" w:fill="auto"/>
              </w:tcPr>
              <w:p w14:paraId="2EFA61B6" w14:textId="524D1E0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Delivery of the Scoping for </w:t>
                </w:r>
                <w:r w:rsidR="00662EA5" w:rsidRPr="00FF027F">
                  <w:rPr>
                    <w:rFonts w:ascii="Arial" w:eastAsia="Calibri" w:hAnsi="Arial" w:cs="Arial"/>
                    <w:bCs/>
                    <w:lang w:val="en-GB"/>
                  </w:rPr>
                  <w:t xml:space="preserve">possible </w:t>
                </w:r>
                <w:r w:rsidRPr="00FF027F">
                  <w:rPr>
                    <w:rFonts w:ascii="Arial" w:eastAsia="Calibri" w:hAnsi="Arial" w:cs="Arial"/>
                    <w:bCs/>
                    <w:lang w:val="en-GB"/>
                  </w:rPr>
                  <w:t>Framework Guidelines on Rules regarding Harmonised Electricity Transmission Tariff Structures according to the timeline indicated in the Three-Year Plan</w:t>
                </w:r>
                <w:r w:rsidR="00B949EE" w:rsidRPr="00FF027F">
                  <w:rPr>
                    <w:rFonts w:ascii="Arial" w:eastAsia="Calibri" w:hAnsi="Arial" w:cs="Arial"/>
                    <w:bCs/>
                    <w:lang w:val="en-GB"/>
                  </w:rPr>
                  <w:t>.</w:t>
                </w:r>
              </w:p>
            </w:tc>
          </w:tr>
          <w:tr w:rsidR="00B82A7A" w:rsidRPr="00FF027F" w14:paraId="701FD130" w14:textId="77777777" w:rsidTr="00C50CB4">
            <w:trPr>
              <w:trHeight w:val="780"/>
            </w:trPr>
            <w:tc>
              <w:tcPr>
                <w:tcW w:w="1985" w:type="dxa"/>
                <w:shd w:val="clear" w:color="auto" w:fill="auto"/>
              </w:tcPr>
              <w:p w14:paraId="0683EC59"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Performance indicators and targets (deadlines)</w:t>
                </w:r>
              </w:p>
            </w:tc>
            <w:tc>
              <w:tcPr>
                <w:tcW w:w="7150" w:type="dxa"/>
                <w:shd w:val="clear" w:color="auto" w:fill="auto"/>
              </w:tcPr>
              <w:p w14:paraId="65BF1F47"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Timely delivery</w:t>
                </w:r>
              </w:p>
            </w:tc>
          </w:tr>
          <w:tr w:rsidR="00B82A7A" w:rsidRPr="00FF027F" w14:paraId="0BB4AB73" w14:textId="77777777" w:rsidTr="00C50CB4">
            <w:trPr>
              <w:trHeight w:val="535"/>
            </w:trPr>
            <w:tc>
              <w:tcPr>
                <w:tcW w:w="1985" w:type="dxa"/>
                <w:shd w:val="clear" w:color="auto" w:fill="auto"/>
              </w:tcPr>
              <w:p w14:paraId="0FA91BF2"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Staff</w:t>
                </w:r>
              </w:p>
            </w:tc>
            <w:tc>
              <w:tcPr>
                <w:tcW w:w="7150" w:type="dxa"/>
                <w:shd w:val="clear" w:color="auto" w:fill="auto"/>
              </w:tcPr>
              <w:p w14:paraId="65A1CFFB"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0.4 FTE</w:t>
                </w:r>
              </w:p>
            </w:tc>
          </w:tr>
          <w:tr w:rsidR="00B82A7A" w:rsidRPr="00FF027F" w14:paraId="5F253191"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D221765"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0FE85583"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Given the limited resources of the Agency, the involvement of NRAs and national experts is essential to ensure the timely delivery</w:t>
                </w:r>
                <w:r w:rsidR="00B949EE" w:rsidRPr="00FF027F">
                  <w:rPr>
                    <w:rFonts w:ascii="Arial" w:eastAsia="Calibri" w:hAnsi="Arial" w:cs="Arial"/>
                    <w:bCs/>
                    <w:lang w:val="en-GB"/>
                  </w:rPr>
                  <w:t>.</w:t>
                </w:r>
              </w:p>
            </w:tc>
          </w:tr>
        </w:tbl>
        <w:p w14:paraId="30EB839C" w14:textId="77777777" w:rsidR="00B82A7A" w:rsidRPr="00FF027F" w:rsidRDefault="00B82A7A" w:rsidP="00B82A7A">
          <w:pPr>
            <w:jc w:val="both"/>
            <w:rPr>
              <w:rFonts w:ascii="Arial" w:hAnsi="Arial" w:cs="Arial"/>
              <w:lang w:val="en-GB"/>
            </w:rPr>
          </w:pPr>
        </w:p>
        <w:p w14:paraId="5624BBC8" w14:textId="77777777" w:rsidR="00B82A7A" w:rsidRPr="00FF027F" w:rsidRDefault="00B82A7A" w:rsidP="00B82A7A">
          <w:pPr>
            <w:pStyle w:val="Heading3"/>
            <w:rPr>
              <w:color w:val="4F81BD" w:themeColor="accent1"/>
            </w:rPr>
          </w:pPr>
          <w:bookmarkStart w:id="72" w:name="_Toc382919638"/>
          <w:bookmarkStart w:id="73" w:name="_Toc396913782"/>
          <w:r w:rsidRPr="00FF027F">
            <w:rPr>
              <w:color w:val="4F81BD" w:themeColor="accent1"/>
            </w:rPr>
            <w:t>Network Codes</w:t>
          </w:r>
          <w:bookmarkEnd w:id="72"/>
          <w:r w:rsidRPr="00FF027F">
            <w:rPr>
              <w:color w:val="4F81BD" w:themeColor="accent1"/>
            </w:rPr>
            <w:t>, their implementation and its monitoring</w:t>
          </w:r>
          <w:bookmarkEnd w:id="73"/>
          <w:r w:rsidRPr="00FF027F">
            <w:rPr>
              <w:color w:val="4F81BD" w:themeColor="accent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B82A7A" w:rsidRPr="00FF027F" w14:paraId="5F19D05B" w14:textId="77777777" w:rsidTr="00C50CB4">
            <w:trPr>
              <w:trHeight w:val="520"/>
            </w:trPr>
            <w:tc>
              <w:tcPr>
                <w:tcW w:w="1985" w:type="dxa"/>
                <w:shd w:val="clear" w:color="auto" w:fill="002060"/>
              </w:tcPr>
              <w:p w14:paraId="5A44C5C4" w14:textId="77777777" w:rsidR="00B82A7A" w:rsidRPr="00FF027F" w:rsidRDefault="00B82A7A" w:rsidP="005C517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1B63CF71" w14:textId="77777777" w:rsidR="00B82A7A" w:rsidRPr="00FF027F" w:rsidRDefault="00B82A7A" w:rsidP="00C50CB4">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Reasoned opinion and Recommendation on the Network Code on Emergency and Restoration</w:t>
                </w:r>
              </w:p>
            </w:tc>
          </w:tr>
          <w:tr w:rsidR="00B82A7A" w:rsidRPr="00FF027F" w14:paraId="4F33413F" w14:textId="77777777" w:rsidTr="00C50CB4">
            <w:trPr>
              <w:trHeight w:val="504"/>
            </w:trPr>
            <w:tc>
              <w:tcPr>
                <w:tcW w:w="1985" w:type="dxa"/>
                <w:shd w:val="clear" w:color="auto" w:fill="auto"/>
              </w:tcPr>
              <w:p w14:paraId="7C5B16A3"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Legal basis</w:t>
                </w:r>
              </w:p>
            </w:tc>
            <w:tc>
              <w:tcPr>
                <w:tcW w:w="7150" w:type="dxa"/>
                <w:shd w:val="clear" w:color="auto" w:fill="auto"/>
              </w:tcPr>
              <w:p w14:paraId="4D80546A" w14:textId="77777777" w:rsidR="00B82A7A" w:rsidRPr="00FF027F" w:rsidRDefault="00B82A7A" w:rsidP="00B949EE">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Article 6(4) of Regulation (EC) No 713/2009; Articles 6(7) and 8(6)(f) of Regulation (EC) No 714/2009</w:t>
                </w:r>
              </w:p>
            </w:tc>
          </w:tr>
          <w:tr w:rsidR="00B82A7A" w:rsidRPr="00FF027F" w14:paraId="473C9EA8" w14:textId="77777777" w:rsidTr="00C50CB4">
            <w:trPr>
              <w:trHeight w:val="392"/>
            </w:trPr>
            <w:tc>
              <w:tcPr>
                <w:tcW w:w="1985" w:type="dxa"/>
                <w:shd w:val="clear" w:color="auto" w:fill="auto"/>
              </w:tcPr>
              <w:p w14:paraId="7C5AE673"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Overview (status)</w:t>
                </w:r>
              </w:p>
            </w:tc>
            <w:tc>
              <w:tcPr>
                <w:tcW w:w="7150" w:type="dxa"/>
                <w:shd w:val="clear" w:color="auto" w:fill="auto"/>
              </w:tcPr>
              <w:p w14:paraId="4647BE71" w14:textId="77777777" w:rsidR="00B82A7A" w:rsidRPr="00FF027F" w:rsidRDefault="00B82A7A" w:rsidP="00B949EE">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ENTSO-E shall submit the Network Code on Emergency and Restoration to the Agency by 1 April 2015.</w:t>
                </w:r>
              </w:p>
              <w:p w14:paraId="4961C7D9" w14:textId="77777777" w:rsidR="00B82A7A" w:rsidRPr="00FF027F" w:rsidRDefault="00B82A7A" w:rsidP="00B949EE">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The Agency shall issue an Opinion on this Network Code within three months of receiving it from ENTSO-E. The Recommendation to the European Commission could be issued at the same time as the Opinion or later, depending on whether the Agency is satisfied with the compliance of the Network Code with the Framework Guideline. </w:t>
                </w:r>
              </w:p>
            </w:tc>
          </w:tr>
          <w:tr w:rsidR="00B82A7A" w:rsidRPr="00FF027F" w14:paraId="22DCDE4E" w14:textId="77777777" w:rsidTr="00C50CB4">
            <w:trPr>
              <w:trHeight w:val="1017"/>
            </w:trPr>
            <w:tc>
              <w:tcPr>
                <w:tcW w:w="1985" w:type="dxa"/>
                <w:shd w:val="clear" w:color="auto" w:fill="auto"/>
              </w:tcPr>
              <w:p w14:paraId="7B9F702A"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Objectives and Outputs </w:t>
                </w:r>
              </w:p>
            </w:tc>
            <w:tc>
              <w:tcPr>
                <w:tcW w:w="7150" w:type="dxa"/>
                <w:shd w:val="clear" w:color="auto" w:fill="auto"/>
              </w:tcPr>
              <w:p w14:paraId="2E9EF2FF" w14:textId="77777777" w:rsidR="00B82A7A" w:rsidRPr="00FF027F" w:rsidRDefault="00B82A7A" w:rsidP="00B949EE">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Delivery of the Opinion and Recommendation to the European Commission on the Network Code on Emergency and Restoration according to the timeline indicated in the Three-Year Plan. </w:t>
                </w:r>
              </w:p>
            </w:tc>
          </w:tr>
          <w:tr w:rsidR="00B82A7A" w:rsidRPr="00FF027F" w14:paraId="7AA5A3BD" w14:textId="77777777" w:rsidTr="00C50CB4">
            <w:trPr>
              <w:trHeight w:val="780"/>
            </w:trPr>
            <w:tc>
              <w:tcPr>
                <w:tcW w:w="1985" w:type="dxa"/>
                <w:shd w:val="clear" w:color="auto" w:fill="auto"/>
              </w:tcPr>
              <w:p w14:paraId="0E491C9F"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Performance indicators and targets (deadlines)</w:t>
                </w:r>
              </w:p>
            </w:tc>
            <w:tc>
              <w:tcPr>
                <w:tcW w:w="7150" w:type="dxa"/>
                <w:shd w:val="clear" w:color="auto" w:fill="auto"/>
              </w:tcPr>
              <w:p w14:paraId="25DBC1C7" w14:textId="3A97C982" w:rsidR="00B82A7A" w:rsidRPr="00FF027F" w:rsidRDefault="00B82A7A" w:rsidP="00D80AD9">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The timely delivery of the Opinion and Recommendation on the Network Co</w:t>
                </w:r>
                <w:r w:rsidR="00D80AD9" w:rsidRPr="00FF027F">
                  <w:rPr>
                    <w:rFonts w:ascii="Arial" w:eastAsia="Calibri" w:hAnsi="Arial" w:cs="Arial"/>
                    <w:bCs/>
                    <w:lang w:val="en-GB"/>
                  </w:rPr>
                  <w:t>de on Emergency and Restoration (within 3 months of its submission by ENTSO-E)</w:t>
                </w:r>
                <w:r w:rsidR="005C517E" w:rsidRPr="00FF027F">
                  <w:rPr>
                    <w:rFonts w:ascii="Arial" w:eastAsia="Calibri" w:hAnsi="Arial" w:cs="Arial"/>
                    <w:bCs/>
                    <w:lang w:val="en-GB"/>
                  </w:rPr>
                  <w:t>.</w:t>
                </w:r>
              </w:p>
            </w:tc>
          </w:tr>
          <w:tr w:rsidR="00B82A7A" w:rsidRPr="00FF027F" w14:paraId="31D543F5" w14:textId="77777777" w:rsidTr="00C50CB4">
            <w:trPr>
              <w:trHeight w:val="535"/>
            </w:trPr>
            <w:tc>
              <w:tcPr>
                <w:tcW w:w="1985" w:type="dxa"/>
                <w:shd w:val="clear" w:color="auto" w:fill="auto"/>
              </w:tcPr>
              <w:p w14:paraId="3F878F8F" w14:textId="77777777" w:rsidR="00B82A7A" w:rsidRPr="00FF027F" w:rsidRDefault="00B82A7A" w:rsidP="00C50CB4">
                <w:pPr>
                  <w:autoSpaceDE w:val="0"/>
                  <w:autoSpaceDN w:val="0"/>
                  <w:adjustRightInd w:val="0"/>
                  <w:spacing w:before="120" w:after="120" w:line="240" w:lineRule="auto"/>
                  <w:ind w:left="202"/>
                  <w:rPr>
                    <w:rFonts w:ascii="Arial" w:hAnsi="Arial" w:cs="Arial"/>
                    <w:sz w:val="20"/>
                    <w:szCs w:val="20"/>
                    <w:lang w:val="en-GB"/>
                  </w:rPr>
                </w:pPr>
                <w:r w:rsidRPr="00FF027F">
                  <w:rPr>
                    <w:rFonts w:ascii="Arial" w:eastAsia="Calibri" w:hAnsi="Arial" w:cs="Arial"/>
                    <w:bCs/>
                    <w:lang w:val="en-GB"/>
                  </w:rPr>
                  <w:t>Staff</w:t>
                </w:r>
              </w:p>
            </w:tc>
            <w:tc>
              <w:tcPr>
                <w:tcW w:w="7150" w:type="dxa"/>
                <w:shd w:val="clear" w:color="auto" w:fill="auto"/>
              </w:tcPr>
              <w:p w14:paraId="4E9B2B34" w14:textId="77777777" w:rsidR="00B82A7A" w:rsidRPr="00FF027F" w:rsidRDefault="00B949EE" w:rsidP="00D80AD9">
                <w:pPr>
                  <w:spacing w:before="120" w:after="120"/>
                  <w:ind w:left="202"/>
                  <w:rPr>
                    <w:rFonts w:ascii="Arial" w:hAnsi="Arial" w:cs="Arial"/>
                    <w:lang w:val="en-GB"/>
                  </w:rPr>
                </w:pPr>
                <w:r w:rsidRPr="00FF027F">
                  <w:rPr>
                    <w:rFonts w:ascii="Arial" w:hAnsi="Arial" w:cs="Arial"/>
                    <w:bCs/>
                    <w:lang w:val="en-GB"/>
                  </w:rPr>
                  <w:t>0</w:t>
                </w:r>
                <w:r w:rsidR="00B82A7A" w:rsidRPr="00FF027F">
                  <w:rPr>
                    <w:rFonts w:ascii="Arial" w:eastAsia="Calibri" w:hAnsi="Arial" w:cs="Arial"/>
                    <w:bCs/>
                    <w:lang w:val="en-GB"/>
                  </w:rPr>
                  <w:t>.3 FTE</w:t>
                </w:r>
              </w:p>
            </w:tc>
          </w:tr>
          <w:tr w:rsidR="00B82A7A" w:rsidRPr="00FF027F" w14:paraId="0D4796DD"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D9CCE37"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63A0075E" w14:textId="77777777" w:rsidR="00B82A7A" w:rsidRPr="00FF027F" w:rsidRDefault="00B82A7A" w:rsidP="00D80AD9">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Given the limited resources of the Agency, the involvement of NRAs and national experts is essential to ensure the timely delivery of the Opinion and the Recommendation.</w:t>
                </w:r>
              </w:p>
            </w:tc>
          </w:tr>
        </w:tbl>
        <w:p w14:paraId="0E735D7A" w14:textId="77777777" w:rsidR="00B82A7A" w:rsidRPr="00FF027F" w:rsidRDefault="00B82A7A" w:rsidP="00B82A7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B82A7A" w:rsidRPr="00FF027F" w14:paraId="72047783" w14:textId="77777777" w:rsidTr="00C50CB4">
            <w:trPr>
              <w:trHeight w:val="520"/>
            </w:trPr>
            <w:tc>
              <w:tcPr>
                <w:tcW w:w="1985" w:type="dxa"/>
                <w:shd w:val="clear" w:color="auto" w:fill="002060"/>
              </w:tcPr>
              <w:p w14:paraId="7AD5C5D7" w14:textId="77777777" w:rsidR="00B82A7A" w:rsidRPr="00FF027F" w:rsidRDefault="00B82A7A" w:rsidP="005C517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7613D5F8" w14:textId="77777777" w:rsidR="00B82A7A" w:rsidRPr="00FF027F" w:rsidRDefault="00B82A7A" w:rsidP="00C50CB4">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Advice and support on Network Codes during the comitology process, as appropriate</w:t>
                </w:r>
              </w:p>
            </w:tc>
          </w:tr>
          <w:tr w:rsidR="00B82A7A" w:rsidRPr="00FF027F" w14:paraId="0451E852" w14:textId="77777777" w:rsidTr="00C50CB4">
            <w:trPr>
              <w:trHeight w:val="504"/>
            </w:trPr>
            <w:tc>
              <w:tcPr>
                <w:tcW w:w="1985" w:type="dxa"/>
                <w:shd w:val="clear" w:color="auto" w:fill="auto"/>
              </w:tcPr>
              <w:p w14:paraId="3069D680"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Legal basis</w:t>
                </w:r>
              </w:p>
            </w:tc>
            <w:tc>
              <w:tcPr>
                <w:tcW w:w="7150" w:type="dxa"/>
                <w:shd w:val="clear" w:color="auto" w:fill="auto"/>
              </w:tcPr>
              <w:p w14:paraId="6756B45B" w14:textId="77777777" w:rsidR="00B82A7A" w:rsidRPr="00FF027F" w:rsidRDefault="00B82A7A" w:rsidP="00D80AD9">
                <w:pPr>
                  <w:autoSpaceDE w:val="0"/>
                  <w:autoSpaceDN w:val="0"/>
                  <w:adjustRightInd w:val="0"/>
                  <w:spacing w:before="120" w:after="0" w:line="240" w:lineRule="auto"/>
                  <w:ind w:left="202"/>
                  <w:rPr>
                    <w:rFonts w:ascii="Arial" w:eastAsia="Calibri" w:hAnsi="Arial" w:cs="Arial"/>
                    <w:bCs/>
                    <w:lang w:val="en-GB"/>
                  </w:rPr>
                </w:pPr>
                <w:r w:rsidRPr="00FF027F">
                  <w:rPr>
                    <w:rFonts w:ascii="Arial" w:eastAsia="Calibri" w:hAnsi="Arial" w:cs="Arial"/>
                    <w:bCs/>
                    <w:lang w:val="en-GB"/>
                  </w:rPr>
                  <w:t>Article 6 and Article 8(6)(a), (b), (g) and (j) Regulation (EC) 714/2009</w:t>
                </w:r>
              </w:p>
            </w:tc>
          </w:tr>
          <w:tr w:rsidR="00B82A7A" w:rsidRPr="00FF027F" w14:paraId="4F8F542A" w14:textId="77777777" w:rsidTr="00C50CB4">
            <w:trPr>
              <w:trHeight w:val="392"/>
            </w:trPr>
            <w:tc>
              <w:tcPr>
                <w:tcW w:w="1985" w:type="dxa"/>
                <w:shd w:val="clear" w:color="auto" w:fill="auto"/>
              </w:tcPr>
              <w:p w14:paraId="554A3C6C"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Overview (status)</w:t>
                </w:r>
              </w:p>
            </w:tc>
            <w:tc>
              <w:tcPr>
                <w:tcW w:w="7150" w:type="dxa"/>
                <w:shd w:val="clear" w:color="auto" w:fill="auto"/>
              </w:tcPr>
              <w:p w14:paraId="1BFCE2A3" w14:textId="528A3FF7" w:rsidR="00B82A7A" w:rsidRPr="00FF027F" w:rsidRDefault="00B82A7A" w:rsidP="00DF39F6">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The Agency has recommended the adoption, by the EC via the comitology</w:t>
                </w:r>
                <w:r w:rsidR="00D80AD9" w:rsidRPr="00FF027F">
                  <w:rPr>
                    <w:rFonts w:ascii="Arial" w:eastAsia="Calibri" w:hAnsi="Arial" w:cs="Arial"/>
                    <w:bCs/>
                    <w:lang w:val="en-GB"/>
                  </w:rPr>
                  <w:t xml:space="preserve"> procedure</w:t>
                </w:r>
                <w:r w:rsidRPr="00FF027F">
                  <w:rPr>
                    <w:rFonts w:ascii="Arial" w:eastAsia="Calibri" w:hAnsi="Arial" w:cs="Arial"/>
                    <w:bCs/>
                    <w:lang w:val="en-GB"/>
                  </w:rPr>
                  <w:t xml:space="preserve">, of the suites of electricity grid connection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 xml:space="preserve">odes, electricity system operation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 xml:space="preserve">odes, the Network Code on Capacity Allocation and Congestion Management, the Network Code on Forward Capacity Allocation. The Network Code on Electricity Balancing is expected to be recommended for the adoption by the end of 2014. The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odes</w:t>
                </w:r>
                <w:r w:rsidR="005C517E" w:rsidRPr="00FF027F">
                  <w:rPr>
                    <w:rFonts w:ascii="Arial" w:eastAsia="Calibri" w:hAnsi="Arial" w:cs="Arial"/>
                    <w:bCs/>
                    <w:lang w:val="en-GB"/>
                  </w:rPr>
                  <w:t>’</w:t>
                </w:r>
                <w:r w:rsidRPr="00FF027F">
                  <w:rPr>
                    <w:rFonts w:ascii="Arial" w:eastAsia="Calibri" w:hAnsi="Arial" w:cs="Arial"/>
                    <w:bCs/>
                    <w:lang w:val="en-GB"/>
                  </w:rPr>
                  <w:t xml:space="preserve"> adoption process is set to continue through 2015. </w:t>
                </w:r>
              </w:p>
            </w:tc>
          </w:tr>
          <w:tr w:rsidR="00B82A7A" w:rsidRPr="00FF027F" w14:paraId="57112DFF" w14:textId="77777777" w:rsidTr="00C50CB4">
            <w:trPr>
              <w:trHeight w:val="1017"/>
            </w:trPr>
            <w:tc>
              <w:tcPr>
                <w:tcW w:w="1985" w:type="dxa"/>
                <w:shd w:val="clear" w:color="auto" w:fill="auto"/>
              </w:tcPr>
              <w:p w14:paraId="489CBE00"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Objectives and Outputs </w:t>
                </w:r>
              </w:p>
            </w:tc>
            <w:tc>
              <w:tcPr>
                <w:tcW w:w="7150" w:type="dxa"/>
                <w:shd w:val="clear" w:color="auto" w:fill="auto"/>
              </w:tcPr>
              <w:p w14:paraId="4031F1AC" w14:textId="77777777" w:rsidR="00B82A7A" w:rsidRPr="00FF027F" w:rsidRDefault="00B82A7A" w:rsidP="00D80AD9">
                <w:pPr>
                  <w:autoSpaceDE w:val="0"/>
                  <w:autoSpaceDN w:val="0"/>
                  <w:adjustRightInd w:val="0"/>
                  <w:spacing w:before="120" w:after="0" w:line="240" w:lineRule="auto"/>
                  <w:ind w:left="202"/>
                  <w:rPr>
                    <w:rFonts w:ascii="Arial" w:eastAsia="Calibri" w:hAnsi="Arial" w:cs="Arial"/>
                    <w:bCs/>
                    <w:lang w:val="en-GB"/>
                  </w:rPr>
                </w:pPr>
                <w:r w:rsidRPr="00FF027F">
                  <w:rPr>
                    <w:rFonts w:ascii="Arial" w:eastAsia="Calibri" w:hAnsi="Arial" w:cs="Arial"/>
                    <w:bCs/>
                    <w:lang w:val="en-GB"/>
                  </w:rPr>
                  <w:t>Advice and support to be provided along the timelines determined by the Commission and the Comitology Committees.</w:t>
                </w:r>
              </w:p>
            </w:tc>
          </w:tr>
          <w:tr w:rsidR="00B82A7A" w:rsidRPr="00FF027F" w14:paraId="5203C80C" w14:textId="77777777" w:rsidTr="00C50CB4">
            <w:trPr>
              <w:trHeight w:val="780"/>
            </w:trPr>
            <w:tc>
              <w:tcPr>
                <w:tcW w:w="1985" w:type="dxa"/>
                <w:shd w:val="clear" w:color="auto" w:fill="auto"/>
              </w:tcPr>
              <w:p w14:paraId="491E79A9" w14:textId="77777777" w:rsidR="00B82A7A" w:rsidRPr="00FF027F" w:rsidRDefault="00B82A7A" w:rsidP="00C50CB4">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Performance indicators and targets (deadlines)</w:t>
                </w:r>
              </w:p>
            </w:tc>
            <w:tc>
              <w:tcPr>
                <w:tcW w:w="7150" w:type="dxa"/>
                <w:shd w:val="clear" w:color="auto" w:fill="auto"/>
              </w:tcPr>
              <w:p w14:paraId="312E230F" w14:textId="3CAA678F" w:rsidR="00B82A7A" w:rsidRPr="00FF027F" w:rsidRDefault="00B82A7A" w:rsidP="00D80AD9">
                <w:pPr>
                  <w:autoSpaceDE w:val="0"/>
                  <w:autoSpaceDN w:val="0"/>
                  <w:adjustRightInd w:val="0"/>
                  <w:spacing w:before="120" w:after="0" w:line="240" w:lineRule="auto"/>
                  <w:ind w:left="202"/>
                  <w:rPr>
                    <w:rFonts w:ascii="Arial" w:eastAsia="Calibri" w:hAnsi="Arial" w:cs="Arial"/>
                    <w:bCs/>
                    <w:lang w:val="en-GB"/>
                  </w:rPr>
                </w:pPr>
                <w:r w:rsidRPr="00FF027F">
                  <w:rPr>
                    <w:rFonts w:ascii="Arial" w:eastAsia="Calibri" w:hAnsi="Arial" w:cs="Arial"/>
                    <w:bCs/>
                    <w:lang w:val="en-GB"/>
                  </w:rPr>
                  <w:t xml:space="preserve">The timely delivery of the feedback and support on the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 xml:space="preserve">odes in due course of </w:t>
                </w:r>
                <w:r w:rsidR="00D80AD9" w:rsidRPr="00FF027F">
                  <w:rPr>
                    <w:rFonts w:ascii="Arial" w:eastAsia="Calibri" w:hAnsi="Arial" w:cs="Arial"/>
                    <w:bCs/>
                    <w:lang w:val="en-GB"/>
                  </w:rPr>
                  <w:t>c</w:t>
                </w:r>
                <w:r w:rsidRPr="00FF027F">
                  <w:rPr>
                    <w:rFonts w:ascii="Arial" w:eastAsia="Calibri" w:hAnsi="Arial" w:cs="Arial"/>
                    <w:bCs/>
                    <w:lang w:val="en-GB"/>
                  </w:rPr>
                  <w:t>omitology.</w:t>
                </w:r>
              </w:p>
            </w:tc>
          </w:tr>
          <w:tr w:rsidR="00B82A7A" w:rsidRPr="00FF027F" w14:paraId="252DA6D1" w14:textId="77777777" w:rsidTr="00C50CB4">
            <w:trPr>
              <w:trHeight w:val="535"/>
            </w:trPr>
            <w:tc>
              <w:tcPr>
                <w:tcW w:w="1985" w:type="dxa"/>
                <w:shd w:val="clear" w:color="auto" w:fill="auto"/>
              </w:tcPr>
              <w:p w14:paraId="761E46C7" w14:textId="77777777" w:rsidR="00B82A7A" w:rsidRPr="00FF027F" w:rsidRDefault="00B82A7A" w:rsidP="00D80AD9">
                <w:pPr>
                  <w:spacing w:before="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028E3902" w14:textId="77777777" w:rsidR="00B82A7A" w:rsidRPr="00FF027F" w:rsidRDefault="00B82A7A" w:rsidP="00D80AD9">
                <w:pPr>
                  <w:spacing w:before="120" w:after="0"/>
                  <w:ind w:left="202"/>
                  <w:rPr>
                    <w:lang w:val="en-GB"/>
                  </w:rPr>
                </w:pPr>
                <w:r w:rsidRPr="00FF027F">
                  <w:rPr>
                    <w:rFonts w:ascii="Arial" w:eastAsia="Calibri" w:hAnsi="Arial" w:cs="Arial"/>
                    <w:bCs/>
                    <w:lang w:val="en-GB"/>
                  </w:rPr>
                  <w:t>0.8 FTE</w:t>
                </w:r>
              </w:p>
            </w:tc>
          </w:tr>
          <w:tr w:rsidR="00B82A7A" w:rsidRPr="00FF027F" w14:paraId="19B4B6FC"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3657665" w14:textId="77777777" w:rsidR="00B82A7A" w:rsidRPr="00FF027F" w:rsidRDefault="00B82A7A" w:rsidP="00D80AD9">
                <w:pPr>
                  <w:spacing w:before="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467BE2B3" w14:textId="77777777" w:rsidR="00B82A7A" w:rsidRPr="00FF027F" w:rsidRDefault="00B82A7A" w:rsidP="00D80AD9">
                <w:pPr>
                  <w:spacing w:before="120" w:after="0"/>
                  <w:ind w:left="202"/>
                  <w:rPr>
                    <w:lang w:val="en-GB"/>
                  </w:rPr>
                </w:pPr>
                <w:r w:rsidRPr="00FF027F">
                  <w:rPr>
                    <w:rFonts w:ascii="Arial" w:eastAsia="Calibri" w:hAnsi="Arial" w:cs="Arial"/>
                    <w:bCs/>
                    <w:lang w:val="en-GB"/>
                  </w:rPr>
                  <w:t>No appreciable risk.</w:t>
                </w:r>
              </w:p>
            </w:tc>
          </w:tr>
        </w:tbl>
        <w:p w14:paraId="44DC9FBD" w14:textId="77777777" w:rsidR="00B82A7A" w:rsidRPr="00FF027F" w:rsidRDefault="00B82A7A" w:rsidP="00B82A7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6944"/>
          </w:tblGrid>
          <w:tr w:rsidR="00B82A7A" w:rsidRPr="00FF027F" w14:paraId="5C35B354" w14:textId="77777777" w:rsidTr="005E2AB9">
            <w:trPr>
              <w:trHeight w:val="520"/>
            </w:trPr>
            <w:tc>
              <w:tcPr>
                <w:tcW w:w="1965" w:type="dxa"/>
                <w:shd w:val="clear" w:color="auto" w:fill="002060"/>
              </w:tcPr>
              <w:p w14:paraId="5EE8E65B" w14:textId="3F5B9E48" w:rsidR="00B82A7A" w:rsidRPr="00FF027F" w:rsidRDefault="000F0584" w:rsidP="005C517E">
                <w:pPr>
                  <w:autoSpaceDE w:val="0"/>
                  <w:autoSpaceDN w:val="0"/>
                  <w:adjustRightInd w:val="0"/>
                  <w:spacing w:before="120" w:after="120" w:line="240" w:lineRule="auto"/>
                  <w:ind w:left="202"/>
                  <w:rPr>
                    <w:rFonts w:ascii="Arial" w:hAnsi="Arial" w:cs="Arial"/>
                    <w:b/>
                    <w:lang w:val="en-GB"/>
                  </w:rPr>
                </w:pPr>
                <w:r w:rsidRPr="00FF027F">
                  <w:rPr>
                    <w:lang w:val="en-GB"/>
                  </w:rPr>
                  <w:br w:type="page"/>
                </w:r>
                <w:r w:rsidR="00D21685" w:rsidRPr="00FF027F">
                  <w:rPr>
                    <w:rFonts w:ascii="Arial" w:hAnsi="Arial" w:cs="Arial"/>
                    <w:b/>
                    <w:lang w:val="en-GB"/>
                  </w:rPr>
                  <w:t>Activity</w:t>
                </w:r>
              </w:p>
            </w:tc>
            <w:tc>
              <w:tcPr>
                <w:tcW w:w="6944" w:type="dxa"/>
                <w:shd w:val="clear" w:color="auto" w:fill="002060"/>
              </w:tcPr>
              <w:p w14:paraId="27DA22F4" w14:textId="77777777" w:rsidR="00B82A7A" w:rsidRPr="00FF027F" w:rsidRDefault="00B82A7A" w:rsidP="005C517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Preparation for monitoring of the implementation of the adopted Network Codes;</w:t>
                </w:r>
              </w:p>
              <w:p w14:paraId="767BA1B6" w14:textId="77777777" w:rsidR="00B82A7A" w:rsidRPr="00FF027F" w:rsidRDefault="00B82A7A" w:rsidP="005C517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 Opinion on ENTSO-E’s plan for the monitoring of the implementation of the adopted Network Codes; </w:t>
                </w:r>
              </w:p>
              <w:p w14:paraId="7FF7B05C" w14:textId="77777777" w:rsidR="00B82A7A" w:rsidRPr="00FF027F" w:rsidRDefault="00B82A7A" w:rsidP="005C517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 Determination of a list of relevant information to be communicated by ENTSO-E to ACER for the purpose of monitoring activities pursuant to the adopted Network Codes. </w:t>
                </w:r>
              </w:p>
            </w:tc>
          </w:tr>
          <w:tr w:rsidR="00B82A7A" w:rsidRPr="00FF027F" w14:paraId="745AF495" w14:textId="77777777" w:rsidTr="005E2AB9">
            <w:trPr>
              <w:trHeight w:val="504"/>
            </w:trPr>
            <w:tc>
              <w:tcPr>
                <w:tcW w:w="1965" w:type="dxa"/>
                <w:shd w:val="clear" w:color="auto" w:fill="auto"/>
              </w:tcPr>
              <w:p w14:paraId="132D8BBD" w14:textId="77777777" w:rsidR="00B82A7A" w:rsidRPr="00FF027F" w:rsidRDefault="00B82A7A" w:rsidP="00C50CB4">
                <w:pPr>
                  <w:spacing w:before="120"/>
                  <w:rPr>
                    <w:rFonts w:ascii="Arial" w:hAnsi="Arial" w:cs="Arial"/>
                    <w:lang w:val="en-GB"/>
                  </w:rPr>
                </w:pPr>
                <w:r w:rsidRPr="00FF027F">
                  <w:rPr>
                    <w:rFonts w:ascii="Arial" w:hAnsi="Arial" w:cs="Arial"/>
                    <w:lang w:val="en-GB"/>
                  </w:rPr>
                  <w:t>Legal basis</w:t>
                </w:r>
              </w:p>
            </w:tc>
            <w:tc>
              <w:tcPr>
                <w:tcW w:w="6944" w:type="dxa"/>
                <w:shd w:val="clear" w:color="auto" w:fill="auto"/>
              </w:tcPr>
              <w:p w14:paraId="55568C8E" w14:textId="77777777" w:rsidR="00B82A7A" w:rsidRPr="00FF027F" w:rsidRDefault="00B82A7A" w:rsidP="00C50CB4">
                <w:pPr>
                  <w:autoSpaceDE w:val="0"/>
                  <w:autoSpaceDN w:val="0"/>
                  <w:adjustRightInd w:val="0"/>
                  <w:spacing w:before="120" w:after="120" w:line="240" w:lineRule="auto"/>
                  <w:ind w:left="202"/>
                  <w:rPr>
                    <w:rFonts w:ascii="Arial" w:hAnsi="Arial" w:cs="Arial"/>
                    <w:sz w:val="20"/>
                    <w:szCs w:val="20"/>
                    <w:lang w:val="en-GB"/>
                  </w:rPr>
                </w:pPr>
                <w:r w:rsidRPr="00FF027F">
                  <w:rPr>
                    <w:rFonts w:ascii="Arial" w:eastAsia="Calibri" w:hAnsi="Arial" w:cs="Arial"/>
                    <w:bCs/>
                    <w:lang w:val="en-GB"/>
                  </w:rPr>
                  <w:t>Article 6(6) of Regulation (EC) No 713/2009 and Article 9(1) of Regulation (EC) No 714/2009</w:t>
                </w:r>
              </w:p>
            </w:tc>
          </w:tr>
          <w:tr w:rsidR="00B82A7A" w:rsidRPr="00FF027F" w14:paraId="299B5ECE" w14:textId="77777777" w:rsidTr="005E2AB9">
            <w:trPr>
              <w:trHeight w:val="392"/>
            </w:trPr>
            <w:tc>
              <w:tcPr>
                <w:tcW w:w="1965" w:type="dxa"/>
                <w:shd w:val="clear" w:color="auto" w:fill="auto"/>
              </w:tcPr>
              <w:p w14:paraId="6065DF87" w14:textId="77777777" w:rsidR="00B82A7A" w:rsidRPr="00FF027F" w:rsidRDefault="00B82A7A" w:rsidP="00C50CB4">
                <w:pPr>
                  <w:spacing w:before="120"/>
                  <w:rPr>
                    <w:rFonts w:ascii="Arial" w:hAnsi="Arial" w:cs="Arial"/>
                    <w:lang w:val="en-GB"/>
                  </w:rPr>
                </w:pPr>
                <w:r w:rsidRPr="00FF027F">
                  <w:rPr>
                    <w:rFonts w:ascii="Arial" w:hAnsi="Arial" w:cs="Arial"/>
                    <w:lang w:val="en-GB"/>
                  </w:rPr>
                  <w:t>Overview (status)</w:t>
                </w:r>
              </w:p>
            </w:tc>
            <w:tc>
              <w:tcPr>
                <w:tcW w:w="6944" w:type="dxa"/>
                <w:shd w:val="clear" w:color="auto" w:fill="auto"/>
              </w:tcPr>
              <w:p w14:paraId="3F3D315C" w14:textId="324311BE" w:rsidR="00B82A7A" w:rsidRPr="00FF027F" w:rsidRDefault="00B82A7A" w:rsidP="00C50CB4">
                <w:pPr>
                  <w:autoSpaceDE w:val="0"/>
                  <w:autoSpaceDN w:val="0"/>
                  <w:adjustRightInd w:val="0"/>
                  <w:spacing w:before="120" w:after="120" w:line="240" w:lineRule="auto"/>
                  <w:ind w:left="202"/>
                  <w:rPr>
                    <w:rFonts w:ascii="Arial" w:eastAsia="Times New Roman" w:hAnsi="Arial" w:cs="Arial"/>
                    <w:b/>
                    <w:iCs/>
                    <w:sz w:val="20"/>
                    <w:szCs w:val="20"/>
                    <w:lang w:val="en-GB"/>
                  </w:rPr>
                </w:pPr>
                <w:r w:rsidRPr="00FF027F">
                  <w:rPr>
                    <w:rFonts w:ascii="Arial" w:eastAsia="Calibri" w:hAnsi="Arial" w:cs="Arial"/>
                    <w:bCs/>
                    <w:lang w:val="en-GB"/>
                  </w:rPr>
                  <w:t xml:space="preserve">The suites of electricity grid connection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 xml:space="preserve">odes, electricity system operation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odes, the Network Code on Capacity Allocation and Congestion Management, the Network Code on Forward Capacity Allocation have been recommended for the adoption by the EC via the comitology</w:t>
                </w:r>
                <w:r w:rsidR="00D80AD9" w:rsidRPr="00FF027F">
                  <w:rPr>
                    <w:rFonts w:ascii="Arial" w:eastAsia="Calibri" w:hAnsi="Arial" w:cs="Arial"/>
                    <w:bCs/>
                    <w:lang w:val="en-GB"/>
                  </w:rPr>
                  <w:t xml:space="preserve"> procedure</w:t>
                </w:r>
                <w:r w:rsidRPr="00FF027F">
                  <w:rPr>
                    <w:rFonts w:ascii="Arial" w:eastAsia="Calibri" w:hAnsi="Arial" w:cs="Arial"/>
                    <w:bCs/>
                    <w:lang w:val="en-GB"/>
                  </w:rPr>
                  <w:t>.</w:t>
                </w:r>
              </w:p>
            </w:tc>
          </w:tr>
          <w:tr w:rsidR="00B82A7A" w:rsidRPr="00FF027F" w14:paraId="742E11B3" w14:textId="77777777" w:rsidTr="005E2AB9">
            <w:trPr>
              <w:trHeight w:val="1017"/>
            </w:trPr>
            <w:tc>
              <w:tcPr>
                <w:tcW w:w="1965" w:type="dxa"/>
                <w:shd w:val="clear" w:color="auto" w:fill="auto"/>
              </w:tcPr>
              <w:p w14:paraId="4890CA25" w14:textId="77777777" w:rsidR="00B82A7A" w:rsidRPr="00FF027F" w:rsidRDefault="00B82A7A" w:rsidP="00C50CB4">
                <w:pPr>
                  <w:spacing w:before="120"/>
                  <w:rPr>
                    <w:rFonts w:ascii="Arial" w:hAnsi="Arial" w:cs="Arial"/>
                    <w:lang w:val="en-GB"/>
                  </w:rPr>
                </w:pPr>
                <w:r w:rsidRPr="00FF027F">
                  <w:rPr>
                    <w:rFonts w:ascii="Arial" w:hAnsi="Arial" w:cs="Arial"/>
                    <w:lang w:val="en-GB"/>
                  </w:rPr>
                  <w:t xml:space="preserve">Objectives and Outputs </w:t>
                </w:r>
              </w:p>
            </w:tc>
            <w:tc>
              <w:tcPr>
                <w:tcW w:w="6944" w:type="dxa"/>
                <w:shd w:val="clear" w:color="auto" w:fill="auto"/>
              </w:tcPr>
              <w:p w14:paraId="729260FA" w14:textId="57FFAA24" w:rsidR="00674241" w:rsidRPr="00FF027F" w:rsidRDefault="00674241" w:rsidP="00674241">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The Agency is preparing for the monitoring of the implementation of the adopted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 xml:space="preserve">odes. For this purpose it will establish (i) a suitable framework concept with the NRAs and the ENTSO-E, (ii) working processes and (iii) IT support. </w:t>
                </w:r>
              </w:p>
              <w:p w14:paraId="749F560C" w14:textId="40A3B131" w:rsidR="00674241" w:rsidRPr="00FF027F" w:rsidRDefault="00674241" w:rsidP="00674241">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The Agency will coordinate with ENTSO-E’s on a plan for the monitoring of the implementation of the adopted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 xml:space="preserve">odes. The Agency may deliver an Opinion on ENTSO-E’s plan for the monitoring of the implementation of the adopted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 xml:space="preserve">odes to EC/ENTSO-E. </w:t>
                </w:r>
              </w:p>
              <w:p w14:paraId="1FB4F4AF" w14:textId="1B8C58E3" w:rsidR="00674241" w:rsidRPr="00FF027F" w:rsidRDefault="00674241" w:rsidP="00674241">
                <w:pPr>
                  <w:autoSpaceDE w:val="0"/>
                  <w:autoSpaceDN w:val="0"/>
                  <w:adjustRightInd w:val="0"/>
                  <w:spacing w:before="120" w:after="120" w:line="240" w:lineRule="auto"/>
                  <w:ind w:left="202"/>
                  <w:rPr>
                    <w:rFonts w:ascii="Arial" w:eastAsia="Calibri" w:hAnsi="Arial" w:cs="Arial"/>
                    <w:bCs/>
                    <w:lang w:val="en-GB"/>
                  </w:rPr>
                </w:pPr>
                <w:r w:rsidRPr="00FF027F">
                  <w:rPr>
                    <w:rFonts w:ascii="Arial" w:eastAsia="Calibri" w:hAnsi="Arial" w:cs="Arial"/>
                    <w:bCs/>
                    <w:lang w:val="en-GB"/>
                  </w:rPr>
                  <w:t xml:space="preserve">The Agency will deliver the list of relevant information to be communicated by ENTSO-E to ACER for the purpose of monitoring activities pursuant to the adopted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odes.</w:t>
                </w:r>
              </w:p>
              <w:p w14:paraId="0BE1E580" w14:textId="12857F4B" w:rsidR="00B82A7A" w:rsidRPr="00FF027F" w:rsidRDefault="00674241" w:rsidP="00C50CB4">
                <w:pPr>
                  <w:autoSpaceDE w:val="0"/>
                  <w:autoSpaceDN w:val="0"/>
                  <w:adjustRightInd w:val="0"/>
                  <w:spacing w:before="120" w:after="120" w:line="240" w:lineRule="auto"/>
                  <w:ind w:left="202"/>
                  <w:rPr>
                    <w:rFonts w:ascii="Arial" w:hAnsi="Arial" w:cs="Arial"/>
                    <w:sz w:val="20"/>
                    <w:szCs w:val="20"/>
                    <w:lang w:val="en-GB"/>
                  </w:rPr>
                </w:pPr>
                <w:r w:rsidRPr="00FF027F">
                  <w:rPr>
                    <w:rFonts w:ascii="Arial" w:eastAsia="Calibri" w:hAnsi="Arial" w:cs="Arial"/>
                    <w:bCs/>
                    <w:lang w:val="en-GB"/>
                  </w:rPr>
                  <w:t xml:space="preserve">The Agency will participate in stakeholder committees established pursuant to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odes.</w:t>
                </w:r>
              </w:p>
            </w:tc>
          </w:tr>
          <w:tr w:rsidR="00B82A7A" w:rsidRPr="00FF027F" w14:paraId="3DE676E8" w14:textId="77777777" w:rsidTr="005E2AB9">
            <w:trPr>
              <w:trHeight w:val="780"/>
            </w:trPr>
            <w:tc>
              <w:tcPr>
                <w:tcW w:w="1965" w:type="dxa"/>
                <w:shd w:val="clear" w:color="auto" w:fill="auto"/>
              </w:tcPr>
              <w:p w14:paraId="2669F4B1" w14:textId="77777777" w:rsidR="00B82A7A" w:rsidRPr="00FF027F" w:rsidRDefault="00B82A7A" w:rsidP="00C50CB4">
                <w:pPr>
                  <w:spacing w:before="120"/>
                  <w:rPr>
                    <w:rFonts w:ascii="Arial" w:hAnsi="Arial" w:cs="Arial"/>
                    <w:lang w:val="en-GB"/>
                  </w:rPr>
                </w:pPr>
                <w:r w:rsidRPr="00FF027F">
                  <w:rPr>
                    <w:rFonts w:ascii="Arial" w:hAnsi="Arial" w:cs="Arial"/>
                    <w:lang w:val="en-GB"/>
                  </w:rPr>
                  <w:t>Performance indicators and targets (deadlines)</w:t>
                </w:r>
              </w:p>
            </w:tc>
            <w:tc>
              <w:tcPr>
                <w:tcW w:w="6944" w:type="dxa"/>
                <w:shd w:val="clear" w:color="auto" w:fill="auto"/>
              </w:tcPr>
              <w:p w14:paraId="49DCFD19" w14:textId="365E7C13" w:rsidR="00B82A7A" w:rsidRPr="00FF027F" w:rsidRDefault="008D5E93" w:rsidP="00C50CB4">
                <w:pPr>
                  <w:autoSpaceDE w:val="0"/>
                  <w:autoSpaceDN w:val="0"/>
                  <w:adjustRightInd w:val="0"/>
                  <w:spacing w:before="120" w:after="120" w:line="240" w:lineRule="auto"/>
                  <w:ind w:left="202"/>
                  <w:rPr>
                    <w:rFonts w:ascii="Arial" w:hAnsi="Arial" w:cs="Arial"/>
                    <w:sz w:val="20"/>
                    <w:szCs w:val="20"/>
                    <w:lang w:val="en-GB"/>
                  </w:rPr>
                </w:pPr>
                <w:r w:rsidRPr="00FF027F">
                  <w:rPr>
                    <w:rFonts w:ascii="Arial" w:eastAsia="Calibri" w:hAnsi="Arial" w:cs="Arial"/>
                    <w:bCs/>
                    <w:lang w:val="en-GB"/>
                  </w:rPr>
                  <w:t xml:space="preserve">The timely delivery of the Opinion in ENTSO-E’s plan for the monitoring of the implementation of the adopted </w:t>
                </w:r>
                <w:r w:rsidR="00DF39F6" w:rsidRPr="00FF027F">
                  <w:rPr>
                    <w:rFonts w:ascii="Arial" w:eastAsia="Calibri" w:hAnsi="Arial" w:cs="Arial"/>
                    <w:bCs/>
                    <w:lang w:val="en-GB"/>
                  </w:rPr>
                  <w:t>N</w:t>
                </w:r>
                <w:r w:rsidRPr="00FF027F">
                  <w:rPr>
                    <w:rFonts w:ascii="Arial" w:eastAsia="Calibri" w:hAnsi="Arial" w:cs="Arial"/>
                    <w:bCs/>
                    <w:lang w:val="en-GB"/>
                  </w:rPr>
                  <w:t xml:space="preserve">etwork </w:t>
                </w:r>
                <w:r w:rsidR="00DF39F6" w:rsidRPr="00FF027F">
                  <w:rPr>
                    <w:rFonts w:ascii="Arial" w:eastAsia="Calibri" w:hAnsi="Arial" w:cs="Arial"/>
                    <w:bCs/>
                    <w:lang w:val="en-GB"/>
                  </w:rPr>
                  <w:t>C</w:t>
                </w:r>
                <w:r w:rsidRPr="00FF027F">
                  <w:rPr>
                    <w:rFonts w:ascii="Arial" w:eastAsia="Calibri" w:hAnsi="Arial" w:cs="Arial"/>
                    <w:bCs/>
                    <w:lang w:val="en-GB"/>
                  </w:rPr>
                  <w:t>odes and of the list of relevant information to be communicated by ENTSO-E to ACER</w:t>
                </w:r>
                <w:r w:rsidR="00330875" w:rsidRPr="00FF027F">
                  <w:rPr>
                    <w:rFonts w:ascii="Arial" w:eastAsia="Calibri" w:hAnsi="Arial" w:cs="Arial"/>
                    <w:bCs/>
                    <w:lang w:val="en-GB"/>
                  </w:rPr>
                  <w:t>.</w:t>
                </w:r>
              </w:p>
            </w:tc>
          </w:tr>
          <w:tr w:rsidR="00B82A7A" w:rsidRPr="00FF027F" w14:paraId="61E01767" w14:textId="77777777" w:rsidTr="005E2AB9">
            <w:trPr>
              <w:trHeight w:val="535"/>
            </w:trPr>
            <w:tc>
              <w:tcPr>
                <w:tcW w:w="1965" w:type="dxa"/>
                <w:shd w:val="clear" w:color="auto" w:fill="auto"/>
              </w:tcPr>
              <w:p w14:paraId="4D6C7F6B" w14:textId="77777777" w:rsidR="00B82A7A" w:rsidRPr="00FF027F" w:rsidRDefault="00B82A7A" w:rsidP="00C50CB4">
                <w:pPr>
                  <w:spacing w:before="120"/>
                  <w:rPr>
                    <w:rFonts w:ascii="Arial" w:hAnsi="Arial" w:cs="Arial"/>
                    <w:lang w:val="en-GB"/>
                  </w:rPr>
                </w:pPr>
                <w:r w:rsidRPr="00FF027F">
                  <w:rPr>
                    <w:rFonts w:ascii="Arial" w:hAnsi="Arial" w:cs="Arial"/>
                    <w:lang w:val="en-GB"/>
                  </w:rPr>
                  <w:t>Staff</w:t>
                </w:r>
              </w:p>
            </w:tc>
            <w:tc>
              <w:tcPr>
                <w:tcW w:w="6944" w:type="dxa"/>
                <w:shd w:val="clear" w:color="auto" w:fill="auto"/>
              </w:tcPr>
              <w:p w14:paraId="5660FD3E" w14:textId="77777777" w:rsidR="00B82A7A" w:rsidRPr="00FF027F" w:rsidRDefault="00B82A7A" w:rsidP="00C50CB4">
                <w:pPr>
                  <w:autoSpaceDE w:val="0"/>
                  <w:autoSpaceDN w:val="0"/>
                  <w:adjustRightInd w:val="0"/>
                  <w:spacing w:before="120" w:after="120" w:line="240" w:lineRule="auto"/>
                  <w:ind w:left="202"/>
                  <w:rPr>
                    <w:rFonts w:ascii="Arial" w:hAnsi="Arial" w:cs="Arial"/>
                    <w:sz w:val="20"/>
                    <w:szCs w:val="20"/>
                    <w:lang w:val="en-GB"/>
                  </w:rPr>
                </w:pPr>
                <w:r w:rsidRPr="00FF027F">
                  <w:rPr>
                    <w:rFonts w:ascii="Arial" w:eastAsia="Calibri" w:hAnsi="Arial" w:cs="Arial"/>
                    <w:bCs/>
                    <w:lang w:val="en-GB"/>
                  </w:rPr>
                  <w:t>0.8 FTE</w:t>
                </w:r>
              </w:p>
            </w:tc>
          </w:tr>
          <w:tr w:rsidR="00B82A7A" w:rsidRPr="00FF027F" w14:paraId="639721A9" w14:textId="77777777" w:rsidTr="005E2AB9">
            <w:trPr>
              <w:trHeight w:val="535"/>
            </w:trPr>
            <w:tc>
              <w:tcPr>
                <w:tcW w:w="1965" w:type="dxa"/>
                <w:tcBorders>
                  <w:top w:val="single" w:sz="4" w:space="0" w:color="auto"/>
                  <w:left w:val="single" w:sz="4" w:space="0" w:color="auto"/>
                  <w:bottom w:val="single" w:sz="4" w:space="0" w:color="auto"/>
                  <w:right w:val="single" w:sz="4" w:space="0" w:color="auto"/>
                </w:tcBorders>
                <w:shd w:val="clear" w:color="auto" w:fill="auto"/>
              </w:tcPr>
              <w:p w14:paraId="6CEEA920" w14:textId="77777777" w:rsidR="00B82A7A" w:rsidRPr="00FF027F" w:rsidRDefault="00B82A7A" w:rsidP="00C50CB4">
                <w:pPr>
                  <w:spacing w:before="120"/>
                  <w:rPr>
                    <w:rFonts w:ascii="Arial" w:hAnsi="Arial" w:cs="Arial"/>
                    <w:lang w:val="en-GB"/>
                  </w:rPr>
                </w:pPr>
                <w:r w:rsidRPr="00FF027F">
                  <w:rPr>
                    <w:rFonts w:ascii="Arial" w:hAnsi="Arial" w:cs="Arial"/>
                    <w:lang w:val="en-GB"/>
                  </w:rPr>
                  <w:t>Risks</w:t>
                </w:r>
              </w:p>
            </w:tc>
            <w:tc>
              <w:tcPr>
                <w:tcW w:w="6944" w:type="dxa"/>
                <w:tcBorders>
                  <w:top w:val="single" w:sz="4" w:space="0" w:color="auto"/>
                  <w:left w:val="single" w:sz="4" w:space="0" w:color="auto"/>
                  <w:bottom w:val="single" w:sz="4" w:space="0" w:color="auto"/>
                  <w:right w:val="single" w:sz="4" w:space="0" w:color="auto"/>
                </w:tcBorders>
                <w:shd w:val="clear" w:color="auto" w:fill="auto"/>
              </w:tcPr>
              <w:p w14:paraId="1ADB213F" w14:textId="2AA21870" w:rsidR="00B82A7A" w:rsidRPr="00FF027F" w:rsidRDefault="008D5E93" w:rsidP="00F80C2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hAnsi="Arial" w:cs="Arial"/>
                    <w:lang w:val="en-GB"/>
                  </w:rPr>
                  <w:t xml:space="preserve">The work load related to this activity depends on the number of adopted </w:t>
                </w:r>
                <w:r w:rsidR="00DF39F6" w:rsidRPr="00FF027F">
                  <w:rPr>
                    <w:rFonts w:ascii="Arial" w:hAnsi="Arial" w:cs="Arial"/>
                    <w:lang w:val="en-GB"/>
                  </w:rPr>
                  <w:t>N</w:t>
                </w:r>
                <w:r w:rsidRPr="00FF027F">
                  <w:rPr>
                    <w:rFonts w:ascii="Arial" w:hAnsi="Arial" w:cs="Arial"/>
                    <w:lang w:val="en-GB"/>
                  </w:rPr>
                  <w:t xml:space="preserve">etwork </w:t>
                </w:r>
                <w:r w:rsidR="00DF39F6" w:rsidRPr="00FF027F">
                  <w:rPr>
                    <w:rFonts w:ascii="Arial" w:hAnsi="Arial" w:cs="Arial"/>
                    <w:lang w:val="en-GB"/>
                  </w:rPr>
                  <w:t>C</w:t>
                </w:r>
                <w:r w:rsidRPr="00FF027F">
                  <w:rPr>
                    <w:rFonts w:ascii="Arial" w:hAnsi="Arial" w:cs="Arial"/>
                    <w:lang w:val="en-GB"/>
                  </w:rPr>
                  <w:t xml:space="preserve">odes. </w:t>
                </w:r>
                <w:r w:rsidR="00B82A7A" w:rsidRPr="00FF027F">
                  <w:rPr>
                    <w:rFonts w:ascii="Arial" w:hAnsi="Arial" w:cs="Arial"/>
                    <w:lang w:val="en-GB"/>
                  </w:rPr>
                  <w:t xml:space="preserve">Given the limited resources of the Agency, the involvement of NRAs is essential to ensure the timely </w:t>
                </w:r>
                <w:r w:rsidR="00F80C2A" w:rsidRPr="00FF027F">
                  <w:rPr>
                    <w:rFonts w:ascii="Arial" w:hAnsi="Arial" w:cs="Arial"/>
                    <w:lang w:val="en-GB"/>
                  </w:rPr>
                  <w:t xml:space="preserve">preparation </w:t>
                </w:r>
                <w:r w:rsidR="00B82A7A" w:rsidRPr="00FF027F">
                  <w:rPr>
                    <w:rFonts w:ascii="Arial" w:hAnsi="Arial" w:cs="Arial"/>
                    <w:lang w:val="en-GB"/>
                  </w:rPr>
                  <w:t xml:space="preserve">of the </w:t>
                </w:r>
                <w:r w:rsidRPr="00FF027F">
                  <w:rPr>
                    <w:rFonts w:ascii="Arial" w:hAnsi="Arial" w:cs="Arial"/>
                    <w:lang w:val="en-GB"/>
                  </w:rPr>
                  <w:t>above deliverables</w:t>
                </w:r>
                <w:r w:rsidR="00B82A7A" w:rsidRPr="00FF027F">
                  <w:rPr>
                    <w:rFonts w:ascii="Arial" w:hAnsi="Arial" w:cs="Arial"/>
                    <w:lang w:val="en-GB"/>
                  </w:rPr>
                  <w:t>.</w:t>
                </w:r>
              </w:p>
            </w:tc>
          </w:tr>
        </w:tbl>
        <w:p w14:paraId="37F33DF1" w14:textId="77777777" w:rsidR="00B82A7A" w:rsidRPr="00FF027F" w:rsidRDefault="00B82A7A" w:rsidP="00B82A7A">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B82A7A" w:rsidRPr="00FF027F" w14:paraId="5208AEF9" w14:textId="77777777" w:rsidTr="00C50CB4">
            <w:trPr>
              <w:trHeight w:val="520"/>
            </w:trPr>
            <w:tc>
              <w:tcPr>
                <w:tcW w:w="1985" w:type="dxa"/>
                <w:shd w:val="clear" w:color="auto" w:fill="002060"/>
              </w:tcPr>
              <w:p w14:paraId="099C0F76" w14:textId="77777777" w:rsidR="00B82A7A" w:rsidRPr="00FF027F" w:rsidRDefault="00B82A7A" w:rsidP="00F80C2A">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4309CB3A" w14:textId="54BA2003" w:rsidR="00B82A7A" w:rsidRPr="00FF027F" w:rsidRDefault="00B82A7A" w:rsidP="00F80C2A">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General activities related to the decision</w:t>
                </w:r>
                <w:r w:rsidR="00F80C2A" w:rsidRPr="00FF027F">
                  <w:rPr>
                    <w:rFonts w:ascii="Arial" w:hAnsi="Arial" w:cs="Arial"/>
                    <w:b/>
                    <w:lang w:val="en-GB"/>
                  </w:rPr>
                  <w:t>-</w:t>
                </w:r>
                <w:r w:rsidRPr="00FF027F">
                  <w:rPr>
                    <w:rFonts w:ascii="Arial" w:hAnsi="Arial" w:cs="Arial"/>
                    <w:b/>
                    <w:lang w:val="en-GB"/>
                  </w:rPr>
                  <w:t xml:space="preserve">making process established pursuant to adopted Network Codes </w:t>
                </w:r>
              </w:p>
              <w:p w14:paraId="69C65419" w14:textId="55236439" w:rsidR="00B82A7A" w:rsidRPr="00FF027F" w:rsidRDefault="00B82A7A" w:rsidP="00F80C2A">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 Assistance in the decision making process for the development of proposals for terms and conditions or methodologies to be developed pursuant to the adopted </w:t>
                </w:r>
                <w:r w:rsidR="00DF39F6" w:rsidRPr="00FF027F">
                  <w:rPr>
                    <w:rFonts w:ascii="Arial" w:hAnsi="Arial" w:cs="Arial"/>
                    <w:b/>
                    <w:lang w:val="en-GB"/>
                  </w:rPr>
                  <w:t>N</w:t>
                </w:r>
                <w:r w:rsidRPr="00FF027F">
                  <w:rPr>
                    <w:rFonts w:ascii="Arial" w:hAnsi="Arial" w:cs="Arial"/>
                    <w:b/>
                    <w:lang w:val="en-GB"/>
                  </w:rPr>
                  <w:t xml:space="preserve">etwork </w:t>
                </w:r>
                <w:r w:rsidR="00DF39F6" w:rsidRPr="00FF027F">
                  <w:rPr>
                    <w:rFonts w:ascii="Arial" w:hAnsi="Arial" w:cs="Arial"/>
                    <w:b/>
                    <w:lang w:val="en-GB"/>
                  </w:rPr>
                  <w:t>C</w:t>
                </w:r>
                <w:r w:rsidRPr="00FF027F">
                  <w:rPr>
                    <w:rFonts w:ascii="Arial" w:hAnsi="Arial" w:cs="Arial"/>
                    <w:b/>
                    <w:lang w:val="en-GB"/>
                  </w:rPr>
                  <w:t>odes;</w:t>
                </w:r>
              </w:p>
              <w:p w14:paraId="78952FBA" w14:textId="37258476" w:rsidR="00B82A7A" w:rsidRPr="00FF027F" w:rsidRDefault="00B82A7A" w:rsidP="00F80C2A">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 Delivery of opinions on terms and conditions or methodologies developed pursuant to adopted </w:t>
                </w:r>
                <w:r w:rsidR="00DF39F6" w:rsidRPr="00FF027F">
                  <w:rPr>
                    <w:rFonts w:ascii="Arial" w:hAnsi="Arial" w:cs="Arial"/>
                    <w:b/>
                    <w:lang w:val="en-GB"/>
                  </w:rPr>
                  <w:t>N</w:t>
                </w:r>
                <w:r w:rsidRPr="00FF027F">
                  <w:rPr>
                    <w:rFonts w:ascii="Arial" w:hAnsi="Arial" w:cs="Arial"/>
                    <w:b/>
                    <w:lang w:val="en-GB"/>
                  </w:rPr>
                  <w:t xml:space="preserve">etwork </w:t>
                </w:r>
                <w:r w:rsidR="00DF39F6" w:rsidRPr="00FF027F">
                  <w:rPr>
                    <w:rFonts w:ascii="Arial" w:hAnsi="Arial" w:cs="Arial"/>
                    <w:b/>
                    <w:lang w:val="en-GB"/>
                  </w:rPr>
                  <w:t>C</w:t>
                </w:r>
                <w:r w:rsidRPr="00FF027F">
                  <w:rPr>
                    <w:rFonts w:ascii="Arial" w:hAnsi="Arial" w:cs="Arial"/>
                    <w:b/>
                    <w:lang w:val="en-GB"/>
                  </w:rPr>
                  <w:t>odes and to be approved by relevant NRAs;</w:t>
                </w:r>
              </w:p>
              <w:p w14:paraId="0E54DAF3" w14:textId="7497E89E" w:rsidR="00B82A7A" w:rsidRPr="00FF027F" w:rsidRDefault="00B82A7A" w:rsidP="00F80C2A">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 Coordination and possible dispute resolution in the process of NRA approval of the terms and conditions or methodologies developed pursuant to adopted </w:t>
                </w:r>
                <w:r w:rsidR="00DF39F6" w:rsidRPr="00FF027F">
                  <w:rPr>
                    <w:rFonts w:ascii="Arial" w:hAnsi="Arial" w:cs="Arial"/>
                    <w:b/>
                    <w:lang w:val="en-GB"/>
                  </w:rPr>
                  <w:t>N</w:t>
                </w:r>
                <w:r w:rsidRPr="00FF027F">
                  <w:rPr>
                    <w:rFonts w:ascii="Arial" w:hAnsi="Arial" w:cs="Arial"/>
                    <w:b/>
                    <w:lang w:val="en-GB"/>
                  </w:rPr>
                  <w:t xml:space="preserve">etwork </w:t>
                </w:r>
                <w:r w:rsidR="00DF39F6" w:rsidRPr="00FF027F">
                  <w:rPr>
                    <w:rFonts w:ascii="Arial" w:hAnsi="Arial" w:cs="Arial"/>
                    <w:b/>
                    <w:lang w:val="en-GB"/>
                  </w:rPr>
                  <w:t>C</w:t>
                </w:r>
                <w:r w:rsidRPr="00FF027F">
                  <w:rPr>
                    <w:rFonts w:ascii="Arial" w:hAnsi="Arial" w:cs="Arial"/>
                    <w:b/>
                    <w:lang w:val="en-GB"/>
                  </w:rPr>
                  <w:t>odes;</w:t>
                </w:r>
              </w:p>
              <w:p w14:paraId="686050CD" w14:textId="2FD08AB7" w:rsidR="00B82A7A" w:rsidRPr="00FF027F" w:rsidRDefault="00B82A7A" w:rsidP="00F80C2A">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Assistance in the functioning and the decision making process of different committees established pur</w:t>
                </w:r>
                <w:r w:rsidR="00B4312C" w:rsidRPr="00FF027F">
                  <w:rPr>
                    <w:rFonts w:ascii="Arial" w:hAnsi="Arial" w:cs="Arial"/>
                    <w:b/>
                    <w:lang w:val="en-GB"/>
                  </w:rPr>
                  <w:t xml:space="preserve">suant to adopted </w:t>
                </w:r>
                <w:r w:rsidR="00DF39F6" w:rsidRPr="00FF027F">
                  <w:rPr>
                    <w:rFonts w:ascii="Arial" w:hAnsi="Arial" w:cs="Arial"/>
                    <w:b/>
                    <w:lang w:val="en-GB"/>
                  </w:rPr>
                  <w:t>N</w:t>
                </w:r>
                <w:r w:rsidR="00B4312C" w:rsidRPr="00FF027F">
                  <w:rPr>
                    <w:rFonts w:ascii="Arial" w:hAnsi="Arial" w:cs="Arial"/>
                    <w:b/>
                    <w:lang w:val="en-GB"/>
                  </w:rPr>
                  <w:t xml:space="preserve">etwork </w:t>
                </w:r>
                <w:r w:rsidR="00DF39F6" w:rsidRPr="00FF027F">
                  <w:rPr>
                    <w:rFonts w:ascii="Arial" w:hAnsi="Arial" w:cs="Arial"/>
                    <w:b/>
                    <w:lang w:val="en-GB"/>
                  </w:rPr>
                  <w:t>C</w:t>
                </w:r>
                <w:r w:rsidR="00B4312C" w:rsidRPr="00FF027F">
                  <w:rPr>
                    <w:rFonts w:ascii="Arial" w:hAnsi="Arial" w:cs="Arial"/>
                    <w:b/>
                    <w:lang w:val="en-GB"/>
                  </w:rPr>
                  <w:t>odes.</w:t>
                </w:r>
              </w:p>
            </w:tc>
          </w:tr>
          <w:tr w:rsidR="00B82A7A" w:rsidRPr="00FF027F" w14:paraId="6477D96E" w14:textId="77777777" w:rsidTr="00C50CB4">
            <w:trPr>
              <w:trHeight w:val="504"/>
            </w:trPr>
            <w:tc>
              <w:tcPr>
                <w:tcW w:w="1985" w:type="dxa"/>
                <w:shd w:val="clear" w:color="auto" w:fill="auto"/>
              </w:tcPr>
              <w:p w14:paraId="322D72E1" w14:textId="77777777" w:rsidR="00B82A7A" w:rsidRPr="00FF027F" w:rsidRDefault="00B82A7A" w:rsidP="00330875">
                <w:pPr>
                  <w:spacing w:before="120" w:after="120" w:line="240" w:lineRule="auto"/>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149CF536" w14:textId="61F374BA" w:rsidR="00B82A7A" w:rsidRPr="00FF027F" w:rsidRDefault="00B82A7A" w:rsidP="0017513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The </w:t>
                </w:r>
                <w:r w:rsidR="00DF39F6" w:rsidRPr="00FF027F">
                  <w:rPr>
                    <w:rFonts w:ascii="Arial" w:hAnsi="Arial" w:cs="Arial"/>
                    <w:lang w:val="en-GB"/>
                  </w:rPr>
                  <w:t>N</w:t>
                </w:r>
                <w:r w:rsidRPr="00FF027F">
                  <w:rPr>
                    <w:rFonts w:ascii="Arial" w:hAnsi="Arial" w:cs="Arial"/>
                    <w:lang w:val="en-GB"/>
                  </w:rPr>
                  <w:t xml:space="preserve">etwork </w:t>
                </w:r>
                <w:r w:rsidR="00DF39F6" w:rsidRPr="00FF027F">
                  <w:rPr>
                    <w:rFonts w:ascii="Arial" w:hAnsi="Arial" w:cs="Arial"/>
                    <w:lang w:val="en-GB"/>
                  </w:rPr>
                  <w:t>C</w:t>
                </w:r>
                <w:r w:rsidRPr="00FF027F">
                  <w:rPr>
                    <w:rFonts w:ascii="Arial" w:hAnsi="Arial" w:cs="Arial"/>
                    <w:lang w:val="en-GB"/>
                  </w:rPr>
                  <w:t>odes provide specific roles for the Agency in the decision</w:t>
                </w:r>
                <w:r w:rsidR="00F80C2A" w:rsidRPr="00FF027F">
                  <w:rPr>
                    <w:rFonts w:ascii="Arial" w:hAnsi="Arial" w:cs="Arial"/>
                    <w:lang w:val="en-GB"/>
                  </w:rPr>
                  <w:t>-</w:t>
                </w:r>
                <w:r w:rsidRPr="00FF027F">
                  <w:rPr>
                    <w:rFonts w:ascii="Arial" w:hAnsi="Arial" w:cs="Arial"/>
                    <w:lang w:val="en-GB"/>
                  </w:rPr>
                  <w:t xml:space="preserve">making processes established pursuant to these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 The roles include facilitating coordination between parties seeking agreement, providing opinion on issues that need coordinated decisions and</w:t>
                </w:r>
                <w:r w:rsidR="00F80C2A" w:rsidRPr="00FF027F">
                  <w:rPr>
                    <w:rFonts w:ascii="Arial" w:hAnsi="Arial" w:cs="Arial"/>
                    <w:lang w:val="en-GB"/>
                  </w:rPr>
                  <w:t>,</w:t>
                </w:r>
                <w:r w:rsidRPr="00FF027F">
                  <w:rPr>
                    <w:rFonts w:ascii="Arial" w:hAnsi="Arial" w:cs="Arial"/>
                    <w:lang w:val="en-GB"/>
                  </w:rPr>
                  <w:t xml:space="preserve"> in specific cases</w:t>
                </w:r>
                <w:r w:rsidR="00F80C2A" w:rsidRPr="00FF027F">
                  <w:rPr>
                    <w:rFonts w:ascii="Arial" w:hAnsi="Arial" w:cs="Arial"/>
                    <w:lang w:val="en-GB"/>
                  </w:rPr>
                  <w:t>,</w:t>
                </w:r>
                <w:r w:rsidRPr="00FF027F">
                  <w:rPr>
                    <w:rFonts w:ascii="Arial" w:hAnsi="Arial" w:cs="Arial"/>
                    <w:lang w:val="en-GB"/>
                  </w:rPr>
                  <w:t xml:space="preserve"> issuing a decision when the parties seeking agreements were not able to find it. </w:t>
                </w:r>
              </w:p>
            </w:tc>
          </w:tr>
          <w:tr w:rsidR="00B82A7A" w:rsidRPr="00FF027F" w14:paraId="06CEBC2A" w14:textId="77777777" w:rsidTr="00C50CB4">
            <w:trPr>
              <w:trHeight w:val="392"/>
            </w:trPr>
            <w:tc>
              <w:tcPr>
                <w:tcW w:w="1985" w:type="dxa"/>
                <w:shd w:val="clear" w:color="auto" w:fill="auto"/>
              </w:tcPr>
              <w:p w14:paraId="64DD2F5E" w14:textId="77777777" w:rsidR="00B82A7A" w:rsidRPr="00FF027F" w:rsidRDefault="00B82A7A" w:rsidP="00330875">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146F2442" w14:textId="778880E1" w:rsidR="00B82A7A" w:rsidRPr="00FF027F" w:rsidRDefault="00B82A7A" w:rsidP="0017513A">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 xml:space="preserve">The suites of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 have been developed and recommended for the adoption by the EC via the comitology</w:t>
                </w:r>
                <w:r w:rsidR="00330875" w:rsidRPr="00FF027F">
                  <w:rPr>
                    <w:rFonts w:ascii="Arial" w:hAnsi="Arial" w:cs="Arial"/>
                    <w:lang w:val="en-GB"/>
                  </w:rPr>
                  <w:t xml:space="preserve"> procedure. Once the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 xml:space="preserve">odes enter into force, the Agency will be given a central role in facilitating the decision making process established within these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w:t>
                </w:r>
              </w:p>
            </w:tc>
          </w:tr>
          <w:tr w:rsidR="00B82A7A" w:rsidRPr="00FF027F" w14:paraId="24A58FB1" w14:textId="77777777" w:rsidTr="00C50CB4">
            <w:trPr>
              <w:trHeight w:val="1017"/>
            </w:trPr>
            <w:tc>
              <w:tcPr>
                <w:tcW w:w="1985" w:type="dxa"/>
                <w:shd w:val="clear" w:color="auto" w:fill="auto"/>
              </w:tcPr>
              <w:p w14:paraId="441555F9" w14:textId="77777777" w:rsidR="00B82A7A" w:rsidRPr="00FF027F" w:rsidRDefault="00B82A7A" w:rsidP="00330875">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01900C93" w14:textId="7522ADBC" w:rsidR="00B82A7A" w:rsidRPr="00FF027F" w:rsidRDefault="00B82A7A" w:rsidP="00330875">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The objective of this activity is an efficient decision</w:t>
                </w:r>
                <w:r w:rsidR="00F80C2A" w:rsidRPr="00FF027F">
                  <w:rPr>
                    <w:rFonts w:ascii="Arial" w:hAnsi="Arial" w:cs="Arial"/>
                    <w:lang w:val="en-GB"/>
                  </w:rPr>
                  <w:t>-</w:t>
                </w:r>
                <w:r w:rsidRPr="00FF027F">
                  <w:rPr>
                    <w:rFonts w:ascii="Arial" w:hAnsi="Arial" w:cs="Arial"/>
                    <w:lang w:val="en-GB"/>
                  </w:rPr>
                  <w:t xml:space="preserve">making process for adoption of different terms and conditions or methodologies developed pursuant to </w:t>
                </w:r>
                <w:r w:rsidR="00F80C2A" w:rsidRPr="00FF027F">
                  <w:rPr>
                    <w:rFonts w:ascii="Arial" w:hAnsi="Arial" w:cs="Arial"/>
                    <w:lang w:val="en-GB"/>
                  </w:rPr>
                  <w:t>N</w:t>
                </w:r>
                <w:r w:rsidRPr="00FF027F">
                  <w:rPr>
                    <w:rFonts w:ascii="Arial" w:hAnsi="Arial" w:cs="Arial"/>
                    <w:lang w:val="en-GB"/>
                  </w:rPr>
                  <w:t xml:space="preserve">etwork </w:t>
                </w:r>
                <w:r w:rsidR="00F80C2A" w:rsidRPr="00FF027F">
                  <w:rPr>
                    <w:rFonts w:ascii="Arial" w:hAnsi="Arial" w:cs="Arial"/>
                    <w:lang w:val="en-GB"/>
                  </w:rPr>
                  <w:t>C</w:t>
                </w:r>
                <w:r w:rsidRPr="00FF027F">
                  <w:rPr>
                    <w:rFonts w:ascii="Arial" w:hAnsi="Arial" w:cs="Arial"/>
                    <w:lang w:val="en-GB"/>
                  </w:rPr>
                  <w:t xml:space="preserve">odes as well as in the functioning of different committees established pursuant to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w:t>
                </w:r>
              </w:p>
              <w:p w14:paraId="0E3F1216" w14:textId="4E700DE4" w:rsidR="00B82A7A" w:rsidRPr="00FF027F" w:rsidRDefault="00B82A7A" w:rsidP="00330875">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The </w:t>
                </w:r>
                <w:r w:rsidR="00F80C2A" w:rsidRPr="00FF027F">
                  <w:rPr>
                    <w:rFonts w:ascii="Arial" w:hAnsi="Arial" w:cs="Arial"/>
                    <w:lang w:val="en-GB"/>
                  </w:rPr>
                  <w:t xml:space="preserve">expected </w:t>
                </w:r>
                <w:r w:rsidRPr="00FF027F">
                  <w:rPr>
                    <w:rFonts w:ascii="Arial" w:hAnsi="Arial" w:cs="Arial"/>
                    <w:lang w:val="en-GB"/>
                  </w:rPr>
                  <w:t xml:space="preserve">output of this activity will be efficient and timely implementation of different elements of the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 xml:space="preserve">ode that are conditional on coordinated decisions of TSOs, NRAs or different committees established pursuant to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w:t>
                </w:r>
              </w:p>
            </w:tc>
          </w:tr>
          <w:tr w:rsidR="00B82A7A" w:rsidRPr="00FF027F" w14:paraId="7FAD2A06" w14:textId="77777777" w:rsidTr="00C50CB4">
            <w:trPr>
              <w:trHeight w:val="780"/>
            </w:trPr>
            <w:tc>
              <w:tcPr>
                <w:tcW w:w="1985" w:type="dxa"/>
                <w:shd w:val="clear" w:color="auto" w:fill="auto"/>
              </w:tcPr>
              <w:p w14:paraId="7E863308" w14:textId="77777777" w:rsidR="00B82A7A" w:rsidRPr="00FF027F" w:rsidRDefault="00B82A7A" w:rsidP="00330875">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7D60A52A" w14:textId="024047E0" w:rsidR="00B82A7A" w:rsidRPr="00FF027F" w:rsidRDefault="00B82A7A" w:rsidP="00330875">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The timely decision related to the terms and conditions or methodologies or related to tasks and responsibilities of the different committees established pursuant to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w:t>
                </w:r>
              </w:p>
            </w:tc>
          </w:tr>
          <w:tr w:rsidR="00B82A7A" w:rsidRPr="00FF027F" w14:paraId="4C01D1C9" w14:textId="77777777" w:rsidTr="00C50CB4">
            <w:trPr>
              <w:trHeight w:val="535"/>
            </w:trPr>
            <w:tc>
              <w:tcPr>
                <w:tcW w:w="1985" w:type="dxa"/>
                <w:shd w:val="clear" w:color="auto" w:fill="auto"/>
              </w:tcPr>
              <w:p w14:paraId="31322C6E" w14:textId="77777777" w:rsidR="00B82A7A" w:rsidRPr="00FF027F" w:rsidRDefault="00B82A7A" w:rsidP="00330875">
                <w:pPr>
                  <w:spacing w:before="120" w:after="120" w:line="240" w:lineRule="auto"/>
                  <w:ind w:left="202"/>
                  <w:rPr>
                    <w:rFonts w:ascii="Arial" w:hAnsi="Arial" w:cs="Arial"/>
                    <w:lang w:val="en-GB"/>
                  </w:rPr>
                </w:pPr>
                <w:r w:rsidRPr="00FF027F">
                  <w:rPr>
                    <w:rFonts w:ascii="Arial" w:hAnsi="Arial" w:cs="Arial"/>
                    <w:lang w:val="en-GB"/>
                  </w:rPr>
                  <w:t>Staff</w:t>
                </w:r>
              </w:p>
            </w:tc>
            <w:tc>
              <w:tcPr>
                <w:tcW w:w="7150" w:type="dxa"/>
                <w:shd w:val="clear" w:color="auto" w:fill="auto"/>
              </w:tcPr>
              <w:p w14:paraId="6CDF425D" w14:textId="77777777" w:rsidR="00B82A7A" w:rsidRPr="00FF027F" w:rsidRDefault="00B82A7A" w:rsidP="00330875">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1.3 FTE</w:t>
                </w:r>
              </w:p>
            </w:tc>
          </w:tr>
          <w:tr w:rsidR="00B82A7A" w:rsidRPr="00FF027F" w14:paraId="5F424432"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CD9EA5A" w14:textId="77777777" w:rsidR="00B82A7A" w:rsidRPr="00FF027F" w:rsidRDefault="00B82A7A" w:rsidP="00330875">
                <w:pPr>
                  <w:spacing w:before="120" w:after="120" w:line="240" w:lineRule="auto"/>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4F0072D5" w14:textId="2AF74793" w:rsidR="00B82A7A" w:rsidRPr="00FF027F" w:rsidRDefault="00B82A7A" w:rsidP="00F80C2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hAnsi="Arial" w:cs="Arial"/>
                    <w:lang w:val="en-GB"/>
                  </w:rPr>
                  <w:t xml:space="preserve">The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 xml:space="preserve">odes require a significant amount of coordinated decisions within the first few years after entry into force. In case </w:t>
                </w:r>
                <w:r w:rsidR="008D5E93" w:rsidRPr="00FF027F">
                  <w:rPr>
                    <w:rFonts w:ascii="Arial" w:hAnsi="Arial" w:cs="Arial"/>
                    <w:lang w:val="en-GB"/>
                  </w:rPr>
                  <w:t xml:space="preserve">of </w:t>
                </w:r>
                <w:r w:rsidR="00F80C2A" w:rsidRPr="00FF027F">
                  <w:rPr>
                    <w:rFonts w:ascii="Arial" w:hAnsi="Arial" w:cs="Arial"/>
                    <w:lang w:val="en-GB"/>
                  </w:rPr>
                  <w:t xml:space="preserve">an excessive number of </w:t>
                </w:r>
                <w:r w:rsidRPr="00FF027F">
                  <w:rPr>
                    <w:rFonts w:ascii="Arial" w:hAnsi="Arial" w:cs="Arial"/>
                    <w:lang w:val="en-GB"/>
                  </w:rPr>
                  <w:t xml:space="preserve">disputes among </w:t>
                </w:r>
                <w:r w:rsidR="008D5E93" w:rsidRPr="00FF027F">
                  <w:rPr>
                    <w:rFonts w:ascii="Arial" w:hAnsi="Arial" w:cs="Arial"/>
                    <w:lang w:val="en-GB"/>
                  </w:rPr>
                  <w:t xml:space="preserve">the </w:t>
                </w:r>
                <w:r w:rsidRPr="00FF027F">
                  <w:rPr>
                    <w:rFonts w:ascii="Arial" w:hAnsi="Arial" w:cs="Arial"/>
                    <w:lang w:val="en-GB"/>
                  </w:rPr>
                  <w:t xml:space="preserve">parties seeking agreement, the Agency </w:t>
                </w:r>
                <w:r w:rsidR="008D5E93" w:rsidRPr="00FF027F">
                  <w:rPr>
                    <w:rFonts w:ascii="Arial" w:hAnsi="Arial" w:cs="Arial"/>
                    <w:lang w:val="en-GB"/>
                  </w:rPr>
                  <w:t>may</w:t>
                </w:r>
                <w:r w:rsidRPr="00FF027F">
                  <w:rPr>
                    <w:rFonts w:ascii="Arial" w:hAnsi="Arial" w:cs="Arial"/>
                    <w:lang w:val="en-GB"/>
                  </w:rPr>
                  <w:t>, due to limited resources, not be able to facilitate the decision</w:t>
                </w:r>
                <w:r w:rsidR="00F80C2A" w:rsidRPr="00FF027F">
                  <w:rPr>
                    <w:rFonts w:ascii="Arial" w:hAnsi="Arial" w:cs="Arial"/>
                    <w:lang w:val="en-GB"/>
                  </w:rPr>
                  <w:t>-</w:t>
                </w:r>
                <w:r w:rsidRPr="00FF027F">
                  <w:rPr>
                    <w:rFonts w:ascii="Arial" w:hAnsi="Arial" w:cs="Arial"/>
                    <w:lang w:val="en-GB"/>
                  </w:rPr>
                  <w:t xml:space="preserve">making process in an efficient and timely manner. </w:t>
                </w:r>
              </w:p>
            </w:tc>
          </w:tr>
        </w:tbl>
        <w:p w14:paraId="6D73C93A" w14:textId="77777777" w:rsidR="00483A63" w:rsidRPr="00FF027F" w:rsidRDefault="003720CA" w:rsidP="00483A63">
          <w:pPr>
            <w:pStyle w:val="Heading2"/>
          </w:pPr>
          <w:bookmarkStart w:id="74" w:name="_Toc396913783"/>
          <w:r w:rsidRPr="00FF027F">
            <w:t>Gas</w:t>
          </w:r>
          <w:bookmarkEnd w:id="74"/>
          <w:r w:rsidR="00CD3F89" w:rsidRPr="00FF027F">
            <w:t xml:space="preserve"> </w:t>
          </w:r>
        </w:p>
        <w:p w14:paraId="0DFBA079" w14:textId="48431705" w:rsidR="00B86967" w:rsidRPr="00FF027F" w:rsidRDefault="00091004" w:rsidP="00330875">
          <w:pPr>
            <w:pStyle w:val="11ptVerdanaBold"/>
            <w:spacing w:before="360" w:after="240" w:line="360" w:lineRule="auto"/>
            <w:jc w:val="both"/>
            <w:rPr>
              <w:rFonts w:ascii="Arial" w:hAnsi="Arial" w:cs="Arial"/>
              <w:b w:val="0"/>
              <w:noProof w:val="0"/>
            </w:rPr>
          </w:pPr>
          <w:r w:rsidRPr="00FF027F">
            <w:rPr>
              <w:rFonts w:ascii="Arial" w:hAnsi="Arial" w:cs="Arial"/>
              <w:b w:val="0"/>
              <w:noProof w:val="0"/>
            </w:rPr>
            <w:t>This stream of work is driven by ENTSOG</w:t>
          </w:r>
          <w:r w:rsidR="00010B26" w:rsidRPr="00FF027F">
            <w:rPr>
              <w:rFonts w:ascii="Arial" w:hAnsi="Arial" w:cs="Arial"/>
              <w:b w:val="0"/>
              <w:noProof w:val="0"/>
            </w:rPr>
            <w:t xml:space="preserve"> delivering the remaining Network Code (on Rules regarding harmonised transmission tariff structures)</w:t>
          </w:r>
          <w:r w:rsidRPr="00FF027F">
            <w:rPr>
              <w:rFonts w:ascii="Arial" w:hAnsi="Arial" w:cs="Arial"/>
              <w:b w:val="0"/>
              <w:noProof w:val="0"/>
            </w:rPr>
            <w:t xml:space="preserve">, </w:t>
          </w:r>
          <w:r w:rsidR="00010B26" w:rsidRPr="00FF027F">
            <w:rPr>
              <w:rFonts w:ascii="Arial" w:hAnsi="Arial" w:cs="Arial"/>
              <w:b w:val="0"/>
              <w:noProof w:val="0"/>
            </w:rPr>
            <w:t xml:space="preserve">on the timing of the adoption of the </w:t>
          </w:r>
          <w:r w:rsidR="00AB2645" w:rsidRPr="00FF027F">
            <w:rPr>
              <w:rFonts w:ascii="Arial" w:hAnsi="Arial" w:cs="Arial"/>
              <w:b w:val="0"/>
              <w:noProof w:val="0"/>
            </w:rPr>
            <w:t>Network</w:t>
          </w:r>
          <w:r w:rsidR="00010B26" w:rsidRPr="00FF027F">
            <w:rPr>
              <w:rFonts w:ascii="Arial" w:hAnsi="Arial" w:cs="Arial"/>
              <w:b w:val="0"/>
              <w:noProof w:val="0"/>
            </w:rPr>
            <w:t xml:space="preserve"> Code on Interoperability and Data Exchange Rules, as well as on any new priorit</w:t>
          </w:r>
          <w:r w:rsidR="0083372F" w:rsidRPr="00FF027F">
            <w:rPr>
              <w:rFonts w:ascii="Arial" w:hAnsi="Arial" w:cs="Arial"/>
              <w:b w:val="0"/>
              <w:noProof w:val="0"/>
            </w:rPr>
            <w:t>ies set</w:t>
          </w:r>
          <w:r w:rsidR="00010B26" w:rsidRPr="00FF027F">
            <w:rPr>
              <w:rFonts w:ascii="Arial" w:hAnsi="Arial" w:cs="Arial"/>
              <w:b w:val="0"/>
              <w:noProof w:val="0"/>
            </w:rPr>
            <w:t xml:space="preserve"> by the European Commission for 2015.</w:t>
          </w:r>
        </w:p>
        <w:p w14:paraId="0947F2BD" w14:textId="2F7205B1" w:rsidR="00B86967" w:rsidRPr="00FF027F" w:rsidRDefault="00091004" w:rsidP="00330875">
          <w:pPr>
            <w:pStyle w:val="11ptVerdanaBold"/>
            <w:spacing w:before="360" w:after="240" w:line="360" w:lineRule="auto"/>
            <w:jc w:val="both"/>
            <w:rPr>
              <w:rFonts w:ascii="Arial" w:hAnsi="Arial" w:cs="Arial"/>
              <w:b w:val="0"/>
            </w:rPr>
          </w:pPr>
          <w:r w:rsidRPr="00FF027F">
            <w:rPr>
              <w:rFonts w:ascii="Arial" w:hAnsi="Arial" w:cs="Arial"/>
              <w:b w:val="0"/>
            </w:rPr>
            <w:t>Now that the first Commission Guidelines (</w:t>
          </w:r>
          <w:r w:rsidR="00BB16BC" w:rsidRPr="00FF027F">
            <w:rPr>
              <w:rFonts w:ascii="Arial" w:hAnsi="Arial" w:cs="Arial"/>
              <w:b w:val="0"/>
            </w:rPr>
            <w:t xml:space="preserve">on Congestion Management Procedures - </w:t>
          </w:r>
          <w:r w:rsidRPr="00FF027F">
            <w:rPr>
              <w:rFonts w:ascii="Arial" w:hAnsi="Arial" w:cs="Arial"/>
              <w:b w:val="0"/>
            </w:rPr>
            <w:t>CMP) have entered into force</w:t>
          </w:r>
          <w:r w:rsidR="00BB16BC" w:rsidRPr="00FF027F">
            <w:rPr>
              <w:rFonts w:ascii="Arial" w:hAnsi="Arial" w:cs="Arial"/>
              <w:b w:val="0"/>
            </w:rPr>
            <w:t>;</w:t>
          </w:r>
          <w:r w:rsidR="00B86967" w:rsidRPr="00FF027F">
            <w:rPr>
              <w:rFonts w:ascii="Arial" w:hAnsi="Arial" w:cs="Arial"/>
              <w:b w:val="0"/>
            </w:rPr>
            <w:t xml:space="preserve"> </w:t>
          </w:r>
          <w:r w:rsidR="00BB16BC" w:rsidRPr="00FF027F">
            <w:rPr>
              <w:rFonts w:ascii="Arial" w:hAnsi="Arial" w:cs="Arial"/>
              <w:b w:val="0"/>
            </w:rPr>
            <w:t>ther</w:t>
          </w:r>
          <w:r w:rsidR="000F0584" w:rsidRPr="00FF027F">
            <w:rPr>
              <w:rFonts w:ascii="Arial" w:hAnsi="Arial" w:cs="Arial"/>
              <w:b w:val="0"/>
            </w:rPr>
            <w:t>e</w:t>
          </w:r>
          <w:r w:rsidR="00BB16BC" w:rsidRPr="00FF027F">
            <w:rPr>
              <w:rFonts w:ascii="Arial" w:hAnsi="Arial" w:cs="Arial"/>
              <w:b w:val="0"/>
            </w:rPr>
            <w:t xml:space="preserve">fore </w:t>
          </w:r>
          <w:r w:rsidR="00B86967" w:rsidRPr="00FF027F">
            <w:rPr>
              <w:rFonts w:ascii="Arial" w:hAnsi="Arial" w:cs="Arial"/>
              <w:b w:val="0"/>
            </w:rPr>
            <w:t>the monitoring of N</w:t>
          </w:r>
          <w:r w:rsidR="00BB16BC" w:rsidRPr="00FF027F">
            <w:rPr>
              <w:rFonts w:ascii="Arial" w:hAnsi="Arial" w:cs="Arial"/>
              <w:b w:val="0"/>
            </w:rPr>
            <w:t xml:space="preserve">etwork </w:t>
          </w:r>
          <w:r w:rsidR="00B86967" w:rsidRPr="00FF027F">
            <w:rPr>
              <w:rFonts w:ascii="Arial" w:hAnsi="Arial" w:cs="Arial"/>
              <w:b w:val="0"/>
            </w:rPr>
            <w:t>C</w:t>
          </w:r>
          <w:r w:rsidR="00BB16BC" w:rsidRPr="00FF027F">
            <w:rPr>
              <w:rFonts w:ascii="Arial" w:hAnsi="Arial" w:cs="Arial"/>
              <w:b w:val="0"/>
            </w:rPr>
            <w:t>ode</w:t>
          </w:r>
          <w:r w:rsidR="00B86967" w:rsidRPr="00FF027F">
            <w:rPr>
              <w:rFonts w:ascii="Arial" w:hAnsi="Arial" w:cs="Arial"/>
              <w:b w:val="0"/>
            </w:rPr>
            <w:t xml:space="preserve"> implementation </w:t>
          </w:r>
          <w:r w:rsidRPr="00FF027F">
            <w:rPr>
              <w:rFonts w:ascii="Arial" w:hAnsi="Arial" w:cs="Arial"/>
              <w:b w:val="0"/>
            </w:rPr>
            <w:t xml:space="preserve">has started in 2014. </w:t>
          </w:r>
        </w:p>
        <w:p w14:paraId="06714FF7" w14:textId="74620425" w:rsidR="002B5E0E" w:rsidRPr="00FF027F" w:rsidRDefault="002B5E0E" w:rsidP="002B5E0E">
          <w:pPr>
            <w:pStyle w:val="Heading3"/>
            <w:rPr>
              <w:color w:val="4F81BD" w:themeColor="accent1"/>
            </w:rPr>
          </w:pPr>
          <w:bookmarkStart w:id="75" w:name="_Toc396913784"/>
          <w:r w:rsidRPr="00FF027F">
            <w:rPr>
              <w:color w:val="4F81BD" w:themeColor="accent1"/>
            </w:rPr>
            <w:t>Framework Guidelines</w:t>
          </w:r>
          <w:bookmarkEnd w:id="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B5E0E" w:rsidRPr="00FF027F" w14:paraId="764C11B2" w14:textId="77777777" w:rsidTr="0021711A">
            <w:trPr>
              <w:trHeight w:val="520"/>
            </w:trPr>
            <w:tc>
              <w:tcPr>
                <w:tcW w:w="1985" w:type="dxa"/>
                <w:shd w:val="clear" w:color="auto" w:fill="002060"/>
              </w:tcPr>
              <w:p w14:paraId="1C08D1E7" w14:textId="6A05BFDA" w:rsidR="002B5E0E" w:rsidRPr="00FF027F" w:rsidRDefault="006E721A" w:rsidP="00C53A96">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Activity </w:t>
                </w:r>
              </w:p>
            </w:tc>
            <w:tc>
              <w:tcPr>
                <w:tcW w:w="7150" w:type="dxa"/>
                <w:shd w:val="clear" w:color="auto" w:fill="002060"/>
              </w:tcPr>
              <w:p w14:paraId="1969436B" w14:textId="55A925A3" w:rsidR="002B5E0E" w:rsidRPr="00FF027F" w:rsidRDefault="002B5E0E" w:rsidP="00C53A96">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Preparation for the Review of Transparency Rules and Scoping potential Framework Guidelines on Settlement Rules, Operational Procedures in an emergency</w:t>
                </w:r>
              </w:p>
            </w:tc>
          </w:tr>
          <w:tr w:rsidR="002B5E0E" w:rsidRPr="00FF027F" w14:paraId="6A933FE0" w14:textId="77777777" w:rsidTr="0021711A">
            <w:trPr>
              <w:trHeight w:val="504"/>
            </w:trPr>
            <w:tc>
              <w:tcPr>
                <w:tcW w:w="1985" w:type="dxa"/>
                <w:shd w:val="clear" w:color="auto" w:fill="auto"/>
              </w:tcPr>
              <w:p w14:paraId="5F4FD1D9" w14:textId="77777777" w:rsidR="002B5E0E" w:rsidRPr="00FF027F" w:rsidRDefault="002B5E0E" w:rsidP="00C53A96">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14325929" w14:textId="77777777" w:rsidR="002B5E0E" w:rsidRPr="00FF027F" w:rsidRDefault="002B5E0E" w:rsidP="00C53A96">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 and Article 8(6)(i); (d); (f) of the (EC) Regulation 715/2009</w:t>
                </w:r>
              </w:p>
            </w:tc>
          </w:tr>
          <w:tr w:rsidR="002B5E0E" w:rsidRPr="00FF027F" w14:paraId="024D5E67" w14:textId="77777777" w:rsidTr="0021711A">
            <w:trPr>
              <w:trHeight w:val="392"/>
            </w:trPr>
            <w:tc>
              <w:tcPr>
                <w:tcW w:w="1985" w:type="dxa"/>
                <w:shd w:val="clear" w:color="auto" w:fill="auto"/>
              </w:tcPr>
              <w:p w14:paraId="2E06673E" w14:textId="77777777" w:rsidR="002B5E0E" w:rsidRPr="00FF027F" w:rsidRDefault="002B5E0E" w:rsidP="00BA48A6">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46B37A75" w14:textId="77777777" w:rsidR="002B5E0E" w:rsidRPr="00FF027F" w:rsidRDefault="00C53A96" w:rsidP="00C53A96">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w:t>
                </w:r>
                <w:r w:rsidR="002B5E0E" w:rsidRPr="00FF027F">
                  <w:rPr>
                    <w:rFonts w:ascii="Arial" w:hAnsi="Arial" w:cs="Arial"/>
                    <w:lang w:val="en-GB"/>
                  </w:rPr>
                  <w:t>ransparency</w:t>
                </w:r>
                <w:r w:rsidRPr="00FF027F">
                  <w:rPr>
                    <w:rFonts w:ascii="Arial" w:hAnsi="Arial" w:cs="Arial"/>
                    <w:lang w:val="en-GB"/>
                  </w:rPr>
                  <w:t xml:space="preserve"> rules</w:t>
                </w:r>
                <w:r w:rsidR="002B5E0E" w:rsidRPr="00FF027F">
                  <w:rPr>
                    <w:rFonts w:ascii="Arial" w:hAnsi="Arial" w:cs="Arial"/>
                    <w:lang w:val="en-GB"/>
                  </w:rPr>
                  <w:t xml:space="preserve">: revision of the current content and compatibility checks with the </w:t>
                </w:r>
                <w:r w:rsidR="009B6DEF" w:rsidRPr="00FF027F">
                  <w:rPr>
                    <w:rFonts w:ascii="Arial" w:hAnsi="Arial" w:cs="Arial"/>
                    <w:lang w:val="en-GB"/>
                  </w:rPr>
                  <w:t xml:space="preserve">NCs </w:t>
                </w:r>
                <w:r w:rsidR="002B5E0E" w:rsidRPr="00FF027F">
                  <w:rPr>
                    <w:rFonts w:ascii="Arial" w:hAnsi="Arial" w:cs="Arial"/>
                    <w:lang w:val="en-GB"/>
                  </w:rPr>
                  <w:t xml:space="preserve">adopted or in the process of adoption, scoping for new content or </w:t>
                </w:r>
                <w:r w:rsidRPr="00FF027F">
                  <w:rPr>
                    <w:rFonts w:ascii="Arial" w:hAnsi="Arial" w:cs="Arial"/>
                    <w:lang w:val="en-GB"/>
                  </w:rPr>
                  <w:t xml:space="preserve">an improvement in </w:t>
                </w:r>
                <w:r w:rsidR="002B5E0E" w:rsidRPr="00FF027F">
                  <w:rPr>
                    <w:rFonts w:ascii="Arial" w:hAnsi="Arial" w:cs="Arial"/>
                    <w:lang w:val="en-GB"/>
                  </w:rPr>
                  <w:t>governance</w:t>
                </w:r>
                <w:r w:rsidRPr="00FF027F">
                  <w:rPr>
                    <w:rFonts w:ascii="Arial" w:hAnsi="Arial" w:cs="Arial"/>
                    <w:lang w:val="en-GB"/>
                  </w:rPr>
                  <w:t>.</w:t>
                </w:r>
              </w:p>
              <w:p w14:paraId="32E7BC0E" w14:textId="77777777" w:rsidR="002B5E0E" w:rsidRPr="00FF027F" w:rsidRDefault="002B5E0E" w:rsidP="00C53A96">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For the others: full scoping, definition of content of the FG</w:t>
                </w:r>
                <w:r w:rsidR="00C53A96" w:rsidRPr="00FF027F">
                  <w:rPr>
                    <w:rFonts w:ascii="Arial" w:hAnsi="Arial" w:cs="Arial"/>
                    <w:lang w:val="en-GB"/>
                  </w:rPr>
                  <w:t>.</w:t>
                </w:r>
              </w:p>
              <w:p w14:paraId="6E6DB889" w14:textId="3A8874ED" w:rsidR="006E721A" w:rsidRPr="00FF027F" w:rsidRDefault="006E721A" w:rsidP="006E721A">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Review prepared in the context of the Planning Group.</w:t>
                </w:r>
              </w:p>
            </w:tc>
          </w:tr>
          <w:tr w:rsidR="002B5E0E" w:rsidRPr="00FF027F" w14:paraId="759925CE" w14:textId="77777777" w:rsidTr="0021711A">
            <w:trPr>
              <w:trHeight w:val="1017"/>
            </w:trPr>
            <w:tc>
              <w:tcPr>
                <w:tcW w:w="1985" w:type="dxa"/>
                <w:shd w:val="clear" w:color="auto" w:fill="auto"/>
              </w:tcPr>
              <w:p w14:paraId="6D2B47FE" w14:textId="77777777" w:rsidR="002B5E0E" w:rsidRPr="00FF027F" w:rsidRDefault="002B5E0E" w:rsidP="00BA48A6">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3075CC6B" w14:textId="50D6F39B" w:rsidR="002B5E0E" w:rsidRPr="00FF027F" w:rsidRDefault="002B5E0E" w:rsidP="00C53A96">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Ensure compatibility with codes (Transparency)</w:t>
                </w:r>
                <w:r w:rsidR="0083372F" w:rsidRPr="00FF027F">
                  <w:rPr>
                    <w:rFonts w:ascii="Arial" w:hAnsi="Arial" w:cs="Arial"/>
                    <w:lang w:val="en-GB"/>
                  </w:rPr>
                  <w:t>;</w:t>
                </w:r>
                <w:r w:rsidRPr="00FF027F">
                  <w:rPr>
                    <w:rFonts w:ascii="Arial" w:hAnsi="Arial" w:cs="Arial"/>
                    <w:lang w:val="en-GB"/>
                  </w:rPr>
                  <w:t xml:space="preserve"> </w:t>
                </w:r>
              </w:p>
              <w:p w14:paraId="322FFA11" w14:textId="614C6483" w:rsidR="002B5E0E" w:rsidRPr="00FF027F" w:rsidRDefault="002B5E0E" w:rsidP="00C53A96">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Scoping document, </w:t>
                </w:r>
                <w:r w:rsidR="006E721A" w:rsidRPr="00FF027F">
                  <w:rPr>
                    <w:rFonts w:ascii="Arial" w:hAnsi="Arial" w:cs="Arial"/>
                    <w:lang w:val="en-GB"/>
                  </w:rPr>
                  <w:t>s</w:t>
                </w:r>
                <w:r w:rsidRPr="00FF027F">
                  <w:rPr>
                    <w:rFonts w:ascii="Arial" w:hAnsi="Arial" w:cs="Arial"/>
                    <w:lang w:val="en-GB"/>
                  </w:rPr>
                  <w:t xml:space="preserve">et up of </w:t>
                </w:r>
                <w:r w:rsidR="006E721A" w:rsidRPr="00FF027F">
                  <w:rPr>
                    <w:rFonts w:ascii="Arial" w:hAnsi="Arial" w:cs="Arial"/>
                    <w:lang w:val="en-GB"/>
                  </w:rPr>
                  <w:t>e</w:t>
                </w:r>
                <w:r w:rsidRPr="00FF027F">
                  <w:rPr>
                    <w:rFonts w:ascii="Arial" w:hAnsi="Arial" w:cs="Arial"/>
                    <w:lang w:val="en-GB"/>
                  </w:rPr>
                  <w:t>xpert groups and launch of consultations</w:t>
                </w:r>
                <w:r w:rsidR="0083372F" w:rsidRPr="00FF027F">
                  <w:rPr>
                    <w:rFonts w:ascii="Arial" w:hAnsi="Arial" w:cs="Arial"/>
                    <w:lang w:val="en-GB"/>
                  </w:rPr>
                  <w:t>.</w:t>
                </w:r>
              </w:p>
            </w:tc>
          </w:tr>
          <w:tr w:rsidR="002B5E0E" w:rsidRPr="00FF027F" w14:paraId="4E0EA156" w14:textId="77777777" w:rsidTr="00873568">
            <w:trPr>
              <w:trHeight w:val="395"/>
            </w:trPr>
            <w:tc>
              <w:tcPr>
                <w:tcW w:w="1985" w:type="dxa"/>
                <w:shd w:val="clear" w:color="auto" w:fill="auto"/>
              </w:tcPr>
              <w:p w14:paraId="0F4C428E" w14:textId="77777777" w:rsidR="002B5E0E" w:rsidRPr="00FF027F" w:rsidRDefault="002B5E0E" w:rsidP="00BA48A6">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0FCD3248" w14:textId="77777777" w:rsidR="002B5E0E" w:rsidRPr="00FF027F" w:rsidRDefault="002B5E0E" w:rsidP="00C53A96">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by Q3-Q4/2015</w:t>
                </w:r>
              </w:p>
            </w:tc>
          </w:tr>
          <w:tr w:rsidR="002B5E0E" w:rsidRPr="00FF027F" w14:paraId="7CE8C0BA" w14:textId="77777777" w:rsidTr="0021711A">
            <w:trPr>
              <w:trHeight w:val="535"/>
            </w:trPr>
            <w:tc>
              <w:tcPr>
                <w:tcW w:w="1985" w:type="dxa"/>
                <w:shd w:val="clear" w:color="auto" w:fill="auto"/>
              </w:tcPr>
              <w:p w14:paraId="22504E64" w14:textId="77777777" w:rsidR="002B5E0E" w:rsidRPr="00FF027F" w:rsidRDefault="002B5E0E" w:rsidP="00C53A96">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7DDC0640" w14:textId="77777777" w:rsidR="002B5E0E" w:rsidRPr="00FF027F" w:rsidRDefault="002B5E0E" w:rsidP="00C53A96">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0.7 FTE</w:t>
                </w:r>
              </w:p>
            </w:tc>
          </w:tr>
          <w:tr w:rsidR="002B5E0E" w:rsidRPr="00FF027F" w14:paraId="7FD2D9F5" w14:textId="77777777" w:rsidTr="0021711A">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836ACF7" w14:textId="77777777" w:rsidR="002B5E0E" w:rsidRPr="00FF027F" w:rsidRDefault="002B5E0E" w:rsidP="00C53A96">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349629EB" w14:textId="4AB8E24F" w:rsidR="002B5E0E" w:rsidRPr="00FF027F" w:rsidRDefault="002B5E0E" w:rsidP="00C53A96">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Interest of the stakeholders may be limited for launching these projects, NRA</w:t>
                </w:r>
                <w:r w:rsidR="0083372F" w:rsidRPr="00FF027F">
                  <w:rPr>
                    <w:rFonts w:ascii="Arial" w:eastAsia="Times New Roman" w:hAnsi="Arial" w:cs="Arial"/>
                    <w:iCs/>
                    <w:lang w:val="en-GB"/>
                  </w:rPr>
                  <w:t>s</w:t>
                </w:r>
                <w:r w:rsidRPr="00FF027F">
                  <w:rPr>
                    <w:rFonts w:ascii="Arial" w:eastAsia="Times New Roman" w:hAnsi="Arial" w:cs="Arial"/>
                    <w:iCs/>
                    <w:lang w:val="en-GB"/>
                  </w:rPr>
                  <w:t xml:space="preserve"> may have limited resources in supporting these projects</w:t>
                </w:r>
                <w:r w:rsidR="009B6DEF" w:rsidRPr="00FF027F">
                  <w:rPr>
                    <w:rFonts w:ascii="Arial" w:eastAsia="Times New Roman" w:hAnsi="Arial" w:cs="Arial"/>
                    <w:iCs/>
                    <w:lang w:val="en-GB"/>
                  </w:rPr>
                  <w:t>.</w:t>
                </w:r>
              </w:p>
            </w:tc>
          </w:tr>
        </w:tbl>
        <w:p w14:paraId="5700980B" w14:textId="77777777" w:rsidR="002B5E0E" w:rsidRPr="00FF027F" w:rsidRDefault="002B5E0E" w:rsidP="002B5E0E">
          <w:pPr>
            <w:rPr>
              <w:lang w:val="en-GB"/>
            </w:rPr>
          </w:pPr>
        </w:p>
        <w:p w14:paraId="4CD5CA91" w14:textId="77777777" w:rsidR="002B5E0E" w:rsidRPr="00FF027F" w:rsidRDefault="002B5E0E" w:rsidP="002B5E0E">
          <w:pPr>
            <w:pStyle w:val="Heading3"/>
            <w:rPr>
              <w:color w:val="4F81BD" w:themeColor="accent1"/>
            </w:rPr>
          </w:pPr>
          <w:bookmarkStart w:id="76" w:name="_Toc396913785"/>
          <w:r w:rsidRPr="00FF027F">
            <w:rPr>
              <w:color w:val="4F81BD" w:themeColor="accent1"/>
            </w:rPr>
            <w:t>Network Codes, their implementation and its monitoring</w:t>
          </w:r>
          <w:bookmarkEnd w:id="76"/>
          <w:r w:rsidRPr="00FF027F">
            <w:rPr>
              <w:color w:val="4F81BD" w:themeColor="accent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B5E0E" w:rsidRPr="00FF027F" w14:paraId="13E15579" w14:textId="77777777" w:rsidTr="0021711A">
            <w:trPr>
              <w:trHeight w:val="520"/>
            </w:trPr>
            <w:tc>
              <w:tcPr>
                <w:tcW w:w="1985" w:type="dxa"/>
                <w:shd w:val="clear" w:color="auto" w:fill="002060"/>
              </w:tcPr>
              <w:p w14:paraId="40C8FE15" w14:textId="77777777" w:rsidR="002B5E0E" w:rsidRPr="00FF027F" w:rsidRDefault="002B5E0E" w:rsidP="009B6DEF">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79C84A8F" w14:textId="77777777" w:rsidR="002B5E0E" w:rsidRPr="00FF027F" w:rsidRDefault="002B5E0E" w:rsidP="009B6DEF">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Reasoned opinion and Recommendation on the Network Code on rules regarding harmonised transmission tariff structures</w:t>
                </w:r>
              </w:p>
            </w:tc>
          </w:tr>
          <w:tr w:rsidR="002B5E0E" w:rsidRPr="00FF027F" w14:paraId="6B0E568A" w14:textId="77777777" w:rsidTr="0021711A">
            <w:trPr>
              <w:trHeight w:val="504"/>
            </w:trPr>
            <w:tc>
              <w:tcPr>
                <w:tcW w:w="1985" w:type="dxa"/>
                <w:shd w:val="clear" w:color="auto" w:fill="auto"/>
              </w:tcPr>
              <w:p w14:paraId="4698D0CF"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6F8F6479"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 and Article 8(6)(k) of the (EC) Regulation 715/2009</w:t>
                </w:r>
              </w:p>
            </w:tc>
          </w:tr>
          <w:tr w:rsidR="002B5E0E" w:rsidRPr="00FF027F" w14:paraId="0EBCF98D" w14:textId="77777777" w:rsidTr="0021711A">
            <w:trPr>
              <w:trHeight w:val="392"/>
            </w:trPr>
            <w:tc>
              <w:tcPr>
                <w:tcW w:w="1985" w:type="dxa"/>
                <w:shd w:val="clear" w:color="auto" w:fill="auto"/>
              </w:tcPr>
              <w:p w14:paraId="201ACB38"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3EF2EA27"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Revision of the NC compliance with the FG by policy choices. </w:t>
                </w:r>
              </w:p>
              <w:p w14:paraId="080DA699" w14:textId="6569ACA0" w:rsidR="002B5E0E" w:rsidRPr="00FF027F" w:rsidRDefault="009B6DEF" w:rsidP="009B6DEF">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eastAsia="Times New Roman" w:hAnsi="Arial" w:cs="Arial"/>
                    <w:iCs/>
                    <w:lang w:val="en-GB"/>
                  </w:rPr>
                  <w:t xml:space="preserve">The main discussions are expected </w:t>
                </w:r>
                <w:r w:rsidR="002B5E0E" w:rsidRPr="00FF027F">
                  <w:rPr>
                    <w:rFonts w:ascii="Arial" w:eastAsia="Times New Roman" w:hAnsi="Arial" w:cs="Arial"/>
                    <w:iCs/>
                    <w:lang w:val="en-GB"/>
                  </w:rPr>
                  <w:t xml:space="preserve">on Mitigating measures and Floating payable price. Many other topics would require close analysis (transparency, circumstances, cost allocation test, revenue reconciliation, </w:t>
                </w:r>
                <w:r w:rsidR="00AB2645" w:rsidRPr="00FF027F">
                  <w:rPr>
                    <w:rFonts w:ascii="Arial" w:eastAsia="Times New Roman" w:hAnsi="Arial" w:cs="Arial"/>
                    <w:iCs/>
                    <w:lang w:val="en-GB"/>
                  </w:rPr>
                  <w:t>and multipliers</w:t>
                </w:r>
                <w:r w:rsidR="002B5E0E" w:rsidRPr="00FF027F">
                  <w:rPr>
                    <w:rFonts w:ascii="Arial" w:eastAsia="Times New Roman" w:hAnsi="Arial" w:cs="Arial"/>
                    <w:iCs/>
                    <w:lang w:val="en-GB"/>
                  </w:rPr>
                  <w:t>).</w:t>
                </w:r>
              </w:p>
            </w:tc>
          </w:tr>
          <w:tr w:rsidR="002B5E0E" w:rsidRPr="00FF027F" w14:paraId="1E18619C" w14:textId="77777777" w:rsidTr="0021711A">
            <w:trPr>
              <w:trHeight w:val="1017"/>
            </w:trPr>
            <w:tc>
              <w:tcPr>
                <w:tcW w:w="1985" w:type="dxa"/>
                <w:shd w:val="clear" w:color="auto" w:fill="auto"/>
              </w:tcPr>
              <w:p w14:paraId="02BE5205"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5A5D3B58"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Reasoned opinion to ENTSOG on NC compliance</w:t>
                </w:r>
                <w:r w:rsidR="009B6DEF" w:rsidRPr="00FF027F">
                  <w:rPr>
                    <w:rFonts w:ascii="Arial" w:eastAsia="Times New Roman" w:hAnsi="Arial" w:cs="Arial"/>
                    <w:iCs/>
                    <w:lang w:val="en-GB"/>
                  </w:rPr>
                  <w:t>.</w:t>
                </w:r>
                <w:r w:rsidRPr="00FF027F">
                  <w:rPr>
                    <w:rFonts w:ascii="Arial" w:eastAsia="Times New Roman" w:hAnsi="Arial" w:cs="Arial"/>
                    <w:iCs/>
                    <w:lang w:val="en-GB"/>
                  </w:rPr>
                  <w:t xml:space="preserve">  </w:t>
                </w:r>
              </w:p>
              <w:p w14:paraId="45BA7B48"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eastAsia="Times New Roman" w:hAnsi="Arial" w:cs="Arial"/>
                    <w:iCs/>
                    <w:lang w:val="en-GB"/>
                  </w:rPr>
                  <w:t>Recommendation to the EC (when the code is compliant)</w:t>
                </w:r>
                <w:r w:rsidR="009B6DEF" w:rsidRPr="00FF027F">
                  <w:rPr>
                    <w:rFonts w:ascii="Arial" w:eastAsia="Times New Roman" w:hAnsi="Arial" w:cs="Arial"/>
                    <w:iCs/>
                    <w:lang w:val="en-GB"/>
                  </w:rPr>
                  <w:t>.</w:t>
                </w:r>
              </w:p>
            </w:tc>
          </w:tr>
          <w:tr w:rsidR="002B5E0E" w:rsidRPr="00FF027F" w14:paraId="4F78B6D6" w14:textId="77777777" w:rsidTr="0021711A">
            <w:trPr>
              <w:trHeight w:val="780"/>
            </w:trPr>
            <w:tc>
              <w:tcPr>
                <w:tcW w:w="1985" w:type="dxa"/>
                <w:shd w:val="clear" w:color="auto" w:fill="auto"/>
              </w:tcPr>
              <w:p w14:paraId="28655917"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5317A2C4" w14:textId="77777777" w:rsidR="002B5E0E" w:rsidRPr="00FF027F" w:rsidRDefault="002B5E0E" w:rsidP="009B6DEF">
                <w:pPr>
                  <w:autoSpaceDE w:val="0"/>
                  <w:autoSpaceDN w:val="0"/>
                  <w:adjustRightInd w:val="0"/>
                  <w:spacing w:before="120" w:after="120" w:line="240" w:lineRule="auto"/>
                  <w:ind w:left="202"/>
                  <w:rPr>
                    <w:rFonts w:ascii="Arial" w:hAnsi="Arial" w:cs="Arial"/>
                    <w:bCs/>
                    <w:lang w:val="en-GB"/>
                  </w:rPr>
                </w:pPr>
                <w:r w:rsidRPr="00FF027F">
                  <w:rPr>
                    <w:rFonts w:ascii="Arial" w:hAnsi="Arial" w:cs="Arial"/>
                    <w:bCs/>
                    <w:lang w:val="en-GB"/>
                  </w:rPr>
                  <w:t>The timely delivery of the opinion (Q1 2015) and recommendation (Q2-Q3 2015) to the European Commission on the Network Code on harmonised transmission tariff structures.</w:t>
                </w:r>
              </w:p>
              <w:p w14:paraId="4CCC2A1F"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hAnsi="Arial" w:cs="Arial"/>
                    <w:bCs/>
                    <w:lang w:val="en-GB"/>
                  </w:rPr>
                  <w:t>Network Code as much as possible in line with the Framework Guidelines, enabling an unqualified recommendation to the Commission</w:t>
                </w:r>
                <w:r w:rsidR="009B6DEF" w:rsidRPr="00FF027F">
                  <w:rPr>
                    <w:rFonts w:ascii="Arial" w:eastAsia="Times New Roman" w:hAnsi="Arial" w:cs="Arial"/>
                    <w:iCs/>
                    <w:lang w:val="en-GB"/>
                  </w:rPr>
                  <w:t>.</w:t>
                </w:r>
              </w:p>
            </w:tc>
          </w:tr>
          <w:tr w:rsidR="002B5E0E" w:rsidRPr="00FF027F" w14:paraId="56FC6554" w14:textId="77777777" w:rsidTr="0021711A">
            <w:trPr>
              <w:trHeight w:val="535"/>
            </w:trPr>
            <w:tc>
              <w:tcPr>
                <w:tcW w:w="1985" w:type="dxa"/>
                <w:shd w:val="clear" w:color="auto" w:fill="auto"/>
              </w:tcPr>
              <w:p w14:paraId="650B05D5"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72EBB144"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0.8 FTE</w:t>
                </w:r>
              </w:p>
            </w:tc>
          </w:tr>
          <w:tr w:rsidR="002B5E0E" w:rsidRPr="00FF027F" w14:paraId="26309884" w14:textId="77777777" w:rsidTr="0021711A">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C82973"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38EAE3C4"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Given the sensitivity of the topic and the complexity of the FG</w:t>
                </w:r>
                <w:r w:rsidR="009B6DEF" w:rsidRPr="00FF027F">
                  <w:rPr>
                    <w:rFonts w:ascii="Arial" w:eastAsia="Times New Roman" w:hAnsi="Arial" w:cs="Arial"/>
                    <w:iCs/>
                    <w:lang w:val="en-GB"/>
                  </w:rPr>
                  <w:t>,</w:t>
                </w:r>
                <w:r w:rsidRPr="00FF027F">
                  <w:rPr>
                    <w:rFonts w:ascii="Arial" w:eastAsia="Times New Roman" w:hAnsi="Arial" w:cs="Arial"/>
                    <w:iCs/>
                    <w:lang w:val="en-GB"/>
                  </w:rPr>
                  <w:t xml:space="preserve"> the recommendation may </w:t>
                </w:r>
                <w:r w:rsidR="009B6DEF" w:rsidRPr="00FF027F">
                  <w:rPr>
                    <w:rFonts w:ascii="Arial" w:eastAsia="Times New Roman" w:hAnsi="Arial" w:cs="Arial"/>
                    <w:iCs/>
                    <w:lang w:val="en-GB"/>
                  </w:rPr>
                  <w:t xml:space="preserve">be </w:t>
                </w:r>
                <w:r w:rsidRPr="00FF027F">
                  <w:rPr>
                    <w:rFonts w:ascii="Arial" w:eastAsia="Times New Roman" w:hAnsi="Arial" w:cs="Arial"/>
                    <w:iCs/>
                    <w:lang w:val="en-GB"/>
                  </w:rPr>
                  <w:t>delay</w:t>
                </w:r>
                <w:r w:rsidR="009B6DEF" w:rsidRPr="00FF027F">
                  <w:rPr>
                    <w:rFonts w:ascii="Arial" w:eastAsia="Times New Roman" w:hAnsi="Arial" w:cs="Arial"/>
                    <w:iCs/>
                    <w:lang w:val="en-GB"/>
                  </w:rPr>
                  <w:t>ed.</w:t>
                </w:r>
              </w:p>
            </w:tc>
          </w:tr>
        </w:tbl>
        <w:p w14:paraId="3157D047" w14:textId="77777777" w:rsidR="002B5E0E" w:rsidRPr="00FF027F" w:rsidRDefault="002B5E0E" w:rsidP="002B5E0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B5E0E" w:rsidRPr="00FF027F" w14:paraId="52804AD0" w14:textId="77777777" w:rsidTr="0068746C">
            <w:trPr>
              <w:trHeight w:val="520"/>
            </w:trPr>
            <w:tc>
              <w:tcPr>
                <w:tcW w:w="1972" w:type="dxa"/>
                <w:shd w:val="clear" w:color="auto" w:fill="002060"/>
              </w:tcPr>
              <w:p w14:paraId="10DE02D8" w14:textId="30D26717" w:rsidR="002B5E0E" w:rsidRPr="00FF027F" w:rsidRDefault="002B5E0E" w:rsidP="009B6DEF">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6937" w:type="dxa"/>
                <w:shd w:val="clear" w:color="auto" w:fill="002060"/>
              </w:tcPr>
              <w:p w14:paraId="301FE426" w14:textId="77777777" w:rsidR="002B5E0E" w:rsidRPr="00FF027F" w:rsidRDefault="002B5E0E" w:rsidP="009B6DEF">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Advice and support on the discussions on the Network Code on harmonised transmission tariff structures and the amendment of the Network Code on capacity allocation mechanisms regarding incremental capacity during the comitology process</w:t>
                </w:r>
              </w:p>
            </w:tc>
          </w:tr>
          <w:tr w:rsidR="002B5E0E" w:rsidRPr="00FF027F" w14:paraId="3987E974" w14:textId="77777777" w:rsidTr="0068746C">
            <w:trPr>
              <w:trHeight w:val="504"/>
            </w:trPr>
            <w:tc>
              <w:tcPr>
                <w:tcW w:w="1972" w:type="dxa"/>
                <w:shd w:val="clear" w:color="auto" w:fill="auto"/>
              </w:tcPr>
              <w:p w14:paraId="1EC2F291"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Legal basis</w:t>
                </w:r>
              </w:p>
            </w:tc>
            <w:tc>
              <w:tcPr>
                <w:tcW w:w="6937" w:type="dxa"/>
                <w:shd w:val="clear" w:color="auto" w:fill="auto"/>
              </w:tcPr>
              <w:p w14:paraId="37E078D2"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 and Article 7 of the (EC) Regulation 715/2009</w:t>
                </w:r>
              </w:p>
            </w:tc>
          </w:tr>
          <w:tr w:rsidR="002B5E0E" w:rsidRPr="00FF027F" w14:paraId="0C42C46C" w14:textId="77777777" w:rsidTr="0068746C">
            <w:trPr>
              <w:trHeight w:val="392"/>
            </w:trPr>
            <w:tc>
              <w:tcPr>
                <w:tcW w:w="1972" w:type="dxa"/>
                <w:shd w:val="clear" w:color="auto" w:fill="auto"/>
              </w:tcPr>
              <w:p w14:paraId="2E13E6D3"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Overview (status)</w:t>
                </w:r>
              </w:p>
            </w:tc>
            <w:tc>
              <w:tcPr>
                <w:tcW w:w="6937" w:type="dxa"/>
                <w:shd w:val="clear" w:color="auto" w:fill="auto"/>
              </w:tcPr>
              <w:p w14:paraId="4C8B04C4"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Both processes need to be aligned and therefore start in the second half of 2015. Meetings and discussions shall be scheduled by the European Commission</w:t>
                </w:r>
                <w:r w:rsidR="009B6DEF" w:rsidRPr="00FF027F">
                  <w:rPr>
                    <w:rFonts w:ascii="Arial" w:eastAsia="Times New Roman" w:hAnsi="Arial" w:cs="Arial"/>
                    <w:iCs/>
                    <w:lang w:val="en-GB"/>
                  </w:rPr>
                  <w:t>.</w:t>
                </w:r>
              </w:p>
            </w:tc>
          </w:tr>
          <w:tr w:rsidR="002B5E0E" w:rsidRPr="00FF027F" w14:paraId="53BDF427" w14:textId="77777777" w:rsidTr="0068746C">
            <w:trPr>
              <w:trHeight w:val="827"/>
            </w:trPr>
            <w:tc>
              <w:tcPr>
                <w:tcW w:w="1972" w:type="dxa"/>
                <w:shd w:val="clear" w:color="auto" w:fill="auto"/>
              </w:tcPr>
              <w:p w14:paraId="78762851"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 xml:space="preserve">Objectives and Outputs </w:t>
                </w:r>
              </w:p>
            </w:tc>
            <w:tc>
              <w:tcPr>
                <w:tcW w:w="6937" w:type="dxa"/>
                <w:shd w:val="clear" w:color="auto" w:fill="auto"/>
              </w:tcPr>
              <w:p w14:paraId="67F59765"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Technical advice and support provided for the process (at the time the process will take place)</w:t>
                </w:r>
                <w:r w:rsidR="009B6DEF" w:rsidRPr="00FF027F">
                  <w:rPr>
                    <w:rFonts w:ascii="Arial" w:hAnsi="Arial" w:cs="Arial"/>
                    <w:lang w:val="en-GB"/>
                  </w:rPr>
                  <w:t>.</w:t>
                </w:r>
                <w:r w:rsidRPr="00FF027F">
                  <w:rPr>
                    <w:rFonts w:ascii="Arial" w:hAnsi="Arial" w:cs="Arial"/>
                    <w:lang w:val="en-GB"/>
                  </w:rPr>
                  <w:t xml:space="preserve"> </w:t>
                </w:r>
              </w:p>
            </w:tc>
          </w:tr>
          <w:tr w:rsidR="002B5E0E" w:rsidRPr="00FF027F" w14:paraId="390A5BB0" w14:textId="77777777" w:rsidTr="0068746C">
            <w:trPr>
              <w:trHeight w:val="1340"/>
            </w:trPr>
            <w:tc>
              <w:tcPr>
                <w:tcW w:w="1972" w:type="dxa"/>
                <w:shd w:val="clear" w:color="auto" w:fill="auto"/>
              </w:tcPr>
              <w:p w14:paraId="394C5CAD"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Performance indicators and targets (deadlines)</w:t>
                </w:r>
              </w:p>
            </w:tc>
            <w:tc>
              <w:tcPr>
                <w:tcW w:w="6937" w:type="dxa"/>
                <w:shd w:val="clear" w:color="auto" w:fill="auto"/>
              </w:tcPr>
              <w:p w14:paraId="418C30E3" w14:textId="77777777" w:rsidR="002B5E0E" w:rsidRPr="00FF027F" w:rsidRDefault="002B5E0E" w:rsidP="009B6DEF">
                <w:pPr>
                  <w:autoSpaceDE w:val="0"/>
                  <w:autoSpaceDN w:val="0"/>
                  <w:adjustRightInd w:val="0"/>
                  <w:spacing w:before="120" w:after="120" w:line="240" w:lineRule="auto"/>
                  <w:ind w:left="202"/>
                  <w:rPr>
                    <w:rFonts w:ascii="Arial" w:hAnsi="Arial" w:cs="Arial"/>
                    <w:bCs/>
                    <w:lang w:val="en-GB"/>
                  </w:rPr>
                </w:pPr>
                <w:r w:rsidRPr="00FF027F">
                  <w:rPr>
                    <w:rFonts w:ascii="Arial" w:hAnsi="Arial" w:cs="Arial"/>
                    <w:bCs/>
                    <w:lang w:val="en-GB"/>
                  </w:rPr>
                  <w:t>EC (and ENTSOG) satisfied with level of support and with communication</w:t>
                </w:r>
                <w:r w:rsidR="009B6DEF" w:rsidRPr="00FF027F">
                  <w:rPr>
                    <w:rFonts w:ascii="Arial" w:hAnsi="Arial" w:cs="Arial"/>
                    <w:bCs/>
                    <w:lang w:val="en-GB"/>
                  </w:rPr>
                  <w:t>.</w:t>
                </w:r>
              </w:p>
              <w:p w14:paraId="3A3C5EB7"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Target date: Q2-Q3/2015</w:t>
                </w:r>
              </w:p>
            </w:tc>
          </w:tr>
          <w:tr w:rsidR="002B5E0E" w:rsidRPr="00FF027F" w14:paraId="5B69DC30" w14:textId="77777777" w:rsidTr="0068746C">
            <w:trPr>
              <w:trHeight w:val="535"/>
            </w:trPr>
            <w:tc>
              <w:tcPr>
                <w:tcW w:w="1972" w:type="dxa"/>
                <w:shd w:val="clear" w:color="auto" w:fill="auto"/>
              </w:tcPr>
              <w:p w14:paraId="5D6C342B"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Staff</w:t>
                </w:r>
              </w:p>
            </w:tc>
            <w:tc>
              <w:tcPr>
                <w:tcW w:w="6937" w:type="dxa"/>
                <w:shd w:val="clear" w:color="auto" w:fill="auto"/>
              </w:tcPr>
              <w:p w14:paraId="1B1A4F88"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0.2 FTE</w:t>
                </w:r>
              </w:p>
            </w:tc>
          </w:tr>
          <w:tr w:rsidR="002B5E0E" w:rsidRPr="00FF027F" w14:paraId="187599F7" w14:textId="77777777" w:rsidTr="0068746C">
            <w:trPr>
              <w:trHeight w:val="395"/>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0730F7BB"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Risks</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7C9C6FAF"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Both topics</w:t>
                </w:r>
                <w:r w:rsidR="009B6DEF" w:rsidRPr="00FF027F">
                  <w:rPr>
                    <w:rFonts w:ascii="Arial" w:eastAsia="Times New Roman" w:hAnsi="Arial" w:cs="Arial"/>
                    <w:iCs/>
                    <w:lang w:val="en-GB"/>
                  </w:rPr>
                  <w:t xml:space="preserve"> are sensitive</w:t>
                </w:r>
                <w:r w:rsidRPr="00FF027F">
                  <w:rPr>
                    <w:rFonts w:ascii="Arial" w:eastAsia="Times New Roman" w:hAnsi="Arial" w:cs="Arial"/>
                    <w:iCs/>
                    <w:lang w:val="en-GB"/>
                  </w:rPr>
                  <w:t xml:space="preserve">: communication and reaching consensus may be more difficult than for other codes. </w:t>
                </w:r>
                <w:r w:rsidR="009B6DEF" w:rsidRPr="00FF027F">
                  <w:rPr>
                    <w:rFonts w:ascii="Arial" w:eastAsia="Times New Roman" w:hAnsi="Arial" w:cs="Arial"/>
                    <w:iCs/>
                    <w:lang w:val="en-GB"/>
                  </w:rPr>
                  <w:t>This may result in d</w:t>
                </w:r>
                <w:r w:rsidRPr="00FF027F">
                  <w:rPr>
                    <w:rFonts w:ascii="Arial" w:eastAsia="Times New Roman" w:hAnsi="Arial" w:cs="Arial"/>
                    <w:iCs/>
                    <w:lang w:val="en-GB"/>
                  </w:rPr>
                  <w:t xml:space="preserve">elays and </w:t>
                </w:r>
                <w:r w:rsidR="009B6DEF" w:rsidRPr="00FF027F">
                  <w:rPr>
                    <w:rFonts w:ascii="Arial" w:eastAsia="Times New Roman" w:hAnsi="Arial" w:cs="Arial"/>
                    <w:iCs/>
                    <w:lang w:val="en-GB"/>
                  </w:rPr>
                  <w:t xml:space="preserve">the need for </w:t>
                </w:r>
                <w:r w:rsidRPr="00FF027F">
                  <w:rPr>
                    <w:rFonts w:ascii="Arial" w:eastAsia="Times New Roman" w:hAnsi="Arial" w:cs="Arial"/>
                    <w:iCs/>
                    <w:lang w:val="en-GB"/>
                  </w:rPr>
                  <w:t>more resources.</w:t>
                </w:r>
              </w:p>
            </w:tc>
          </w:tr>
        </w:tbl>
        <w:p w14:paraId="72A06947" w14:textId="77777777" w:rsidR="002B5E0E" w:rsidRPr="00FF027F" w:rsidRDefault="002B5E0E" w:rsidP="002B5E0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2B5E0E" w:rsidRPr="00FF027F" w14:paraId="1A366F0D" w14:textId="77777777" w:rsidTr="0021711A">
            <w:trPr>
              <w:trHeight w:val="520"/>
            </w:trPr>
            <w:tc>
              <w:tcPr>
                <w:tcW w:w="1985" w:type="dxa"/>
                <w:shd w:val="clear" w:color="auto" w:fill="002060"/>
              </w:tcPr>
              <w:p w14:paraId="0EF3ACC0" w14:textId="77777777" w:rsidR="002B5E0E" w:rsidRPr="00FF027F" w:rsidRDefault="002B5E0E" w:rsidP="009B6DEF">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35370137" w14:textId="77777777" w:rsidR="002B5E0E" w:rsidRPr="00FF027F" w:rsidRDefault="002B5E0E" w:rsidP="009B6DEF">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Public consultation (based on article 7 of the Gas Regulation) on the amendments of the Network Code on Capacity allocation mechanisms regarding incremental capacity and the preparation of reasoned proposals to the Commission on the same issue</w:t>
                </w:r>
              </w:p>
            </w:tc>
          </w:tr>
          <w:tr w:rsidR="002B5E0E" w:rsidRPr="00FF027F" w14:paraId="07A37418" w14:textId="77777777" w:rsidTr="0021711A">
            <w:trPr>
              <w:trHeight w:val="504"/>
            </w:trPr>
            <w:tc>
              <w:tcPr>
                <w:tcW w:w="1985" w:type="dxa"/>
                <w:shd w:val="clear" w:color="auto" w:fill="auto"/>
              </w:tcPr>
              <w:p w14:paraId="354F17EC"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3655762D"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7 of the (EC) Regulation 715/2009</w:t>
                </w:r>
              </w:p>
            </w:tc>
          </w:tr>
          <w:tr w:rsidR="002B5E0E" w:rsidRPr="00FF027F" w14:paraId="45BD8D8E" w14:textId="77777777" w:rsidTr="0021711A">
            <w:trPr>
              <w:trHeight w:val="392"/>
            </w:trPr>
            <w:tc>
              <w:tcPr>
                <w:tcW w:w="1985" w:type="dxa"/>
                <w:shd w:val="clear" w:color="auto" w:fill="auto"/>
              </w:tcPr>
              <w:p w14:paraId="24A964BC"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118A33A0"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Revision of the NC amendment </w:t>
                </w:r>
                <w:r w:rsidR="009B6DEF" w:rsidRPr="00FF027F">
                  <w:rPr>
                    <w:rFonts w:ascii="Arial" w:eastAsia="Times New Roman" w:hAnsi="Arial" w:cs="Arial"/>
                    <w:iCs/>
                    <w:lang w:val="en-GB"/>
                  </w:rPr>
                  <w:t xml:space="preserve">in line with </w:t>
                </w:r>
                <w:r w:rsidRPr="00FF027F">
                  <w:rPr>
                    <w:rFonts w:ascii="Arial" w:eastAsia="Times New Roman" w:hAnsi="Arial" w:cs="Arial"/>
                    <w:iCs/>
                    <w:lang w:val="en-GB"/>
                  </w:rPr>
                  <w:t xml:space="preserve">the ACER guidance paper as well as the public consultation results. </w:t>
                </w:r>
              </w:p>
              <w:p w14:paraId="7DEB44DB" w14:textId="77777777" w:rsidR="002B5E0E" w:rsidRPr="00FF027F" w:rsidRDefault="00D17469" w:rsidP="009B6DEF">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eastAsia="Times New Roman" w:hAnsi="Arial" w:cs="Arial"/>
                    <w:iCs/>
                    <w:lang w:val="en-GB"/>
                  </w:rPr>
                  <w:t xml:space="preserve">Discussions </w:t>
                </w:r>
                <w:r w:rsidR="002B5E0E" w:rsidRPr="00FF027F">
                  <w:rPr>
                    <w:rFonts w:ascii="Arial" w:eastAsia="Times New Roman" w:hAnsi="Arial" w:cs="Arial"/>
                    <w:iCs/>
                    <w:lang w:val="en-GB"/>
                  </w:rPr>
                  <w:t>expected on open seasons</w:t>
                </w:r>
                <w:r w:rsidRPr="00FF027F">
                  <w:rPr>
                    <w:rFonts w:ascii="Arial" w:eastAsia="Times New Roman" w:hAnsi="Arial" w:cs="Arial"/>
                    <w:iCs/>
                    <w:lang w:val="en-GB"/>
                  </w:rPr>
                  <w:t>.</w:t>
                </w:r>
              </w:p>
            </w:tc>
          </w:tr>
          <w:tr w:rsidR="002B5E0E" w:rsidRPr="00FF027F" w14:paraId="79C4E41D" w14:textId="77777777" w:rsidTr="0021711A">
            <w:trPr>
              <w:trHeight w:val="1017"/>
            </w:trPr>
            <w:tc>
              <w:tcPr>
                <w:tcW w:w="1985" w:type="dxa"/>
                <w:shd w:val="clear" w:color="auto" w:fill="auto"/>
              </w:tcPr>
              <w:p w14:paraId="13EC4E24"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6B7E6E7A" w14:textId="77777777" w:rsidR="002B5E0E" w:rsidRPr="00FF027F" w:rsidRDefault="002B5E0E"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Launch of </w:t>
                </w:r>
                <w:r w:rsidR="00D17469" w:rsidRPr="00FF027F">
                  <w:rPr>
                    <w:rFonts w:ascii="Arial" w:eastAsia="Times New Roman" w:hAnsi="Arial" w:cs="Arial"/>
                    <w:iCs/>
                    <w:lang w:val="en-GB"/>
                  </w:rPr>
                  <w:t xml:space="preserve">a </w:t>
                </w:r>
                <w:r w:rsidRPr="00FF027F">
                  <w:rPr>
                    <w:rFonts w:ascii="Arial" w:eastAsia="Times New Roman" w:hAnsi="Arial" w:cs="Arial"/>
                    <w:iCs/>
                    <w:lang w:val="en-GB"/>
                  </w:rPr>
                  <w:t>one month public consultation</w:t>
                </w:r>
                <w:r w:rsidR="00D17469" w:rsidRPr="00FF027F">
                  <w:rPr>
                    <w:rFonts w:ascii="Arial" w:eastAsia="Times New Roman" w:hAnsi="Arial" w:cs="Arial"/>
                    <w:iCs/>
                    <w:lang w:val="en-GB"/>
                  </w:rPr>
                  <w:t>.</w:t>
                </w:r>
              </w:p>
              <w:p w14:paraId="6C612F62" w14:textId="77777777" w:rsidR="002B5E0E" w:rsidRPr="00FF027F" w:rsidRDefault="002B5E0E" w:rsidP="009B6DEF">
                <w:pPr>
                  <w:autoSpaceDE w:val="0"/>
                  <w:autoSpaceDN w:val="0"/>
                  <w:adjustRightInd w:val="0"/>
                  <w:spacing w:before="120" w:after="120" w:line="240" w:lineRule="auto"/>
                  <w:ind w:left="202"/>
                  <w:rPr>
                    <w:rFonts w:ascii="Arial" w:hAnsi="Arial" w:cs="Arial"/>
                    <w:bCs/>
                    <w:lang w:val="en-GB"/>
                  </w:rPr>
                </w:pPr>
                <w:r w:rsidRPr="00FF027F">
                  <w:rPr>
                    <w:rFonts w:ascii="Arial" w:eastAsia="Times New Roman" w:hAnsi="Arial" w:cs="Arial"/>
                    <w:iCs/>
                    <w:lang w:val="en-GB"/>
                  </w:rPr>
                  <w:t>Preparation of the reasoned proposal for amendment to the Commission on the ENTSOG proposal.</w:t>
                </w:r>
                <w:r w:rsidRPr="00FF027F">
                  <w:rPr>
                    <w:rFonts w:ascii="Arial" w:hAnsi="Arial" w:cs="Arial"/>
                    <w:bCs/>
                    <w:lang w:val="en-GB"/>
                  </w:rPr>
                  <w:t xml:space="preserve"> </w:t>
                </w:r>
              </w:p>
              <w:p w14:paraId="6763C68C" w14:textId="77777777" w:rsidR="002B5E0E" w:rsidRPr="00FF027F" w:rsidRDefault="00D17469"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bCs/>
                    <w:lang w:val="en-GB"/>
                  </w:rPr>
                  <w:t>Ensure the a</w:t>
                </w:r>
                <w:r w:rsidR="002B5E0E" w:rsidRPr="00FF027F">
                  <w:rPr>
                    <w:rFonts w:ascii="Arial" w:hAnsi="Arial" w:cs="Arial"/>
                    <w:bCs/>
                    <w:lang w:val="en-GB"/>
                  </w:rPr>
                  <w:t>mendment</w:t>
                </w:r>
                <w:r w:rsidRPr="00FF027F">
                  <w:rPr>
                    <w:rFonts w:ascii="Arial" w:hAnsi="Arial" w:cs="Arial"/>
                    <w:bCs/>
                    <w:lang w:val="en-GB"/>
                  </w:rPr>
                  <w:t>’s consistency</w:t>
                </w:r>
                <w:r w:rsidR="002B5E0E" w:rsidRPr="00FF027F">
                  <w:rPr>
                    <w:rFonts w:ascii="Arial" w:hAnsi="Arial" w:cs="Arial"/>
                    <w:bCs/>
                    <w:lang w:val="en-GB"/>
                  </w:rPr>
                  <w:t xml:space="preserve"> with other relevant codes.</w:t>
                </w:r>
              </w:p>
            </w:tc>
          </w:tr>
          <w:tr w:rsidR="002B5E0E" w:rsidRPr="00FF027F" w14:paraId="0B9D9B89" w14:textId="77777777" w:rsidTr="0021711A">
            <w:trPr>
              <w:trHeight w:val="780"/>
            </w:trPr>
            <w:tc>
              <w:tcPr>
                <w:tcW w:w="1985" w:type="dxa"/>
                <w:shd w:val="clear" w:color="auto" w:fill="auto"/>
              </w:tcPr>
              <w:p w14:paraId="11702506"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16490DA8" w14:textId="77777777" w:rsidR="002B5E0E" w:rsidRPr="00FF027F" w:rsidRDefault="002B5E0E" w:rsidP="009B6DEF">
                <w:pPr>
                  <w:autoSpaceDE w:val="0"/>
                  <w:autoSpaceDN w:val="0"/>
                  <w:adjustRightInd w:val="0"/>
                  <w:spacing w:before="120" w:after="120" w:line="240" w:lineRule="auto"/>
                  <w:ind w:left="202"/>
                  <w:rPr>
                    <w:rFonts w:ascii="Arial" w:hAnsi="Arial" w:cs="Arial"/>
                    <w:bCs/>
                    <w:lang w:val="en-GB"/>
                  </w:rPr>
                </w:pPr>
                <w:r w:rsidRPr="00FF027F">
                  <w:rPr>
                    <w:rFonts w:ascii="Arial" w:hAnsi="Arial" w:cs="Arial"/>
                    <w:bCs/>
                    <w:lang w:val="en-GB"/>
                  </w:rPr>
                  <w:t>The timely organisation of the consultation (Q1 2015) and the timely delivery of the reasoned proposal for amendment to the Commission on the Network Code amendment (Q1-2 2015).</w:t>
                </w:r>
              </w:p>
            </w:tc>
          </w:tr>
          <w:tr w:rsidR="002B5E0E" w:rsidRPr="00FF027F" w14:paraId="2761409E" w14:textId="77777777" w:rsidTr="0021711A">
            <w:trPr>
              <w:trHeight w:val="535"/>
            </w:trPr>
            <w:tc>
              <w:tcPr>
                <w:tcW w:w="1985" w:type="dxa"/>
                <w:shd w:val="clear" w:color="auto" w:fill="auto"/>
              </w:tcPr>
              <w:p w14:paraId="38647E68"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025238FF" w14:textId="77777777" w:rsidR="002B5E0E" w:rsidRPr="00FF027F" w:rsidRDefault="002B5E0E" w:rsidP="009B6DE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0.6 FTE</w:t>
                </w:r>
              </w:p>
            </w:tc>
          </w:tr>
          <w:tr w:rsidR="002B5E0E" w:rsidRPr="00FF027F" w14:paraId="2C551C6E" w14:textId="77777777" w:rsidTr="0021711A">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8F8A6CB" w14:textId="77777777" w:rsidR="002B5E0E" w:rsidRPr="00FF027F" w:rsidRDefault="002B5E0E" w:rsidP="009B6DEF">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5623AFD5" w14:textId="15246613" w:rsidR="002B5E0E" w:rsidRPr="00FF027F" w:rsidRDefault="00B10589" w:rsidP="009B6DE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The topic is l</w:t>
                </w:r>
                <w:r w:rsidR="002B5E0E" w:rsidRPr="00FF027F">
                  <w:rPr>
                    <w:rFonts w:ascii="Arial" w:eastAsia="Times New Roman" w:hAnsi="Arial" w:cs="Arial"/>
                    <w:iCs/>
                    <w:lang w:val="en-GB"/>
                  </w:rPr>
                  <w:t>ink</w:t>
                </w:r>
                <w:r w:rsidRPr="00FF027F">
                  <w:rPr>
                    <w:rFonts w:ascii="Arial" w:eastAsia="Times New Roman" w:hAnsi="Arial" w:cs="Arial"/>
                    <w:iCs/>
                    <w:lang w:val="en-GB"/>
                  </w:rPr>
                  <w:t>ed</w:t>
                </w:r>
                <w:r w:rsidR="002B5E0E" w:rsidRPr="00FF027F">
                  <w:rPr>
                    <w:rFonts w:ascii="Arial" w:eastAsia="Times New Roman" w:hAnsi="Arial" w:cs="Arial"/>
                    <w:iCs/>
                    <w:lang w:val="en-GB"/>
                  </w:rPr>
                  <w:t xml:space="preserve"> to the politically sensitive Tariff FG (incremental tariffs, tariff adjustments, payable price) and contains capacity-related sensitivities </w:t>
                </w:r>
                <w:r w:rsidRPr="00FF027F">
                  <w:rPr>
                    <w:rFonts w:ascii="Arial" w:eastAsia="Times New Roman" w:hAnsi="Arial" w:cs="Arial"/>
                    <w:iCs/>
                    <w:lang w:val="en-GB"/>
                  </w:rPr>
                  <w:t xml:space="preserve">such as </w:t>
                </w:r>
                <w:r w:rsidR="002B5E0E" w:rsidRPr="00FF027F">
                  <w:rPr>
                    <w:rFonts w:ascii="Arial" w:eastAsia="Times New Roman" w:hAnsi="Arial" w:cs="Arial"/>
                    <w:iCs/>
                    <w:lang w:val="en-GB"/>
                  </w:rPr>
                  <w:t>open seasons.</w:t>
                </w:r>
              </w:p>
              <w:p w14:paraId="321D6269" w14:textId="1FDD5B67" w:rsidR="002B5E0E" w:rsidRPr="00FF027F" w:rsidRDefault="002B5E0E" w:rsidP="0083372F">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The timelines </w:t>
                </w:r>
                <w:r w:rsidR="0083372F" w:rsidRPr="00FF027F">
                  <w:rPr>
                    <w:rFonts w:ascii="Arial" w:eastAsia="Times New Roman" w:hAnsi="Arial" w:cs="Arial"/>
                    <w:iCs/>
                    <w:lang w:val="en-GB"/>
                  </w:rPr>
                  <w:t xml:space="preserve">for the amendment </w:t>
                </w:r>
                <w:r w:rsidRPr="00FF027F">
                  <w:rPr>
                    <w:rFonts w:ascii="Arial" w:eastAsia="Times New Roman" w:hAnsi="Arial" w:cs="Arial"/>
                    <w:iCs/>
                    <w:lang w:val="en-GB"/>
                  </w:rPr>
                  <w:t xml:space="preserve">may </w:t>
                </w:r>
                <w:r w:rsidR="00B10589" w:rsidRPr="00FF027F">
                  <w:rPr>
                    <w:rFonts w:ascii="Arial" w:eastAsia="Times New Roman" w:hAnsi="Arial" w:cs="Arial"/>
                    <w:iCs/>
                    <w:lang w:val="en-GB"/>
                  </w:rPr>
                  <w:t xml:space="preserve">be difficult to adhere to </w:t>
                </w:r>
                <w:r w:rsidR="0083372F" w:rsidRPr="00FF027F">
                  <w:rPr>
                    <w:rFonts w:ascii="Arial" w:eastAsia="Times New Roman" w:hAnsi="Arial" w:cs="Arial"/>
                    <w:iCs/>
                    <w:lang w:val="en-GB"/>
                  </w:rPr>
                  <w:t xml:space="preserve">due to the </w:t>
                </w:r>
                <w:r w:rsidRPr="00FF027F">
                  <w:rPr>
                    <w:rFonts w:ascii="Arial" w:eastAsia="Times New Roman" w:hAnsi="Arial" w:cs="Arial"/>
                    <w:iCs/>
                    <w:lang w:val="en-GB"/>
                  </w:rPr>
                  <w:t xml:space="preserve">critical content </w:t>
                </w:r>
                <w:r w:rsidR="00B10589" w:rsidRPr="00FF027F">
                  <w:rPr>
                    <w:rFonts w:ascii="Arial" w:eastAsia="Times New Roman" w:hAnsi="Arial" w:cs="Arial"/>
                    <w:iCs/>
                    <w:lang w:val="en-GB"/>
                  </w:rPr>
                  <w:t xml:space="preserve">which </w:t>
                </w:r>
                <w:r w:rsidR="00AB2645" w:rsidRPr="00FF027F">
                  <w:rPr>
                    <w:rFonts w:ascii="Arial" w:eastAsia="Times New Roman" w:hAnsi="Arial" w:cs="Arial"/>
                    <w:iCs/>
                    <w:lang w:val="en-GB"/>
                  </w:rPr>
                  <w:t>goes</w:t>
                </w:r>
                <w:r w:rsidRPr="00FF027F">
                  <w:rPr>
                    <w:rFonts w:ascii="Arial" w:eastAsia="Times New Roman" w:hAnsi="Arial" w:cs="Arial"/>
                    <w:iCs/>
                    <w:lang w:val="en-GB"/>
                  </w:rPr>
                  <w:t xml:space="preserve"> beyond the revision of rules.</w:t>
                </w:r>
              </w:p>
            </w:tc>
          </w:tr>
        </w:tbl>
        <w:p w14:paraId="583069F9" w14:textId="77777777" w:rsidR="002B5E0E" w:rsidRPr="00FF027F" w:rsidRDefault="002B5E0E" w:rsidP="002B5E0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B5E0E" w:rsidRPr="00FF027F" w14:paraId="73B34C1F" w14:textId="77777777" w:rsidTr="0021711A">
            <w:trPr>
              <w:trHeight w:val="520"/>
            </w:trPr>
            <w:tc>
              <w:tcPr>
                <w:tcW w:w="1985" w:type="dxa"/>
                <w:shd w:val="clear" w:color="auto" w:fill="002060"/>
              </w:tcPr>
              <w:p w14:paraId="545E5045" w14:textId="77777777" w:rsidR="002B5E0E" w:rsidRPr="00FF027F" w:rsidRDefault="002B5E0E" w:rsidP="00D1746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413A469A" w14:textId="77777777" w:rsidR="002B5E0E" w:rsidRPr="00FF027F" w:rsidRDefault="002B5E0E" w:rsidP="00D1746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1</w:t>
                </w:r>
                <w:r w:rsidRPr="00FF027F">
                  <w:rPr>
                    <w:rFonts w:ascii="Arial" w:hAnsi="Arial" w:cs="Arial"/>
                    <w:b/>
                    <w:vertAlign w:val="superscript"/>
                    <w:lang w:val="en-GB"/>
                  </w:rPr>
                  <w:t>st</w:t>
                </w:r>
                <w:r w:rsidRPr="00FF027F">
                  <w:rPr>
                    <w:rFonts w:ascii="Arial" w:hAnsi="Arial" w:cs="Arial"/>
                    <w:b/>
                    <w:lang w:val="en-GB"/>
                  </w:rPr>
                  <w:t xml:space="preserve"> ACER report on Progress of capacity bundling at interconnection points according to the Network Code on Capacity allocation mechanisms due on 4 November 2015</w:t>
                </w:r>
              </w:p>
            </w:tc>
          </w:tr>
          <w:tr w:rsidR="002B5E0E" w:rsidRPr="00FF027F" w14:paraId="19C37405" w14:textId="77777777" w:rsidTr="0021711A">
            <w:trPr>
              <w:trHeight w:val="504"/>
            </w:trPr>
            <w:tc>
              <w:tcPr>
                <w:tcW w:w="1985" w:type="dxa"/>
                <w:shd w:val="clear" w:color="auto" w:fill="auto"/>
              </w:tcPr>
              <w:p w14:paraId="407C3AB9" w14:textId="77777777" w:rsidR="002B5E0E" w:rsidRPr="00FF027F" w:rsidRDefault="002B5E0E" w:rsidP="00D17469">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40E80E8F" w14:textId="77777777" w:rsidR="002B5E0E" w:rsidRPr="00FF027F" w:rsidRDefault="002B5E0E" w:rsidP="00D17469">
                <w:pPr>
                  <w:autoSpaceDE w:val="0"/>
                  <w:autoSpaceDN w:val="0"/>
                  <w:adjustRightInd w:val="0"/>
                  <w:spacing w:before="120" w:after="120" w:line="240" w:lineRule="auto"/>
                  <w:ind w:left="202"/>
                  <w:rPr>
                    <w:rFonts w:ascii="Arial" w:hAnsi="Arial" w:cs="Arial"/>
                    <w:i/>
                    <w:lang w:val="en-GB"/>
                  </w:rPr>
                </w:pPr>
                <w:r w:rsidRPr="00FF027F">
                  <w:rPr>
                    <w:rFonts w:ascii="Arial" w:hAnsi="Arial" w:cs="Arial"/>
                    <w:lang w:val="en-GB"/>
                  </w:rPr>
                  <w:t xml:space="preserve">Article 20(1) of the Commission Regulation (EU) No 984/2013 of 14 October 2013 </w:t>
                </w:r>
                <w:r w:rsidRPr="00FF027F">
                  <w:rPr>
                    <w:rFonts w:ascii="Arial" w:hAnsi="Arial" w:cs="Arial"/>
                    <w:i/>
                    <w:lang w:val="en-GB"/>
                  </w:rPr>
                  <w:t>(NC CAM)</w:t>
                </w:r>
              </w:p>
              <w:p w14:paraId="78E58F9D" w14:textId="10B2048B" w:rsidR="009438C2" w:rsidRPr="00FF027F" w:rsidRDefault="009438C2"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Articles 8(8) and 8(9) of Regulation 715</w:t>
                </w:r>
              </w:p>
            </w:tc>
          </w:tr>
          <w:tr w:rsidR="002B5E0E" w:rsidRPr="00FF027F" w14:paraId="1907461D" w14:textId="77777777" w:rsidTr="0021711A">
            <w:trPr>
              <w:trHeight w:val="392"/>
            </w:trPr>
            <w:tc>
              <w:tcPr>
                <w:tcW w:w="1985" w:type="dxa"/>
                <w:shd w:val="clear" w:color="auto" w:fill="auto"/>
              </w:tcPr>
              <w:p w14:paraId="7A46B290" w14:textId="77777777" w:rsidR="002B5E0E" w:rsidRPr="00FF027F" w:rsidRDefault="002B5E0E" w:rsidP="00BA48A6">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053D3AD9" w14:textId="77777777" w:rsidR="002B5E0E" w:rsidRPr="00FF027F" w:rsidRDefault="002B5E0E" w:rsidP="00D1746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Bundling arrangements shall be reported to the relevant NRAs and national reports shall be sent to the Agency regarding the yearly progress of capacity bundling. </w:t>
                </w:r>
              </w:p>
            </w:tc>
          </w:tr>
          <w:tr w:rsidR="002B5E0E" w:rsidRPr="00FF027F" w14:paraId="3FCADBCA" w14:textId="77777777" w:rsidTr="0021711A">
            <w:trPr>
              <w:trHeight w:val="1017"/>
            </w:trPr>
            <w:tc>
              <w:tcPr>
                <w:tcW w:w="1985" w:type="dxa"/>
                <w:shd w:val="clear" w:color="auto" w:fill="auto"/>
              </w:tcPr>
              <w:p w14:paraId="4719919D" w14:textId="77777777" w:rsidR="002B5E0E" w:rsidRPr="00FF027F" w:rsidRDefault="002B5E0E" w:rsidP="00BA48A6">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3AF40E06"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eastAsia="Times New Roman" w:hAnsi="Arial" w:cs="Arial"/>
                    <w:iCs/>
                    <w:lang w:val="en-GB"/>
                  </w:rPr>
                  <w:t>Based on the national reports</w:t>
                </w:r>
                <w:r w:rsidR="00D17469" w:rsidRPr="00FF027F">
                  <w:rPr>
                    <w:rFonts w:ascii="Arial" w:eastAsia="Times New Roman" w:hAnsi="Arial" w:cs="Arial"/>
                    <w:iCs/>
                    <w:lang w:val="en-GB"/>
                  </w:rPr>
                  <w:t>,</w:t>
                </w:r>
                <w:r w:rsidRPr="00FF027F">
                  <w:rPr>
                    <w:rFonts w:ascii="Arial" w:eastAsia="Times New Roman" w:hAnsi="Arial" w:cs="Arial"/>
                    <w:iCs/>
                    <w:lang w:val="en-GB"/>
                  </w:rPr>
                  <w:t xml:space="preserve"> the Agency publishes a report on the progress made on capacity bundling. (Expected after November 2015)</w:t>
                </w:r>
                <w:r w:rsidR="00D17469" w:rsidRPr="00FF027F">
                  <w:rPr>
                    <w:rFonts w:ascii="Arial" w:eastAsia="Times New Roman" w:hAnsi="Arial" w:cs="Arial"/>
                    <w:iCs/>
                    <w:lang w:val="en-GB"/>
                  </w:rPr>
                  <w:t>.</w:t>
                </w:r>
              </w:p>
            </w:tc>
          </w:tr>
          <w:tr w:rsidR="002B5E0E" w:rsidRPr="00FF027F" w14:paraId="0A89D332" w14:textId="77777777" w:rsidTr="0021711A">
            <w:trPr>
              <w:trHeight w:val="780"/>
            </w:trPr>
            <w:tc>
              <w:tcPr>
                <w:tcW w:w="1985" w:type="dxa"/>
                <w:shd w:val="clear" w:color="auto" w:fill="auto"/>
              </w:tcPr>
              <w:p w14:paraId="645EA587" w14:textId="77777777" w:rsidR="002B5E0E" w:rsidRPr="00FF027F" w:rsidRDefault="002B5E0E" w:rsidP="00BA48A6">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2C6A7150"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the report and data collection ahead of report (Q4 2015)</w:t>
                </w:r>
              </w:p>
            </w:tc>
          </w:tr>
          <w:tr w:rsidR="002B5E0E" w:rsidRPr="00FF027F" w14:paraId="10D649E6" w14:textId="77777777" w:rsidTr="0021711A">
            <w:trPr>
              <w:trHeight w:val="535"/>
            </w:trPr>
            <w:tc>
              <w:tcPr>
                <w:tcW w:w="1985" w:type="dxa"/>
                <w:shd w:val="clear" w:color="auto" w:fill="auto"/>
              </w:tcPr>
              <w:p w14:paraId="6477E36D" w14:textId="77777777" w:rsidR="002B5E0E" w:rsidRPr="00FF027F" w:rsidRDefault="002B5E0E" w:rsidP="00D17469">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665CCAA0"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0.3 FTE</w:t>
                </w:r>
              </w:p>
            </w:tc>
          </w:tr>
          <w:tr w:rsidR="002B5E0E" w:rsidRPr="00FF027F" w14:paraId="0065975D" w14:textId="77777777" w:rsidTr="0021711A">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7DDB401" w14:textId="77777777" w:rsidR="002B5E0E" w:rsidRPr="00FF027F" w:rsidRDefault="002B5E0E" w:rsidP="00D17469">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5F4F4DB9" w14:textId="77777777" w:rsidR="002B5E0E" w:rsidRPr="00FF027F" w:rsidRDefault="002B5E0E" w:rsidP="00D1746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National information may not be provided on time. Regulators collect this information </w:t>
                </w:r>
                <w:r w:rsidR="00D17469" w:rsidRPr="00FF027F">
                  <w:rPr>
                    <w:rFonts w:ascii="Arial" w:eastAsia="Times New Roman" w:hAnsi="Arial" w:cs="Arial"/>
                    <w:iCs/>
                    <w:lang w:val="en-GB"/>
                  </w:rPr>
                  <w:t xml:space="preserve">also </w:t>
                </w:r>
                <w:r w:rsidRPr="00FF027F">
                  <w:rPr>
                    <w:rFonts w:ascii="Arial" w:eastAsia="Times New Roman" w:hAnsi="Arial" w:cs="Arial"/>
                    <w:iCs/>
                    <w:lang w:val="en-GB"/>
                  </w:rPr>
                  <w:t xml:space="preserve">from network users and TSOs, which may be </w:t>
                </w:r>
                <w:r w:rsidR="00D17469" w:rsidRPr="00FF027F">
                  <w:rPr>
                    <w:rFonts w:ascii="Arial" w:eastAsia="Times New Roman" w:hAnsi="Arial" w:cs="Arial"/>
                    <w:iCs/>
                    <w:lang w:val="en-GB"/>
                  </w:rPr>
                  <w:t xml:space="preserve">late </w:t>
                </w:r>
                <w:r w:rsidRPr="00FF027F">
                  <w:rPr>
                    <w:rFonts w:ascii="Arial" w:eastAsia="Times New Roman" w:hAnsi="Arial" w:cs="Arial"/>
                    <w:iCs/>
                    <w:lang w:val="en-GB"/>
                  </w:rPr>
                  <w:t>given the large number of stakeholders potentially involved.</w:t>
                </w:r>
              </w:p>
            </w:tc>
          </w:tr>
        </w:tbl>
        <w:p w14:paraId="546C8681" w14:textId="77777777" w:rsidR="002B5E0E" w:rsidRPr="00FF027F" w:rsidRDefault="002B5E0E" w:rsidP="002B5E0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B5E0E" w:rsidRPr="00FF027F" w14:paraId="611B6861" w14:textId="77777777" w:rsidTr="0068746C">
            <w:trPr>
              <w:trHeight w:val="520"/>
            </w:trPr>
            <w:tc>
              <w:tcPr>
                <w:tcW w:w="1972" w:type="dxa"/>
                <w:shd w:val="clear" w:color="auto" w:fill="002060"/>
              </w:tcPr>
              <w:p w14:paraId="6270D3C9" w14:textId="2A429909" w:rsidR="002B5E0E" w:rsidRPr="00FF027F" w:rsidRDefault="002B5E0E" w:rsidP="00D1746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6937" w:type="dxa"/>
                <w:shd w:val="clear" w:color="auto" w:fill="002060"/>
              </w:tcPr>
              <w:p w14:paraId="1D79B4D7" w14:textId="77777777" w:rsidR="002B5E0E" w:rsidRPr="00FF027F" w:rsidRDefault="002B5E0E" w:rsidP="00D1746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2</w:t>
                </w:r>
                <w:r w:rsidRPr="00FF027F">
                  <w:rPr>
                    <w:rFonts w:ascii="Arial" w:hAnsi="Arial" w:cs="Arial"/>
                    <w:b/>
                    <w:vertAlign w:val="superscript"/>
                    <w:lang w:val="en-GB"/>
                  </w:rPr>
                  <w:t>nd</w:t>
                </w:r>
                <w:r w:rsidRPr="00FF027F">
                  <w:rPr>
                    <w:rFonts w:ascii="Arial" w:hAnsi="Arial" w:cs="Arial"/>
                    <w:b/>
                    <w:lang w:val="en-GB"/>
                  </w:rPr>
                  <w:t xml:space="preserve"> ACER report on monitoring of Congestion at interconnection points (incl. transparency platform data, conditions for firm day-ahead use-it-or-lose-it mechanisms and changes in bundled capacity at interconnection points)</w:t>
                </w:r>
              </w:p>
            </w:tc>
          </w:tr>
          <w:tr w:rsidR="002B5E0E" w:rsidRPr="00FF027F" w14:paraId="695CE4A0" w14:textId="77777777" w:rsidTr="0068746C">
            <w:trPr>
              <w:trHeight w:val="504"/>
            </w:trPr>
            <w:tc>
              <w:tcPr>
                <w:tcW w:w="1972" w:type="dxa"/>
                <w:shd w:val="clear" w:color="auto" w:fill="auto"/>
              </w:tcPr>
              <w:p w14:paraId="73804DFE" w14:textId="77777777" w:rsidR="002B5E0E" w:rsidRPr="00FF027F" w:rsidRDefault="002B5E0E" w:rsidP="00D17469">
                <w:pPr>
                  <w:spacing w:before="120" w:after="120"/>
                  <w:ind w:left="202"/>
                  <w:rPr>
                    <w:rFonts w:ascii="Arial" w:hAnsi="Arial" w:cs="Arial"/>
                    <w:lang w:val="en-GB"/>
                  </w:rPr>
                </w:pPr>
                <w:r w:rsidRPr="00FF027F">
                  <w:rPr>
                    <w:rFonts w:ascii="Arial" w:hAnsi="Arial" w:cs="Arial"/>
                    <w:lang w:val="en-GB"/>
                  </w:rPr>
                  <w:t>Legal basis</w:t>
                </w:r>
              </w:p>
            </w:tc>
            <w:tc>
              <w:tcPr>
                <w:tcW w:w="6937" w:type="dxa"/>
                <w:shd w:val="clear" w:color="auto" w:fill="auto"/>
              </w:tcPr>
              <w:p w14:paraId="1C3CF3AD"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Point 2.2.2.1.2 of the Commission’s Decision of 24 August 2012 Annex I Point 2.2 on Congestion management procedures in the event of contractual congestion</w:t>
                </w:r>
                <w:r w:rsidRPr="00FF027F">
                  <w:rPr>
                    <w:rFonts w:ascii="Arial" w:hAnsi="Arial" w:cs="Arial"/>
                    <w:b/>
                    <w:i/>
                    <w:lang w:val="en-GB"/>
                  </w:rPr>
                  <w:t xml:space="preserve"> </w:t>
                </w:r>
                <w:r w:rsidRPr="00FF027F">
                  <w:rPr>
                    <w:rFonts w:ascii="Arial" w:hAnsi="Arial" w:cs="Arial"/>
                    <w:lang w:val="en-GB"/>
                  </w:rPr>
                  <w:t>(</w:t>
                </w:r>
                <w:r w:rsidRPr="00FF027F">
                  <w:rPr>
                    <w:rFonts w:ascii="Arial" w:hAnsi="Arial" w:cs="Arial"/>
                    <w:i/>
                    <w:lang w:val="en-GB"/>
                  </w:rPr>
                  <w:t>CMP Guidelines</w:t>
                </w:r>
                <w:r w:rsidRPr="00FF027F">
                  <w:rPr>
                    <w:rFonts w:ascii="Arial" w:hAnsi="Arial" w:cs="Arial"/>
                    <w:lang w:val="en-GB"/>
                  </w:rPr>
                  <w:t>)</w:t>
                </w:r>
              </w:p>
            </w:tc>
          </w:tr>
          <w:tr w:rsidR="002B5E0E" w:rsidRPr="00FF027F" w14:paraId="106450ED" w14:textId="77777777" w:rsidTr="0068746C">
            <w:trPr>
              <w:trHeight w:val="392"/>
            </w:trPr>
            <w:tc>
              <w:tcPr>
                <w:tcW w:w="1972" w:type="dxa"/>
                <w:shd w:val="clear" w:color="auto" w:fill="auto"/>
              </w:tcPr>
              <w:p w14:paraId="2BBBB17B" w14:textId="77777777" w:rsidR="002B5E0E" w:rsidRPr="00FF027F" w:rsidRDefault="002B5E0E" w:rsidP="00D17469">
                <w:pPr>
                  <w:spacing w:before="120" w:after="120"/>
                  <w:ind w:left="202"/>
                  <w:rPr>
                    <w:rFonts w:ascii="Arial" w:hAnsi="Arial" w:cs="Arial"/>
                    <w:lang w:val="en-GB"/>
                  </w:rPr>
                </w:pPr>
                <w:r w:rsidRPr="00FF027F">
                  <w:rPr>
                    <w:rFonts w:ascii="Arial" w:hAnsi="Arial" w:cs="Arial"/>
                    <w:lang w:val="en-GB"/>
                  </w:rPr>
                  <w:t>Overview (status)</w:t>
                </w:r>
              </w:p>
            </w:tc>
            <w:tc>
              <w:tcPr>
                <w:tcW w:w="6937" w:type="dxa"/>
                <w:shd w:val="clear" w:color="auto" w:fill="auto"/>
              </w:tcPr>
              <w:p w14:paraId="5A948FFA" w14:textId="77777777" w:rsidR="002B5E0E" w:rsidRPr="00FF027F" w:rsidRDefault="00293F7C" w:rsidP="00293F7C">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T</w:t>
                </w:r>
                <w:r w:rsidR="002B5E0E" w:rsidRPr="00FF027F">
                  <w:rPr>
                    <w:rFonts w:ascii="Arial" w:eastAsia="Times New Roman" w:hAnsi="Arial" w:cs="Arial"/>
                    <w:iCs/>
                    <w:lang w:val="en-GB"/>
                  </w:rPr>
                  <w:t xml:space="preserve">he Second Report on Congestion at interconnection points </w:t>
                </w:r>
                <w:r w:rsidRPr="00FF027F">
                  <w:rPr>
                    <w:rFonts w:ascii="Arial" w:eastAsia="Times New Roman" w:hAnsi="Arial" w:cs="Arial"/>
                    <w:iCs/>
                    <w:lang w:val="en-GB"/>
                  </w:rPr>
                  <w:t xml:space="preserve">is to be prepared </w:t>
                </w:r>
                <w:r w:rsidR="002B5E0E" w:rsidRPr="00FF027F">
                  <w:rPr>
                    <w:rFonts w:ascii="Arial" w:eastAsia="Times New Roman" w:hAnsi="Arial" w:cs="Arial"/>
                    <w:iCs/>
                    <w:lang w:val="en-GB"/>
                  </w:rPr>
                  <w:t xml:space="preserve">with a view to the recommendations of the first ACER report. </w:t>
                </w:r>
              </w:p>
            </w:tc>
          </w:tr>
          <w:tr w:rsidR="002B5E0E" w:rsidRPr="00FF027F" w14:paraId="104332BA" w14:textId="77777777" w:rsidTr="0068746C">
            <w:trPr>
              <w:trHeight w:val="1017"/>
            </w:trPr>
            <w:tc>
              <w:tcPr>
                <w:tcW w:w="1972" w:type="dxa"/>
                <w:shd w:val="clear" w:color="auto" w:fill="auto"/>
              </w:tcPr>
              <w:p w14:paraId="7381452C" w14:textId="77777777" w:rsidR="002B5E0E" w:rsidRPr="00FF027F" w:rsidRDefault="002B5E0E" w:rsidP="00BA48A6">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6937" w:type="dxa"/>
                <w:shd w:val="clear" w:color="auto" w:fill="auto"/>
              </w:tcPr>
              <w:p w14:paraId="4147A836"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Improved data quality and data collection</w:t>
                </w:r>
                <w:r w:rsidR="00293F7C" w:rsidRPr="00FF027F">
                  <w:rPr>
                    <w:rFonts w:ascii="Arial" w:hAnsi="Arial" w:cs="Arial"/>
                    <w:lang w:val="en-GB"/>
                  </w:rPr>
                  <w:t>.</w:t>
                </w:r>
                <w:r w:rsidRPr="00FF027F">
                  <w:rPr>
                    <w:rFonts w:ascii="Arial" w:hAnsi="Arial" w:cs="Arial"/>
                    <w:lang w:val="en-GB"/>
                  </w:rPr>
                  <w:t xml:space="preserve"> </w:t>
                </w:r>
              </w:p>
              <w:p w14:paraId="750D09F0"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Second Report</w:t>
                </w:r>
                <w:r w:rsidR="00293F7C" w:rsidRPr="00FF027F">
                  <w:rPr>
                    <w:rFonts w:ascii="Arial" w:hAnsi="Arial" w:cs="Arial"/>
                    <w:lang w:val="en-GB"/>
                  </w:rPr>
                  <w:t>.</w:t>
                </w:r>
              </w:p>
            </w:tc>
          </w:tr>
          <w:tr w:rsidR="002B5E0E" w:rsidRPr="00FF027F" w14:paraId="4296B1E3" w14:textId="77777777" w:rsidTr="0068746C">
            <w:trPr>
              <w:trHeight w:val="780"/>
            </w:trPr>
            <w:tc>
              <w:tcPr>
                <w:tcW w:w="1972" w:type="dxa"/>
                <w:shd w:val="clear" w:color="auto" w:fill="auto"/>
              </w:tcPr>
              <w:p w14:paraId="7CFDCAD4" w14:textId="77777777" w:rsidR="002B5E0E" w:rsidRPr="00FF027F" w:rsidRDefault="002B5E0E" w:rsidP="004D377C">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6937" w:type="dxa"/>
                <w:shd w:val="clear" w:color="auto" w:fill="auto"/>
              </w:tcPr>
              <w:p w14:paraId="2F5B2F3D"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The timely delivery of the report and the collection of data for the report possibly along the </w:t>
                </w:r>
                <w:r w:rsidR="00293F7C" w:rsidRPr="00FF027F">
                  <w:rPr>
                    <w:rFonts w:ascii="Arial" w:hAnsi="Arial" w:cs="Arial"/>
                    <w:lang w:val="en-GB"/>
                  </w:rPr>
                  <w:t xml:space="preserve">amended </w:t>
                </w:r>
                <w:r w:rsidRPr="00FF027F">
                  <w:rPr>
                    <w:rFonts w:ascii="Arial" w:hAnsi="Arial" w:cs="Arial"/>
                    <w:lang w:val="en-GB"/>
                  </w:rPr>
                  <w:t>deadlines proposed in the first ACER report.</w:t>
                </w:r>
              </w:p>
              <w:p w14:paraId="582FF354"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Target date: Q2 2015</w:t>
                </w:r>
              </w:p>
            </w:tc>
          </w:tr>
          <w:tr w:rsidR="002B5E0E" w:rsidRPr="00FF027F" w14:paraId="559C0993" w14:textId="77777777" w:rsidTr="0068746C">
            <w:trPr>
              <w:trHeight w:val="535"/>
            </w:trPr>
            <w:tc>
              <w:tcPr>
                <w:tcW w:w="1972" w:type="dxa"/>
                <w:shd w:val="clear" w:color="auto" w:fill="auto"/>
              </w:tcPr>
              <w:p w14:paraId="2A33192C" w14:textId="77777777" w:rsidR="002B5E0E" w:rsidRPr="00FF027F" w:rsidRDefault="002B5E0E" w:rsidP="00D17469">
                <w:pPr>
                  <w:spacing w:before="120" w:after="120"/>
                  <w:ind w:left="202"/>
                  <w:rPr>
                    <w:rFonts w:ascii="Arial" w:hAnsi="Arial" w:cs="Arial"/>
                    <w:lang w:val="en-GB"/>
                  </w:rPr>
                </w:pPr>
                <w:r w:rsidRPr="00FF027F">
                  <w:rPr>
                    <w:rFonts w:ascii="Arial" w:hAnsi="Arial" w:cs="Arial"/>
                    <w:lang w:val="en-GB"/>
                  </w:rPr>
                  <w:t>Staff</w:t>
                </w:r>
              </w:p>
            </w:tc>
            <w:tc>
              <w:tcPr>
                <w:tcW w:w="6937" w:type="dxa"/>
                <w:shd w:val="clear" w:color="auto" w:fill="auto"/>
              </w:tcPr>
              <w:p w14:paraId="0559804F" w14:textId="77777777" w:rsidR="002B5E0E" w:rsidRPr="00FF027F" w:rsidRDefault="002B5E0E" w:rsidP="00D1746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0.4 FTE</w:t>
                </w:r>
              </w:p>
            </w:tc>
          </w:tr>
          <w:tr w:rsidR="002B5E0E" w:rsidRPr="00FF027F" w14:paraId="4EE114DB" w14:textId="77777777" w:rsidTr="0068746C">
            <w:trPr>
              <w:trHeight w:val="535"/>
            </w:trPr>
            <w:tc>
              <w:tcPr>
                <w:tcW w:w="1972" w:type="dxa"/>
                <w:tcBorders>
                  <w:top w:val="single" w:sz="4" w:space="0" w:color="auto"/>
                  <w:left w:val="single" w:sz="4" w:space="0" w:color="auto"/>
                  <w:bottom w:val="single" w:sz="4" w:space="0" w:color="auto"/>
                  <w:right w:val="single" w:sz="4" w:space="0" w:color="auto"/>
                </w:tcBorders>
                <w:shd w:val="clear" w:color="auto" w:fill="auto"/>
              </w:tcPr>
              <w:p w14:paraId="5E28330D" w14:textId="77777777" w:rsidR="002B5E0E" w:rsidRPr="00FF027F" w:rsidRDefault="002B5E0E" w:rsidP="00D17469">
                <w:pPr>
                  <w:spacing w:before="120" w:after="120"/>
                  <w:ind w:left="202"/>
                  <w:rPr>
                    <w:rFonts w:ascii="Arial" w:hAnsi="Arial" w:cs="Arial"/>
                    <w:lang w:val="en-GB"/>
                  </w:rPr>
                </w:pPr>
                <w:r w:rsidRPr="00FF027F">
                  <w:rPr>
                    <w:rFonts w:ascii="Arial" w:hAnsi="Arial" w:cs="Arial"/>
                    <w:lang w:val="en-GB"/>
                  </w:rPr>
                  <w:t>Risks</w:t>
                </w:r>
              </w:p>
            </w:tc>
            <w:tc>
              <w:tcPr>
                <w:tcW w:w="6937" w:type="dxa"/>
                <w:tcBorders>
                  <w:top w:val="single" w:sz="4" w:space="0" w:color="auto"/>
                  <w:left w:val="single" w:sz="4" w:space="0" w:color="auto"/>
                  <w:bottom w:val="single" w:sz="4" w:space="0" w:color="auto"/>
                  <w:right w:val="single" w:sz="4" w:space="0" w:color="auto"/>
                </w:tcBorders>
                <w:shd w:val="clear" w:color="auto" w:fill="auto"/>
              </w:tcPr>
              <w:p w14:paraId="473B7415" w14:textId="77777777" w:rsidR="002B5E0E" w:rsidRPr="00FF027F" w:rsidRDefault="002B5E0E" w:rsidP="00D1746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Data requirements may still not meet the standards. Data requirements and resources for further and deeper analysis may not be available.</w:t>
                </w:r>
              </w:p>
            </w:tc>
          </w:tr>
        </w:tbl>
        <w:p w14:paraId="2BE9FD7C" w14:textId="77777777" w:rsidR="002B5E0E" w:rsidRPr="00FF027F" w:rsidRDefault="002B5E0E" w:rsidP="002B5E0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B5E0E" w:rsidRPr="00FF027F" w14:paraId="79E37EB6" w14:textId="77777777" w:rsidTr="0021711A">
            <w:trPr>
              <w:trHeight w:val="520"/>
            </w:trPr>
            <w:tc>
              <w:tcPr>
                <w:tcW w:w="1985" w:type="dxa"/>
                <w:shd w:val="clear" w:color="auto" w:fill="002060"/>
              </w:tcPr>
              <w:p w14:paraId="4AAE556A" w14:textId="77777777" w:rsidR="002B5E0E" w:rsidRPr="00FF027F" w:rsidRDefault="002B5E0E" w:rsidP="00293F7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1D0F9568" w14:textId="77777777" w:rsidR="002B5E0E" w:rsidRPr="00FF027F" w:rsidRDefault="002B5E0E" w:rsidP="00293F7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Preparation for and monitoring of the implementation of the adopted Network Codes (Implementation monitoring Report on congestion management procedures)</w:t>
                </w:r>
              </w:p>
            </w:tc>
          </w:tr>
          <w:tr w:rsidR="002B5E0E" w:rsidRPr="00FF027F" w14:paraId="136C461E" w14:textId="77777777" w:rsidTr="00180CDD">
            <w:trPr>
              <w:trHeight w:val="710"/>
            </w:trPr>
            <w:tc>
              <w:tcPr>
                <w:tcW w:w="1985" w:type="dxa"/>
                <w:shd w:val="clear" w:color="auto" w:fill="auto"/>
              </w:tcPr>
              <w:p w14:paraId="2780F458"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222120BB" w14:textId="498499C3" w:rsidR="002B5E0E" w:rsidRPr="00FF027F" w:rsidRDefault="002B5E0E"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Article </w:t>
                </w:r>
                <w:r w:rsidR="00180CDD" w:rsidRPr="00FF027F">
                  <w:rPr>
                    <w:rFonts w:ascii="Arial" w:hAnsi="Arial" w:cs="Arial"/>
                    <w:lang w:val="en-GB"/>
                  </w:rPr>
                  <w:t xml:space="preserve">8(8), </w:t>
                </w:r>
                <w:r w:rsidRPr="00FF027F">
                  <w:rPr>
                    <w:rFonts w:ascii="Arial" w:hAnsi="Arial" w:cs="Arial"/>
                    <w:lang w:val="en-GB"/>
                  </w:rPr>
                  <w:t>8(9) and 9(1) of the (EC) Regulation 715/2009</w:t>
                </w:r>
              </w:p>
              <w:p w14:paraId="192AA0EC" w14:textId="7F0BA128" w:rsidR="00180CDD" w:rsidRPr="00FF027F" w:rsidRDefault="00180CDD" w:rsidP="00293F7C">
                <w:pPr>
                  <w:autoSpaceDE w:val="0"/>
                  <w:autoSpaceDN w:val="0"/>
                  <w:adjustRightInd w:val="0"/>
                  <w:spacing w:before="120" w:after="120" w:line="240" w:lineRule="auto"/>
                  <w:ind w:left="202"/>
                  <w:rPr>
                    <w:rFonts w:ascii="Arial" w:hAnsi="Arial" w:cs="Arial"/>
                    <w:lang w:val="en-GB"/>
                  </w:rPr>
                </w:pPr>
              </w:p>
            </w:tc>
          </w:tr>
          <w:tr w:rsidR="002B5E0E" w:rsidRPr="00FF027F" w14:paraId="6D69CA39" w14:textId="77777777" w:rsidTr="0021711A">
            <w:trPr>
              <w:trHeight w:val="392"/>
            </w:trPr>
            <w:tc>
              <w:tcPr>
                <w:tcW w:w="1985" w:type="dxa"/>
                <w:shd w:val="clear" w:color="auto" w:fill="auto"/>
              </w:tcPr>
              <w:p w14:paraId="3BCAB235" w14:textId="77777777" w:rsidR="002B5E0E" w:rsidRPr="00FF027F" w:rsidRDefault="002B5E0E" w:rsidP="004D377C">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6A2375C4" w14:textId="77777777" w:rsidR="002B5E0E" w:rsidRPr="00FF027F" w:rsidRDefault="002B5E0E" w:rsidP="00293F7C">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For the CMP implementation report data collection started in 2014. </w:t>
                </w:r>
              </w:p>
            </w:tc>
          </w:tr>
          <w:tr w:rsidR="002B5E0E" w:rsidRPr="00FF027F" w14:paraId="3610E15B" w14:textId="77777777" w:rsidTr="004D377C">
            <w:trPr>
              <w:trHeight w:val="791"/>
            </w:trPr>
            <w:tc>
              <w:tcPr>
                <w:tcW w:w="1985" w:type="dxa"/>
                <w:shd w:val="clear" w:color="auto" w:fill="auto"/>
              </w:tcPr>
              <w:p w14:paraId="0E7FEDBD" w14:textId="77777777" w:rsidR="002B5E0E" w:rsidRPr="00FF027F" w:rsidRDefault="002B5E0E" w:rsidP="004D377C">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5CD0170B" w14:textId="77777777" w:rsidR="002B5E0E" w:rsidRPr="00FF027F" w:rsidRDefault="002B5E0E"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Preparation of the report.</w:t>
                </w:r>
              </w:p>
            </w:tc>
          </w:tr>
          <w:tr w:rsidR="002B5E0E" w:rsidRPr="00FF027F" w14:paraId="228C4283" w14:textId="77777777" w:rsidTr="004D377C">
            <w:trPr>
              <w:trHeight w:val="395"/>
            </w:trPr>
            <w:tc>
              <w:tcPr>
                <w:tcW w:w="1985" w:type="dxa"/>
                <w:shd w:val="clear" w:color="auto" w:fill="auto"/>
              </w:tcPr>
              <w:p w14:paraId="40A22A2A" w14:textId="77777777" w:rsidR="002B5E0E" w:rsidRPr="00FF027F" w:rsidRDefault="002B5E0E" w:rsidP="004D377C">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14C9F36C" w14:textId="312D25AD" w:rsidR="002B5E0E" w:rsidRPr="00FF027F" w:rsidRDefault="002B5E0E"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Target date</w:t>
                </w:r>
                <w:r w:rsidR="00C642F8" w:rsidRPr="00FF027F">
                  <w:rPr>
                    <w:rFonts w:ascii="Arial" w:hAnsi="Arial" w:cs="Arial"/>
                    <w:lang w:val="en-GB"/>
                  </w:rPr>
                  <w:t>:</w:t>
                </w:r>
                <w:r w:rsidRPr="00FF027F">
                  <w:rPr>
                    <w:rFonts w:ascii="Arial" w:hAnsi="Arial" w:cs="Arial"/>
                    <w:lang w:val="en-GB"/>
                  </w:rPr>
                  <w:t xml:space="preserve"> Q1 2015</w:t>
                </w:r>
              </w:p>
            </w:tc>
          </w:tr>
          <w:tr w:rsidR="002B5E0E" w:rsidRPr="00FF027F" w14:paraId="302DEF46" w14:textId="77777777" w:rsidTr="0021711A">
            <w:trPr>
              <w:trHeight w:val="535"/>
            </w:trPr>
            <w:tc>
              <w:tcPr>
                <w:tcW w:w="1985" w:type="dxa"/>
                <w:shd w:val="clear" w:color="auto" w:fill="auto"/>
              </w:tcPr>
              <w:p w14:paraId="79E071FB"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32819495" w14:textId="7C8F6ECC" w:rsidR="002B5E0E" w:rsidRPr="00FF027F" w:rsidRDefault="002B5E0E" w:rsidP="008B6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w:t>
                </w:r>
                <w:r w:rsidR="008B6A1E" w:rsidRPr="00FF027F">
                  <w:rPr>
                    <w:rFonts w:ascii="Arial" w:hAnsi="Arial" w:cs="Arial"/>
                    <w:lang w:val="en-GB"/>
                  </w:rPr>
                  <w:t>7</w:t>
                </w:r>
                <w:r w:rsidRPr="00FF027F">
                  <w:rPr>
                    <w:rFonts w:ascii="Arial" w:hAnsi="Arial" w:cs="Arial"/>
                    <w:lang w:val="en-GB"/>
                  </w:rPr>
                  <w:t xml:space="preserve"> FTE</w:t>
                </w:r>
              </w:p>
            </w:tc>
          </w:tr>
          <w:tr w:rsidR="002B5E0E" w:rsidRPr="00FF027F" w14:paraId="44C96E38" w14:textId="77777777" w:rsidTr="0021711A">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D410D6B"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73ACBC87" w14:textId="77777777" w:rsidR="002B5E0E" w:rsidRPr="00FF027F" w:rsidRDefault="002B5E0E" w:rsidP="00293F7C">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Incomplete implementation in some countries may cause delays, as data recollection may not be possible at the time of the effective drafting of the report due to limited resources. </w:t>
                </w:r>
              </w:p>
            </w:tc>
          </w:tr>
        </w:tbl>
        <w:p w14:paraId="7E9638D3" w14:textId="77777777" w:rsidR="002B5E0E" w:rsidRPr="00FF027F" w:rsidRDefault="002B5E0E" w:rsidP="002B5E0E">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B5E0E" w:rsidRPr="00FF027F" w14:paraId="2B196517" w14:textId="77777777" w:rsidTr="0021711A">
            <w:trPr>
              <w:trHeight w:val="520"/>
            </w:trPr>
            <w:tc>
              <w:tcPr>
                <w:tcW w:w="1985" w:type="dxa"/>
                <w:shd w:val="clear" w:color="auto" w:fill="002060"/>
              </w:tcPr>
              <w:p w14:paraId="640EF8BA" w14:textId="77777777" w:rsidR="002B5E0E" w:rsidRPr="00FF027F" w:rsidRDefault="002B5E0E" w:rsidP="00293F7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2D68DE00" w14:textId="6E1BD50C" w:rsidR="002B5E0E" w:rsidRPr="00FF027F" w:rsidRDefault="002B5E0E" w:rsidP="00293F7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if sought by NRAs, on within day obligations and annual report on interim measures according t</w:t>
                </w:r>
                <w:r w:rsidR="0006617D">
                  <w:rPr>
                    <w:rFonts w:ascii="Arial" w:hAnsi="Arial" w:cs="Arial"/>
                    <w:b/>
                    <w:lang w:val="en-GB"/>
                  </w:rPr>
                  <w:t>o the Network Code on Balancing</w:t>
                </w:r>
              </w:p>
            </w:tc>
          </w:tr>
          <w:tr w:rsidR="002B5E0E" w:rsidRPr="00FF027F" w14:paraId="7255DA69" w14:textId="77777777" w:rsidTr="0021711A">
            <w:trPr>
              <w:trHeight w:val="504"/>
            </w:trPr>
            <w:tc>
              <w:tcPr>
                <w:tcW w:w="1985" w:type="dxa"/>
                <w:shd w:val="clear" w:color="auto" w:fill="auto"/>
              </w:tcPr>
              <w:p w14:paraId="0847FAF3"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6289DCA2" w14:textId="77777777" w:rsidR="002B5E0E" w:rsidRPr="00FF027F" w:rsidRDefault="002B5E0E"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27 and 46 of the Commission Regulation (EU) No 312/2014 of 26 March 2014 (NC Balancing)</w:t>
                </w:r>
              </w:p>
              <w:p w14:paraId="4C72FCB7" w14:textId="6924BD14" w:rsidR="00180CDD" w:rsidRPr="00FF027F" w:rsidRDefault="00180CDD"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Articles 8(8) and 8(9) of Regulation 715</w:t>
                </w:r>
              </w:p>
            </w:tc>
          </w:tr>
          <w:tr w:rsidR="002B5E0E" w:rsidRPr="00FF027F" w14:paraId="33F7FCD8" w14:textId="77777777" w:rsidTr="0021711A">
            <w:trPr>
              <w:trHeight w:val="392"/>
            </w:trPr>
            <w:tc>
              <w:tcPr>
                <w:tcW w:w="1985" w:type="dxa"/>
                <w:shd w:val="clear" w:color="auto" w:fill="auto"/>
              </w:tcPr>
              <w:p w14:paraId="62A8D77E"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025FE59A" w14:textId="77777777" w:rsidR="002B5E0E" w:rsidRPr="00FF027F" w:rsidRDefault="002B5E0E" w:rsidP="00293F7C">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Within-day obligations and annual reports of TSOs reviewing the situation on the need on Interim measures require the Agency to draft an opinion.</w:t>
                </w:r>
              </w:p>
            </w:tc>
          </w:tr>
          <w:tr w:rsidR="002B5E0E" w:rsidRPr="00FF027F" w14:paraId="2B2669F9" w14:textId="77777777" w:rsidTr="0068746C">
            <w:trPr>
              <w:trHeight w:val="755"/>
            </w:trPr>
            <w:tc>
              <w:tcPr>
                <w:tcW w:w="1985" w:type="dxa"/>
                <w:shd w:val="clear" w:color="auto" w:fill="auto"/>
              </w:tcPr>
              <w:p w14:paraId="4BABB147"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14BCD43A" w14:textId="634872EE" w:rsidR="002B5E0E" w:rsidRPr="00FF027F" w:rsidRDefault="002B5E0E"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Preparation of the opinions</w:t>
                </w:r>
                <w:r w:rsidR="00C642F8" w:rsidRPr="00FF027F">
                  <w:rPr>
                    <w:rFonts w:ascii="Arial" w:hAnsi="Arial" w:cs="Arial"/>
                    <w:lang w:val="en-GB"/>
                  </w:rPr>
                  <w:t>.</w:t>
                </w:r>
                <w:r w:rsidRPr="00FF027F">
                  <w:rPr>
                    <w:rFonts w:ascii="Arial" w:hAnsi="Arial" w:cs="Arial"/>
                    <w:lang w:val="en-GB"/>
                  </w:rPr>
                  <w:t xml:space="preserve"> </w:t>
                </w:r>
              </w:p>
            </w:tc>
          </w:tr>
          <w:tr w:rsidR="002B5E0E" w:rsidRPr="00FF027F" w14:paraId="442FF915" w14:textId="77777777" w:rsidTr="0021711A">
            <w:trPr>
              <w:trHeight w:val="780"/>
            </w:trPr>
            <w:tc>
              <w:tcPr>
                <w:tcW w:w="1985" w:type="dxa"/>
                <w:shd w:val="clear" w:color="auto" w:fill="auto"/>
              </w:tcPr>
              <w:p w14:paraId="7BBC3212"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29A89A30" w14:textId="77777777" w:rsidR="002B5E0E" w:rsidRPr="00FF027F" w:rsidRDefault="002B5E0E"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within six months as to the date of the receipt of the full recommendation or request.</w:t>
                </w:r>
              </w:p>
            </w:tc>
          </w:tr>
          <w:tr w:rsidR="002B5E0E" w:rsidRPr="00FF027F" w14:paraId="05D01AB6" w14:textId="77777777" w:rsidTr="0021711A">
            <w:trPr>
              <w:trHeight w:val="535"/>
            </w:trPr>
            <w:tc>
              <w:tcPr>
                <w:tcW w:w="1985" w:type="dxa"/>
                <w:shd w:val="clear" w:color="auto" w:fill="auto"/>
              </w:tcPr>
              <w:p w14:paraId="7F7365B4"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0911AABF" w14:textId="77777777" w:rsidR="002B5E0E" w:rsidRPr="00FF027F" w:rsidRDefault="002B5E0E" w:rsidP="00293F7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0.3 FTE</w:t>
                </w:r>
              </w:p>
            </w:tc>
          </w:tr>
          <w:tr w:rsidR="002B5E0E" w:rsidRPr="00FF027F" w14:paraId="12F1BBBC" w14:textId="77777777" w:rsidTr="0021711A">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B9D69DF" w14:textId="77777777" w:rsidR="002B5E0E" w:rsidRPr="00FF027F" w:rsidRDefault="002B5E0E" w:rsidP="00293F7C">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00F35ADF" w14:textId="77777777" w:rsidR="002B5E0E" w:rsidRPr="00FF027F" w:rsidRDefault="002B5E0E" w:rsidP="00293F7C">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A large amount of requests arriving at the same time to the Agency. </w:t>
                </w:r>
              </w:p>
            </w:tc>
          </w:tr>
        </w:tbl>
        <w:p w14:paraId="5EBBE0E8" w14:textId="77777777" w:rsidR="002B5E0E" w:rsidRPr="00FF027F" w:rsidRDefault="002B5E0E" w:rsidP="002B5E0E">
          <w:pPr>
            <w:rPr>
              <w:lang w:val="en-GB"/>
            </w:rPr>
          </w:pPr>
        </w:p>
        <w:p w14:paraId="68AFFFCE" w14:textId="77777777" w:rsidR="00483A63" w:rsidRPr="00FF027F" w:rsidRDefault="004970A0" w:rsidP="00C642F8">
          <w:pPr>
            <w:pStyle w:val="Heading2"/>
          </w:pPr>
          <w:bookmarkStart w:id="77" w:name="_Toc382919642"/>
          <w:bookmarkStart w:id="78" w:name="_Toc396913786"/>
          <w:r w:rsidRPr="00FF027F">
            <w:t>Cross-Sector Issues (Electricity and Gas)</w:t>
          </w:r>
          <w:bookmarkEnd w:id="77"/>
          <w:bookmarkEnd w:id="78"/>
          <w:r w:rsidR="00CD3F89" w:rsidRPr="00FF027F">
            <w:t xml:space="preserve"> </w:t>
          </w:r>
        </w:p>
        <w:p w14:paraId="42F569FD" w14:textId="0D20C704" w:rsidR="002A6CC8" w:rsidRPr="00FF027F" w:rsidRDefault="002A6CC8" w:rsidP="00293F7C">
          <w:pPr>
            <w:spacing w:before="360" w:after="240" w:line="360" w:lineRule="auto"/>
            <w:jc w:val="both"/>
            <w:rPr>
              <w:rFonts w:ascii="Arial" w:eastAsia="Calibri" w:hAnsi="Arial" w:cs="Arial"/>
              <w:lang w:val="en-GB"/>
            </w:rPr>
          </w:pPr>
          <w:bookmarkStart w:id="79" w:name="_Toc382919643"/>
          <w:r w:rsidRPr="00FF027F">
            <w:rPr>
              <w:rFonts w:ascii="Arial" w:eastAsia="Times New Roman" w:hAnsi="Arial" w:cs="Arial"/>
              <w:lang w:val="en-GB"/>
            </w:rPr>
            <w:t xml:space="preserve">As regards the Agency’s work on Internal Energy Market monitoring, </w:t>
          </w:r>
          <w:r w:rsidRPr="00FF027F">
            <w:rPr>
              <w:rFonts w:ascii="Arial" w:eastAsia="Calibri" w:hAnsi="Arial" w:cs="Arial"/>
              <w:lang w:val="en-GB"/>
            </w:rPr>
            <w:t xml:space="preserve">Article 11 of </w:t>
          </w:r>
          <w:r w:rsidR="00010B26" w:rsidRPr="00FF027F">
            <w:rPr>
              <w:rFonts w:ascii="Arial" w:eastAsia="Calibri" w:hAnsi="Arial" w:cs="Arial"/>
              <w:lang w:val="en-GB"/>
            </w:rPr>
            <w:t xml:space="preserve">the Agency </w:t>
          </w:r>
          <w:r w:rsidRPr="00FF027F">
            <w:rPr>
              <w:rFonts w:ascii="Arial" w:eastAsia="Calibri" w:hAnsi="Arial" w:cs="Arial"/>
              <w:lang w:val="en-GB"/>
            </w:rPr>
            <w:t>Regulation specifies that the Agency shall monitor the internal market for electricity and natural gas, and, in particular, retail prices of electricity and natural gas, access to networks (including the access of electricity produced from renewable energy sources), and compliance with consumer rights as laid down in the Third Package. This activity has to be carried out in close cooperation with the European Commission, NRAs and other relevant organisations, and without prejudice to the competences of competition authorities.</w:t>
          </w:r>
        </w:p>
        <w:p w14:paraId="2DED8D8B" w14:textId="77777777" w:rsidR="00196477" w:rsidRDefault="00196477">
          <w:pPr>
            <w:rPr>
              <w:rFonts w:ascii="Verdana" w:eastAsia="Times New Roman" w:hAnsi="Verdana" w:cs="Times New Roman Bold"/>
              <w:b/>
              <w:bCs/>
              <w:color w:val="4F81BD" w:themeColor="accent1"/>
              <w:sz w:val="26"/>
              <w:szCs w:val="24"/>
              <w:lang w:val="en-GB"/>
            </w:rPr>
          </w:pPr>
          <w:r>
            <w:rPr>
              <w:color w:val="4F81BD" w:themeColor="accent1"/>
            </w:rPr>
            <w:br w:type="page"/>
          </w:r>
        </w:p>
        <w:p w14:paraId="5BEFD4D1" w14:textId="6D45E84C" w:rsidR="005D37DF" w:rsidRPr="00FF027F" w:rsidRDefault="005D37DF" w:rsidP="00483A63">
          <w:pPr>
            <w:pStyle w:val="Heading3"/>
            <w:rPr>
              <w:color w:val="4F81BD" w:themeColor="accent1"/>
            </w:rPr>
          </w:pPr>
          <w:bookmarkStart w:id="80" w:name="_Toc396913787"/>
          <w:r w:rsidRPr="00FF027F">
            <w:rPr>
              <w:color w:val="4F81BD" w:themeColor="accent1"/>
            </w:rPr>
            <w:t>Monitoring</w:t>
          </w:r>
          <w:bookmarkEnd w:id="79"/>
          <w:bookmarkEnd w:id="80"/>
        </w:p>
        <w:p w14:paraId="1AC441D3" w14:textId="77777777" w:rsidR="002A6CC8" w:rsidRPr="00FF027F" w:rsidRDefault="002A6CC8" w:rsidP="002A6CC8">
          <w:pPr>
            <w:pStyle w:val="Style1"/>
            <w:jc w:val="left"/>
          </w:pPr>
          <w:r w:rsidRPr="00FF027F">
            <w:t>Monitoring of the internal markets in electricity and natural gas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2A6CC8" w:rsidRPr="00FF027F" w14:paraId="4AB6CB72" w14:textId="77777777" w:rsidTr="00C50CB4">
            <w:trPr>
              <w:trHeight w:val="520"/>
            </w:trPr>
            <w:tc>
              <w:tcPr>
                <w:tcW w:w="1985" w:type="dxa"/>
                <w:shd w:val="clear" w:color="auto" w:fill="002060"/>
              </w:tcPr>
              <w:p w14:paraId="761E04B4" w14:textId="77777777" w:rsidR="002A6CC8" w:rsidRPr="00FF027F" w:rsidRDefault="002A6CC8" w:rsidP="0072317B">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78A77169" w14:textId="3508C134" w:rsidR="002A6CC8" w:rsidRPr="00FF027F" w:rsidRDefault="002A6CC8" w:rsidP="0072317B">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The 4</w:t>
                </w:r>
                <w:r w:rsidRPr="00FF027F">
                  <w:rPr>
                    <w:rFonts w:ascii="Arial" w:hAnsi="Arial" w:cs="Arial"/>
                    <w:b/>
                    <w:vertAlign w:val="superscript"/>
                    <w:lang w:val="en-GB"/>
                  </w:rPr>
                  <w:t>th</w:t>
                </w:r>
                <w:r w:rsidRPr="00FF027F">
                  <w:rPr>
                    <w:rFonts w:ascii="Arial" w:hAnsi="Arial" w:cs="Arial"/>
                    <w:b/>
                    <w:lang w:val="en-GB"/>
                  </w:rPr>
                  <w:t xml:space="preserve"> Market Monitoring Report covering retail prices in electricity and natural gas, barriers to entry, wholesale market integration, consumer welfare benefits or losses as a result of market integration (or lack thereof), access to networks (including electricity produced or gas sourced from renewable energy sources), and compliance with consumer rights (including protection and </w:t>
                </w:r>
                <w:r w:rsidR="00B4312C" w:rsidRPr="00FF027F">
                  <w:rPr>
                    <w:rFonts w:ascii="Arial" w:hAnsi="Arial" w:cs="Arial"/>
                    <w:b/>
                    <w:lang w:val="en-GB"/>
                  </w:rPr>
                  <w:t>enforcement of consumer rights)</w:t>
                </w:r>
              </w:p>
            </w:tc>
          </w:tr>
          <w:tr w:rsidR="002A6CC8" w:rsidRPr="00FF027F" w14:paraId="0406E1E9" w14:textId="77777777" w:rsidTr="00C50CB4">
            <w:trPr>
              <w:trHeight w:val="504"/>
            </w:trPr>
            <w:tc>
              <w:tcPr>
                <w:tcW w:w="1985" w:type="dxa"/>
                <w:shd w:val="clear" w:color="auto" w:fill="auto"/>
              </w:tcPr>
              <w:p w14:paraId="61A7A975" w14:textId="77777777" w:rsidR="002A6CC8" w:rsidRPr="00FF027F" w:rsidRDefault="002A6CC8" w:rsidP="0072317B">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781CCD8F"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Articles 11 (1) and (2) of Regulation (EC) 713/2009</w:t>
                </w:r>
              </w:p>
            </w:tc>
          </w:tr>
          <w:tr w:rsidR="002A6CC8" w:rsidRPr="00FF027F" w14:paraId="784C0325" w14:textId="77777777" w:rsidTr="00C50CB4">
            <w:trPr>
              <w:trHeight w:val="392"/>
            </w:trPr>
            <w:tc>
              <w:tcPr>
                <w:tcW w:w="1985" w:type="dxa"/>
                <w:shd w:val="clear" w:color="auto" w:fill="auto"/>
              </w:tcPr>
              <w:p w14:paraId="17155DF8" w14:textId="77777777" w:rsidR="002A6CC8" w:rsidRPr="00FF027F" w:rsidRDefault="002A6CC8" w:rsidP="0072317B">
                <w:pPr>
                  <w:spacing w:before="120" w:after="120"/>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29C2C105" w14:textId="043FB3CE"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In 2015 the Market Monitoring Report (MMR) will focus on the functioning of energy markets and ways to improve their efficiency, in order to make energy more affordable for European consumers. More specifically, the MMR will analyse the evolution of retail prices for electricity and natural gas, wholesale market integration, access to networks (including electricity produced or gas sourced from renewable energy sources), and compliance with consumer rights.</w:t>
                </w:r>
              </w:p>
              <w:p w14:paraId="2F73B30F"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In line with previous issues, the MMR will provide in-depth analysis of barriers to integration and give recommendations to the European Parliament and Commission on how to remove them. </w:t>
                </w:r>
              </w:p>
              <w:p w14:paraId="04A922EA"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The Agency’s policy and market monitoring teams for gas and electricity will coordinate the substance of the MMR with the Directorate-General for Energy of the European Commission in order to avoid duplication of work.</w:t>
                </w:r>
              </w:p>
              <w:p w14:paraId="67AD2407" w14:textId="77777777" w:rsidR="002A6CC8" w:rsidRPr="00FF027F" w:rsidRDefault="002A6CC8" w:rsidP="0072317B">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The Agency will also cooperate and coordinate with the Council of European Energy Regulators (CEER).</w:t>
                </w:r>
              </w:p>
            </w:tc>
          </w:tr>
          <w:tr w:rsidR="002A6CC8" w:rsidRPr="00FF027F" w14:paraId="0B21FEC6" w14:textId="77777777" w:rsidTr="00C50CB4">
            <w:trPr>
              <w:trHeight w:val="1017"/>
            </w:trPr>
            <w:tc>
              <w:tcPr>
                <w:tcW w:w="1985" w:type="dxa"/>
                <w:shd w:val="clear" w:color="auto" w:fill="auto"/>
              </w:tcPr>
              <w:p w14:paraId="1721A425" w14:textId="77777777" w:rsidR="002A6CC8" w:rsidRPr="00FF027F" w:rsidRDefault="002A6CC8" w:rsidP="0072317B">
                <w:pPr>
                  <w:spacing w:before="120" w:after="120"/>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00A2E31B"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Annual Market Monitoring Report:</w:t>
                </w:r>
              </w:p>
              <w:p w14:paraId="03EF371D"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Expected completion date: November 2015.</w:t>
                </w:r>
              </w:p>
            </w:tc>
          </w:tr>
          <w:tr w:rsidR="002A6CC8" w:rsidRPr="00FF027F" w14:paraId="11A42342" w14:textId="77777777" w:rsidTr="00873568">
            <w:trPr>
              <w:trHeight w:val="485"/>
            </w:trPr>
            <w:tc>
              <w:tcPr>
                <w:tcW w:w="1985" w:type="dxa"/>
                <w:shd w:val="clear" w:color="auto" w:fill="auto"/>
              </w:tcPr>
              <w:p w14:paraId="3237A97C" w14:textId="77777777" w:rsidR="002A6CC8" w:rsidRPr="00FF027F" w:rsidRDefault="002A6CC8" w:rsidP="0072317B">
                <w:pPr>
                  <w:spacing w:before="120" w:after="120"/>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1C6DD36C"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completion of the Annual Market Monitoring Report.</w:t>
                </w:r>
              </w:p>
              <w:p w14:paraId="3C5485F7"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Positive feedback by the European Parliament, the European Commission and stakeholders on the market monitoring report, including the possibility of a survey following the publication and presentation of the report.</w:t>
                </w:r>
              </w:p>
            </w:tc>
          </w:tr>
          <w:tr w:rsidR="002A6CC8" w:rsidRPr="00FF027F" w14:paraId="3B16E5D6" w14:textId="77777777" w:rsidTr="00C50CB4">
            <w:trPr>
              <w:trHeight w:val="535"/>
            </w:trPr>
            <w:tc>
              <w:tcPr>
                <w:tcW w:w="1985" w:type="dxa"/>
                <w:shd w:val="clear" w:color="auto" w:fill="auto"/>
              </w:tcPr>
              <w:p w14:paraId="60E95C3D" w14:textId="77777777" w:rsidR="002A6CC8" w:rsidRPr="00FF027F" w:rsidRDefault="002A6CC8" w:rsidP="0072317B">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73847204" w14:textId="77777777" w:rsidR="002A6CC8" w:rsidRPr="00FF027F" w:rsidRDefault="002A6CC8" w:rsidP="0072317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8.5 FTE</w:t>
                </w:r>
              </w:p>
            </w:tc>
          </w:tr>
          <w:tr w:rsidR="002A6CC8" w:rsidRPr="00FF027F" w14:paraId="29954713"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87C093F" w14:textId="77777777" w:rsidR="002A6CC8" w:rsidRPr="00FF027F" w:rsidRDefault="002A6CC8" w:rsidP="0072317B">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497BB32B" w14:textId="77777777" w:rsidR="002A6CC8" w:rsidRPr="00FF027F" w:rsidRDefault="002A6CC8" w:rsidP="0072317B">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The quality of the report depends on the quality and accessibility of the data received by the Agency. Human resource constraints may impact the timely delivery and quality of the report. The integrity of all data sources needs to be secured electronically and, in some cases, to be coordinated with REMIT.</w:t>
                </w:r>
              </w:p>
            </w:tc>
          </w:tr>
        </w:tbl>
        <w:p w14:paraId="142E8A25" w14:textId="77777777" w:rsidR="005D37DF" w:rsidRPr="00FF027F" w:rsidRDefault="005D37DF" w:rsidP="00483A63">
          <w:pPr>
            <w:pStyle w:val="Heading3"/>
            <w:rPr>
              <w:color w:val="4F81BD" w:themeColor="accent1"/>
            </w:rPr>
          </w:pPr>
          <w:bookmarkStart w:id="81" w:name="_Toc382919644"/>
          <w:bookmarkStart w:id="82" w:name="_Toc396913788"/>
          <w:r w:rsidRPr="00FF027F">
            <w:rPr>
              <w:color w:val="4F81BD" w:themeColor="accent1"/>
            </w:rPr>
            <w:t>Regional Initiatives</w:t>
          </w:r>
          <w:bookmarkEnd w:id="81"/>
          <w:bookmarkEnd w:id="82"/>
        </w:p>
        <w:p w14:paraId="58766915" w14:textId="5FAC13B8" w:rsidR="002A6CC8" w:rsidRPr="00FF027F" w:rsidRDefault="002A6CC8" w:rsidP="003A65D9">
          <w:pPr>
            <w:spacing w:before="360" w:after="240" w:line="360" w:lineRule="auto"/>
            <w:jc w:val="both"/>
            <w:rPr>
              <w:rFonts w:ascii="Arial" w:hAnsi="Arial" w:cs="Arial"/>
              <w:lang w:val="en-GB"/>
            </w:rPr>
          </w:pPr>
          <w:r w:rsidRPr="00FF027F">
            <w:rPr>
              <w:rFonts w:ascii="Arial" w:hAnsi="Arial" w:cs="Arial"/>
              <w:lang w:val="en-GB"/>
            </w:rPr>
            <w:t xml:space="preserve">Since its formal establishment in March 2011, the Agency </w:t>
          </w:r>
          <w:r w:rsidR="003A65D9" w:rsidRPr="00FF027F">
            <w:rPr>
              <w:rFonts w:ascii="Arial" w:hAnsi="Arial" w:cs="Arial"/>
              <w:lang w:val="en-GB"/>
            </w:rPr>
            <w:t xml:space="preserve">coordinates </w:t>
          </w:r>
          <w:r w:rsidRPr="00FF027F">
            <w:rPr>
              <w:rFonts w:ascii="Arial" w:hAnsi="Arial" w:cs="Arial"/>
              <w:lang w:val="en-GB"/>
            </w:rPr>
            <w:t xml:space="preserve">the ERI and GRI and monitors the implementation of regional and cross-regional projects developed in the </w:t>
          </w:r>
          <w:r w:rsidR="00BB16BC" w:rsidRPr="00FF027F">
            <w:rPr>
              <w:rFonts w:ascii="Arial" w:hAnsi="Arial" w:cs="Arial"/>
              <w:lang w:val="en-GB"/>
            </w:rPr>
            <w:t xml:space="preserve">ERI and GRI </w:t>
          </w:r>
          <w:r w:rsidRPr="00FF027F">
            <w:rPr>
              <w:rFonts w:ascii="Arial" w:hAnsi="Arial" w:cs="Arial"/>
              <w:lang w:val="en-GB"/>
            </w:rPr>
            <w:t>frame</w:t>
          </w:r>
          <w:r w:rsidR="00BB16BC" w:rsidRPr="00FF027F">
            <w:rPr>
              <w:rFonts w:ascii="Arial" w:hAnsi="Arial" w:cs="Arial"/>
              <w:lang w:val="en-GB"/>
            </w:rPr>
            <w:t>work</w:t>
          </w:r>
          <w:r w:rsidRPr="00FF027F">
            <w:rPr>
              <w:rFonts w:ascii="Arial" w:hAnsi="Arial" w:cs="Arial"/>
              <w:lang w:val="en-GB"/>
            </w:rPr>
            <w:t xml:space="preserve">.  </w:t>
          </w:r>
        </w:p>
        <w:p w14:paraId="51AA3AF2" w14:textId="677D667D" w:rsidR="002A6CC8" w:rsidRPr="00FF027F" w:rsidRDefault="008D5E93" w:rsidP="003A65D9">
          <w:pPr>
            <w:spacing w:before="360" w:after="240" w:line="360" w:lineRule="auto"/>
            <w:jc w:val="both"/>
            <w:rPr>
              <w:rFonts w:ascii="Arial" w:hAnsi="Arial" w:cs="Arial"/>
              <w:lang w:val="en-GB"/>
            </w:rPr>
          </w:pPr>
          <w:r w:rsidRPr="00FF027F">
            <w:rPr>
              <w:rFonts w:ascii="Arial" w:hAnsi="Arial" w:cs="Arial"/>
              <w:lang w:val="en-GB"/>
            </w:rPr>
            <w:t xml:space="preserve">Given the status of </w:t>
          </w:r>
          <w:r w:rsidR="003A65D9" w:rsidRPr="00FF027F">
            <w:rPr>
              <w:rFonts w:ascii="Arial" w:hAnsi="Arial" w:cs="Arial"/>
              <w:lang w:val="en-GB"/>
            </w:rPr>
            <w:t xml:space="preserve">adoption of </w:t>
          </w:r>
          <w:r w:rsidR="00BB16BC" w:rsidRPr="00FF027F">
            <w:rPr>
              <w:rFonts w:ascii="Arial" w:hAnsi="Arial" w:cs="Arial"/>
              <w:lang w:val="en-GB"/>
            </w:rPr>
            <w:t xml:space="preserve">the </w:t>
          </w:r>
          <w:r w:rsidR="0017513A" w:rsidRPr="00FF027F">
            <w:rPr>
              <w:rFonts w:ascii="Arial" w:hAnsi="Arial" w:cs="Arial"/>
              <w:lang w:val="en-GB"/>
            </w:rPr>
            <w:t>N</w:t>
          </w:r>
          <w:r w:rsidR="003A65D9"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 t</w:t>
          </w:r>
          <w:r w:rsidR="002A6CC8" w:rsidRPr="00FF027F">
            <w:rPr>
              <w:rFonts w:ascii="Arial" w:hAnsi="Arial" w:cs="Arial"/>
              <w:lang w:val="en-GB"/>
            </w:rPr>
            <w:t xml:space="preserve">he </w:t>
          </w:r>
          <w:r w:rsidRPr="00FF027F">
            <w:rPr>
              <w:rFonts w:ascii="Arial" w:hAnsi="Arial" w:cs="Arial"/>
              <w:lang w:val="en-GB"/>
            </w:rPr>
            <w:t xml:space="preserve">Agency expects that the </w:t>
          </w:r>
          <w:r w:rsidR="002A6CC8" w:rsidRPr="00FF027F">
            <w:rPr>
              <w:rFonts w:ascii="Arial" w:hAnsi="Arial" w:cs="Arial"/>
              <w:lang w:val="en-GB"/>
            </w:rPr>
            <w:t>ERI and the GRI will continue to be in 2015 a useful tool to foster the</w:t>
          </w:r>
          <w:r w:rsidRPr="00FF027F">
            <w:rPr>
              <w:rFonts w:ascii="Arial" w:hAnsi="Arial" w:cs="Arial"/>
              <w:lang w:val="en-GB"/>
            </w:rPr>
            <w:t xml:space="preserve"> earlier</w:t>
          </w:r>
          <w:r w:rsidR="002A6CC8" w:rsidRPr="00FF027F">
            <w:rPr>
              <w:rFonts w:ascii="Arial" w:hAnsi="Arial" w:cs="Arial"/>
              <w:lang w:val="en-GB"/>
            </w:rPr>
            <w:t xml:space="preserve"> implementation of EU rules, complementing the development of </w:t>
          </w:r>
          <w:r w:rsidR="0017513A" w:rsidRPr="00FF027F">
            <w:rPr>
              <w:rFonts w:ascii="Arial" w:hAnsi="Arial" w:cs="Arial"/>
              <w:lang w:val="en-GB"/>
            </w:rPr>
            <w:t>F</w:t>
          </w:r>
          <w:r w:rsidR="002A6CC8" w:rsidRPr="00FF027F">
            <w:rPr>
              <w:rFonts w:ascii="Arial" w:hAnsi="Arial" w:cs="Arial"/>
              <w:lang w:val="en-GB"/>
            </w:rPr>
            <w:t xml:space="preserve">ramework </w:t>
          </w:r>
          <w:r w:rsidR="0017513A" w:rsidRPr="00FF027F">
            <w:rPr>
              <w:rFonts w:ascii="Arial" w:hAnsi="Arial" w:cs="Arial"/>
              <w:lang w:val="en-GB"/>
            </w:rPr>
            <w:t>G</w:t>
          </w:r>
          <w:r w:rsidR="002A6CC8" w:rsidRPr="00FF027F">
            <w:rPr>
              <w:rFonts w:ascii="Arial" w:hAnsi="Arial" w:cs="Arial"/>
              <w:lang w:val="en-GB"/>
            </w:rPr>
            <w:t xml:space="preserve">uidelines and </w:t>
          </w:r>
          <w:r w:rsidR="0017513A" w:rsidRPr="00FF027F">
            <w:rPr>
              <w:rFonts w:ascii="Arial" w:hAnsi="Arial" w:cs="Arial"/>
              <w:lang w:val="en-GB"/>
            </w:rPr>
            <w:t>N</w:t>
          </w:r>
          <w:r w:rsidR="002A6CC8" w:rsidRPr="00FF027F">
            <w:rPr>
              <w:rFonts w:ascii="Arial" w:hAnsi="Arial" w:cs="Arial"/>
              <w:lang w:val="en-GB"/>
            </w:rPr>
            <w:t xml:space="preserve">etwork </w:t>
          </w:r>
          <w:r w:rsidR="0017513A" w:rsidRPr="00FF027F">
            <w:rPr>
              <w:rFonts w:ascii="Arial" w:hAnsi="Arial" w:cs="Arial"/>
              <w:lang w:val="en-GB"/>
            </w:rPr>
            <w:t>C</w:t>
          </w:r>
          <w:r w:rsidR="002A6CC8" w:rsidRPr="00FF027F">
            <w:rPr>
              <w:rFonts w:ascii="Arial" w:hAnsi="Arial" w:cs="Arial"/>
              <w:lang w:val="en-GB"/>
            </w:rPr>
            <w:t>odes, while remaining a widely appreciated framework for cooperation among NRAs, TSOs and other stakeholders at regional and EU level.</w:t>
          </w:r>
        </w:p>
        <w:p w14:paraId="0AA43A79" w14:textId="3E6A4708" w:rsidR="002A6CC8" w:rsidRPr="00FF027F" w:rsidRDefault="002A6CC8" w:rsidP="003A65D9">
          <w:pPr>
            <w:spacing w:before="360" w:after="240" w:line="360" w:lineRule="auto"/>
            <w:jc w:val="both"/>
            <w:rPr>
              <w:rFonts w:ascii="Arial" w:hAnsi="Arial" w:cs="Arial"/>
              <w:b/>
              <w:color w:val="FF0000"/>
              <w:lang w:val="en-GB"/>
            </w:rPr>
          </w:pPr>
          <w:r w:rsidRPr="00FF027F">
            <w:rPr>
              <w:rFonts w:ascii="Arial" w:hAnsi="Arial" w:cs="Arial"/>
              <w:lang w:val="en-GB"/>
            </w:rPr>
            <w:t xml:space="preserve">The early implementation of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 xml:space="preserve">odes remains a voluntary exercise </w:t>
          </w:r>
          <w:r w:rsidR="003A65D9" w:rsidRPr="00FF027F">
            <w:rPr>
              <w:rFonts w:ascii="Arial" w:hAnsi="Arial" w:cs="Arial"/>
              <w:lang w:val="en-GB"/>
            </w:rPr>
            <w:t>until their entry into force, whereupon it</w:t>
          </w:r>
          <w:r w:rsidRPr="00FF027F">
            <w:rPr>
              <w:rFonts w:ascii="Arial" w:hAnsi="Arial" w:cs="Arial"/>
              <w:lang w:val="en-GB"/>
            </w:rPr>
            <w:t xml:space="preserve"> becomes binding. </w:t>
          </w:r>
          <w:r w:rsidR="003A65D9" w:rsidRPr="00FF027F">
            <w:rPr>
              <w:rFonts w:ascii="Arial" w:hAnsi="Arial" w:cs="Arial"/>
              <w:lang w:val="en-GB"/>
            </w:rPr>
            <w:t>By late 2015, o</w:t>
          </w:r>
          <w:r w:rsidRPr="00FF027F">
            <w:rPr>
              <w:rFonts w:ascii="Arial" w:hAnsi="Arial" w:cs="Arial"/>
              <w:lang w:val="en-GB"/>
            </w:rPr>
            <w:t xml:space="preserve">nce the dates of entry into force are reached, the work will progressively shift </w:t>
          </w:r>
          <w:r w:rsidR="003A65D9" w:rsidRPr="00FF027F">
            <w:rPr>
              <w:rFonts w:ascii="Arial" w:hAnsi="Arial" w:cs="Arial"/>
              <w:lang w:val="en-GB"/>
            </w:rPr>
            <w:t xml:space="preserve">and will be </w:t>
          </w:r>
          <w:r w:rsidRPr="00FF027F">
            <w:rPr>
              <w:rFonts w:ascii="Arial" w:hAnsi="Arial" w:cs="Arial"/>
              <w:lang w:val="en-GB"/>
            </w:rPr>
            <w:t xml:space="preserve">coordinated and monitored under dedicated processes. At that time, the Agency, the European Commission, NRAs, TSOs and other stakeholders involved in the ERI and the GRI </w:t>
          </w:r>
          <w:r w:rsidR="008D5E93" w:rsidRPr="00FF027F">
            <w:rPr>
              <w:rFonts w:ascii="Arial" w:hAnsi="Arial" w:cs="Arial"/>
              <w:lang w:val="en-GB"/>
            </w:rPr>
            <w:t>will</w:t>
          </w:r>
          <w:r w:rsidR="003A65D9" w:rsidRPr="00FF027F">
            <w:rPr>
              <w:rFonts w:ascii="Arial" w:hAnsi="Arial" w:cs="Arial"/>
              <w:lang w:val="en-GB"/>
            </w:rPr>
            <w:t xml:space="preserve"> review</w:t>
          </w:r>
          <w:r w:rsidRPr="00FF027F">
            <w:rPr>
              <w:rFonts w:ascii="Arial" w:hAnsi="Arial" w:cs="Arial"/>
              <w:lang w:val="en-GB"/>
            </w:rPr>
            <w:t xml:space="preserve"> the </w:t>
          </w:r>
          <w:r w:rsidR="003A65D9" w:rsidRPr="00FF027F">
            <w:rPr>
              <w:rFonts w:ascii="Arial" w:hAnsi="Arial" w:cs="Arial"/>
              <w:lang w:val="en-GB"/>
            </w:rPr>
            <w:t xml:space="preserve">concept of </w:t>
          </w:r>
          <w:r w:rsidRPr="00FF027F">
            <w:rPr>
              <w:rFonts w:ascii="Arial" w:hAnsi="Arial" w:cs="Arial"/>
              <w:lang w:val="en-GB"/>
            </w:rPr>
            <w:t xml:space="preserve">Regional Initiatives </w:t>
          </w:r>
          <w:r w:rsidR="003A65D9" w:rsidRPr="00FF027F">
            <w:rPr>
              <w:rFonts w:ascii="Arial" w:hAnsi="Arial" w:cs="Arial"/>
              <w:lang w:val="en-GB"/>
            </w:rPr>
            <w:t>and</w:t>
          </w:r>
          <w:r w:rsidRPr="00FF027F">
            <w:rPr>
              <w:rFonts w:ascii="Arial" w:hAnsi="Arial" w:cs="Arial"/>
              <w:lang w:val="en-GB"/>
            </w:rPr>
            <w:t xml:space="preserve"> adapt it to the new binding implementation process, </w:t>
          </w:r>
          <w:r w:rsidR="003A65D9" w:rsidRPr="00FF027F">
            <w:rPr>
              <w:rFonts w:ascii="Arial" w:hAnsi="Arial" w:cs="Arial"/>
              <w:lang w:val="en-GB"/>
            </w:rPr>
            <w:t xml:space="preserve">incorporating </w:t>
          </w:r>
          <w:r w:rsidRPr="00FF027F">
            <w:rPr>
              <w:rFonts w:ascii="Arial" w:hAnsi="Arial" w:cs="Arial"/>
              <w:lang w:val="en-GB"/>
            </w:rPr>
            <w:t xml:space="preserve">the best practices observed in the </w:t>
          </w:r>
          <w:r w:rsidR="00BB16BC" w:rsidRPr="00FF027F">
            <w:rPr>
              <w:rFonts w:ascii="Arial" w:hAnsi="Arial" w:cs="Arial"/>
              <w:lang w:val="en-GB"/>
            </w:rPr>
            <w:t>RIs</w:t>
          </w:r>
          <w:r w:rsidRPr="00FF027F">
            <w:rPr>
              <w:rFonts w:ascii="Arial" w:hAnsi="Arial" w:cs="Arial"/>
              <w:lang w:val="en-GB"/>
            </w:rPr>
            <w:t xml:space="preserve"> framework.</w:t>
          </w:r>
        </w:p>
        <w:p w14:paraId="5963DE4A" w14:textId="6DDB34E8" w:rsidR="00C50CB4" w:rsidRPr="00FF027F" w:rsidRDefault="00C50CB4" w:rsidP="004D377C">
          <w:pPr>
            <w:pStyle w:val="Style2"/>
            <w:spacing w:after="240"/>
            <w:ind w:left="562" w:hanging="562"/>
          </w:pPr>
          <w:r w:rsidRPr="00FF027F">
            <w:t>Support and Monitoring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040E4009" w14:textId="77777777" w:rsidTr="00C50CB4">
            <w:trPr>
              <w:trHeight w:val="520"/>
            </w:trPr>
            <w:tc>
              <w:tcPr>
                <w:tcW w:w="1985" w:type="dxa"/>
                <w:shd w:val="clear" w:color="auto" w:fill="002060"/>
              </w:tcPr>
              <w:p w14:paraId="6753AEC6" w14:textId="77777777" w:rsidR="00C50CB4" w:rsidRPr="00FF027F" w:rsidRDefault="00C50CB4" w:rsidP="003A65D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1064BF5E" w14:textId="77777777" w:rsidR="00C50CB4" w:rsidRPr="00FF027F" w:rsidRDefault="00C50CB4" w:rsidP="003A65D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Coordination and monitoring of activities for the early voluntary implementation of Network Codes before their rules become legally binding</w:t>
                </w:r>
              </w:p>
            </w:tc>
          </w:tr>
          <w:tr w:rsidR="00C50CB4" w:rsidRPr="00FF027F" w14:paraId="3B7955C5" w14:textId="77777777" w:rsidTr="00C50CB4">
            <w:trPr>
              <w:trHeight w:val="504"/>
            </w:trPr>
            <w:tc>
              <w:tcPr>
                <w:tcW w:w="1985" w:type="dxa"/>
                <w:shd w:val="clear" w:color="auto" w:fill="auto"/>
              </w:tcPr>
              <w:p w14:paraId="31BB464D" w14:textId="77777777" w:rsidR="00C50CB4" w:rsidRPr="00FF027F" w:rsidRDefault="00C50CB4" w:rsidP="003A65D9">
                <w:pPr>
                  <w:spacing w:before="120" w:after="120"/>
                  <w:ind w:left="202"/>
                  <w:jc w:val="both"/>
                  <w:rPr>
                    <w:rFonts w:ascii="Arial" w:hAnsi="Arial" w:cs="Arial"/>
                    <w:lang w:val="en-GB"/>
                  </w:rPr>
                </w:pPr>
                <w:r w:rsidRPr="00FF027F">
                  <w:rPr>
                    <w:rFonts w:ascii="Arial" w:hAnsi="Arial" w:cs="Arial"/>
                    <w:lang w:val="en-GB"/>
                  </w:rPr>
                  <w:t>Legal basis</w:t>
                </w:r>
              </w:p>
            </w:tc>
            <w:tc>
              <w:tcPr>
                <w:tcW w:w="7150" w:type="dxa"/>
                <w:shd w:val="clear" w:color="auto" w:fill="auto"/>
              </w:tcPr>
              <w:p w14:paraId="7884D82D"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Several articles on regional cooperation in Regulations (EC) No 713/2009, (EC) No 714/2009 and (EC) No 715/2009</w:t>
                </w:r>
              </w:p>
              <w:p w14:paraId="1B663F3F"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 of Regulation 715/2009 (EC) (gas)</w:t>
                </w:r>
              </w:p>
              <w:p w14:paraId="3C9501F8"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 of Regulation 714/2009 (EC) (electricity)</w:t>
                </w:r>
              </w:p>
            </w:tc>
          </w:tr>
          <w:tr w:rsidR="00C50CB4" w:rsidRPr="00FF027F" w14:paraId="262F40EA" w14:textId="77777777" w:rsidTr="00C50CB4">
            <w:trPr>
              <w:trHeight w:val="392"/>
            </w:trPr>
            <w:tc>
              <w:tcPr>
                <w:tcW w:w="1985" w:type="dxa"/>
                <w:shd w:val="clear" w:color="auto" w:fill="auto"/>
              </w:tcPr>
              <w:p w14:paraId="38DC35C4"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Overview (status)</w:t>
                </w:r>
              </w:p>
            </w:tc>
            <w:tc>
              <w:tcPr>
                <w:tcW w:w="7150" w:type="dxa"/>
                <w:shd w:val="clear" w:color="auto" w:fill="auto"/>
              </w:tcPr>
              <w:p w14:paraId="730779D1" w14:textId="49F3C2A3" w:rsidR="00C50CB4" w:rsidRPr="00FF027F" w:rsidRDefault="00C50CB4" w:rsidP="00417F8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Early implementation of </w:t>
                </w:r>
                <w:r w:rsidR="0017513A" w:rsidRPr="00FF027F">
                  <w:rPr>
                    <w:rFonts w:ascii="Arial" w:eastAsia="Times New Roman" w:hAnsi="Arial" w:cs="Arial"/>
                    <w:iCs/>
                    <w:lang w:val="en-GB"/>
                  </w:rPr>
                  <w:t>N</w:t>
                </w:r>
                <w:r w:rsidRPr="00FF027F">
                  <w:rPr>
                    <w:rFonts w:ascii="Arial" w:eastAsia="Times New Roman" w:hAnsi="Arial" w:cs="Arial"/>
                    <w:iCs/>
                    <w:lang w:val="en-GB"/>
                  </w:rPr>
                  <w:t xml:space="preserve">etwork </w:t>
                </w:r>
                <w:r w:rsidR="0017513A" w:rsidRPr="00FF027F">
                  <w:rPr>
                    <w:rFonts w:ascii="Arial" w:eastAsia="Times New Roman" w:hAnsi="Arial" w:cs="Arial"/>
                    <w:iCs/>
                    <w:lang w:val="en-GB"/>
                  </w:rPr>
                  <w:t>C</w:t>
                </w:r>
                <w:r w:rsidRPr="00FF027F">
                  <w:rPr>
                    <w:rFonts w:ascii="Arial" w:eastAsia="Times New Roman" w:hAnsi="Arial" w:cs="Arial"/>
                    <w:iCs/>
                    <w:lang w:val="en-GB"/>
                  </w:rPr>
                  <w:t>odes is ongoing in several areas in electricity and gas in accordance with the ERI Roadmaps, endorsed by the Florence Forum in December 2011, and the CAM Roadmap developed in cooperation with ENTSOG in gas, published on 1 March 2013 and updated in October 2013.</w:t>
                </w:r>
              </w:p>
              <w:p w14:paraId="00D92A0F" w14:textId="07235C1B" w:rsidR="00C50CB4" w:rsidRPr="00FF027F" w:rsidRDefault="008F5D02" w:rsidP="00417F8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The f</w:t>
                </w:r>
                <w:r w:rsidR="00C50CB4" w:rsidRPr="00FF027F">
                  <w:rPr>
                    <w:rFonts w:ascii="Arial" w:eastAsia="Times New Roman" w:hAnsi="Arial" w:cs="Arial"/>
                    <w:iCs/>
                    <w:lang w:val="en-GB"/>
                  </w:rPr>
                  <w:t xml:space="preserve">ramework for facilitating early implementation in other areas of upcoming </w:t>
                </w:r>
                <w:r w:rsidR="0017513A" w:rsidRPr="00FF027F">
                  <w:rPr>
                    <w:rFonts w:ascii="Arial" w:eastAsia="Times New Roman" w:hAnsi="Arial" w:cs="Arial"/>
                    <w:iCs/>
                    <w:lang w:val="en-GB"/>
                  </w:rPr>
                  <w:t>N</w:t>
                </w:r>
                <w:r w:rsidR="00C50CB4" w:rsidRPr="00FF027F">
                  <w:rPr>
                    <w:rFonts w:ascii="Arial" w:eastAsia="Times New Roman" w:hAnsi="Arial" w:cs="Arial"/>
                    <w:iCs/>
                    <w:lang w:val="en-GB"/>
                  </w:rPr>
                  <w:t xml:space="preserve">etwork </w:t>
                </w:r>
                <w:r w:rsidR="0017513A" w:rsidRPr="00FF027F">
                  <w:rPr>
                    <w:rFonts w:ascii="Arial" w:eastAsia="Times New Roman" w:hAnsi="Arial" w:cs="Arial"/>
                    <w:iCs/>
                    <w:lang w:val="en-GB"/>
                  </w:rPr>
                  <w:t>C</w:t>
                </w:r>
                <w:r w:rsidR="00C50CB4" w:rsidRPr="00FF027F">
                  <w:rPr>
                    <w:rFonts w:ascii="Arial" w:eastAsia="Times New Roman" w:hAnsi="Arial" w:cs="Arial"/>
                    <w:iCs/>
                    <w:lang w:val="en-GB"/>
                  </w:rPr>
                  <w:t>odes in gas (Balancing, Interoperability and Data Exchange) is in the process of being defined.</w:t>
                </w:r>
              </w:p>
            </w:tc>
          </w:tr>
          <w:tr w:rsidR="00C50CB4" w:rsidRPr="00FF027F" w14:paraId="4334C8EF" w14:textId="77777777" w:rsidTr="00C50CB4">
            <w:trPr>
              <w:trHeight w:val="1017"/>
            </w:trPr>
            <w:tc>
              <w:tcPr>
                <w:tcW w:w="1985" w:type="dxa"/>
                <w:shd w:val="clear" w:color="auto" w:fill="auto"/>
              </w:tcPr>
              <w:p w14:paraId="7DDA2513"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34CD4DF7" w14:textId="10D10B35" w:rsidR="00C50CB4" w:rsidRPr="00FF027F" w:rsidRDefault="008D5E93"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The early implementation of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 xml:space="preserve">odes aims at promoting the completion of the Internal Energy Market, stimulating experience in sharing and exchange of best practices, raising awareness about the implications of the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 xml:space="preserve">odes and their expected impact on their activities, promoting transparency and ensuring that the lessons learned during implementation are duly taken into account in future amendments of the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w:t>
                </w:r>
              </w:p>
            </w:tc>
          </w:tr>
          <w:tr w:rsidR="00C50CB4" w:rsidRPr="00FF027F" w14:paraId="47EC778C" w14:textId="77777777" w:rsidTr="00C50CB4">
            <w:trPr>
              <w:trHeight w:val="780"/>
            </w:trPr>
            <w:tc>
              <w:tcPr>
                <w:tcW w:w="1985" w:type="dxa"/>
                <w:shd w:val="clear" w:color="auto" w:fill="auto"/>
              </w:tcPr>
              <w:p w14:paraId="5B0D483F"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27998768"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implementation according to the milestones and deadlines set out in the Roadmaps</w:t>
                </w:r>
                <w:r w:rsidRPr="00FF027F">
                  <w:rPr>
                    <w:rStyle w:val="FootnoteReference"/>
                    <w:rFonts w:ascii="Arial" w:hAnsi="Arial" w:cs="Arial"/>
                    <w:sz w:val="22"/>
                    <w:lang w:val="en-GB"/>
                  </w:rPr>
                  <w:footnoteReference w:id="7"/>
                </w:r>
                <w:r w:rsidRPr="00FF027F">
                  <w:rPr>
                    <w:rFonts w:ascii="Arial" w:hAnsi="Arial" w:cs="Arial"/>
                    <w:lang w:val="en-GB"/>
                  </w:rPr>
                  <w:t xml:space="preserve"> or still to be defined for other upcoming areas in gas. </w:t>
                </w:r>
              </w:p>
            </w:tc>
          </w:tr>
          <w:tr w:rsidR="00C50CB4" w:rsidRPr="00FF027F" w14:paraId="7B6C0064" w14:textId="77777777" w:rsidTr="00C50CB4">
            <w:trPr>
              <w:trHeight w:val="535"/>
            </w:trPr>
            <w:tc>
              <w:tcPr>
                <w:tcW w:w="1985" w:type="dxa"/>
                <w:shd w:val="clear" w:color="auto" w:fill="auto"/>
              </w:tcPr>
              <w:p w14:paraId="55B31CBC"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Staff</w:t>
                </w:r>
              </w:p>
            </w:tc>
            <w:tc>
              <w:tcPr>
                <w:tcW w:w="7150" w:type="dxa"/>
                <w:shd w:val="clear" w:color="auto" w:fill="auto"/>
              </w:tcPr>
              <w:p w14:paraId="53624132"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2.3 FTE</w:t>
                </w:r>
              </w:p>
            </w:tc>
          </w:tr>
          <w:tr w:rsidR="00C50CB4" w:rsidRPr="00FF027F" w14:paraId="07DA2B43"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957E560"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3C078731" w14:textId="77777777" w:rsidR="00C50CB4" w:rsidRPr="00FF027F" w:rsidRDefault="00C50CB4" w:rsidP="00432964">
                <w:pPr>
                  <w:autoSpaceDE w:val="0"/>
                  <w:autoSpaceDN w:val="0"/>
                  <w:adjustRightInd w:val="0"/>
                  <w:spacing w:before="120" w:after="120" w:line="240" w:lineRule="auto"/>
                  <w:ind w:left="202"/>
                  <w:jc w:val="both"/>
                  <w:rPr>
                    <w:rFonts w:ascii="Arial" w:eastAsia="Times New Roman" w:hAnsi="Arial" w:cs="Arial"/>
                    <w:iCs/>
                    <w:lang w:val="en-GB"/>
                  </w:rPr>
                </w:pPr>
                <w:r w:rsidRPr="00FF027F">
                  <w:rPr>
                    <w:rFonts w:ascii="Arial" w:eastAsia="Times New Roman" w:hAnsi="Arial" w:cs="Arial"/>
                    <w:iCs/>
                    <w:lang w:val="en-GB"/>
                  </w:rPr>
                  <w:t>Strong commitment is required from all parties involved in order to ensure early implementation, especially from TSOs, NRAs, ENTSOG, ENTSOE, power exchanges and other stakeholders.</w:t>
                </w:r>
              </w:p>
            </w:tc>
          </w:tr>
        </w:tbl>
        <w:p w14:paraId="57BA4F41" w14:textId="77777777" w:rsidR="00C50CB4" w:rsidRPr="00FF027F" w:rsidRDefault="00C50CB4" w:rsidP="00C50CB4">
          <w:pPr>
            <w:pStyle w:val="Style2"/>
            <w:jc w:val="both"/>
          </w:pPr>
          <w:r w:rsidRPr="00FF027F">
            <w:t xml:space="preserve">Annual Status Review Report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C50CB4" w:rsidRPr="00FF027F" w14:paraId="1CA29EFC" w14:textId="77777777" w:rsidTr="00C50CB4">
            <w:trPr>
              <w:trHeight w:val="520"/>
            </w:trPr>
            <w:tc>
              <w:tcPr>
                <w:tcW w:w="1985" w:type="dxa"/>
                <w:shd w:val="clear" w:color="auto" w:fill="002060"/>
              </w:tcPr>
              <w:p w14:paraId="217F4702" w14:textId="77777777" w:rsidR="00C50CB4" w:rsidRPr="00FF027F" w:rsidRDefault="00C50CB4" w:rsidP="00432964">
                <w:pPr>
                  <w:autoSpaceDE w:val="0"/>
                  <w:autoSpaceDN w:val="0"/>
                  <w:adjustRightInd w:val="0"/>
                  <w:spacing w:before="120" w:after="120" w:line="240" w:lineRule="auto"/>
                  <w:ind w:left="202"/>
                  <w:jc w:val="both"/>
                  <w:rPr>
                    <w:rFonts w:ascii="Arial" w:hAnsi="Arial" w:cs="Arial"/>
                    <w:b/>
                    <w:lang w:val="en-GB"/>
                  </w:rPr>
                </w:pPr>
                <w:r w:rsidRPr="00FF027F">
                  <w:rPr>
                    <w:rFonts w:ascii="Arial" w:hAnsi="Arial" w:cs="Arial"/>
                    <w:b/>
                    <w:lang w:val="en-GB"/>
                  </w:rPr>
                  <w:t>Deliverable</w:t>
                </w:r>
              </w:p>
            </w:tc>
            <w:tc>
              <w:tcPr>
                <w:tcW w:w="7150" w:type="dxa"/>
                <w:shd w:val="clear" w:color="auto" w:fill="002060"/>
              </w:tcPr>
              <w:p w14:paraId="2AD3DBC3" w14:textId="77777777" w:rsidR="00C50CB4" w:rsidRPr="00FF027F" w:rsidRDefault="00C50CB4" w:rsidP="00432964">
                <w:pPr>
                  <w:autoSpaceDE w:val="0"/>
                  <w:autoSpaceDN w:val="0"/>
                  <w:adjustRightInd w:val="0"/>
                  <w:spacing w:before="120" w:after="120" w:line="240" w:lineRule="auto"/>
                  <w:ind w:left="202"/>
                  <w:jc w:val="both"/>
                  <w:rPr>
                    <w:rFonts w:ascii="Arial" w:hAnsi="Arial" w:cs="Arial"/>
                    <w:b/>
                    <w:lang w:val="en-GB"/>
                  </w:rPr>
                </w:pPr>
                <w:r w:rsidRPr="00FF027F">
                  <w:rPr>
                    <w:rFonts w:ascii="Arial" w:hAnsi="Arial" w:cs="Arial"/>
                    <w:b/>
                    <w:lang w:val="en-GB"/>
                  </w:rPr>
                  <w:t>Regional Initiatives Annual Status Review Report, reviewing developments in the Electricity and Gas Regional Initiatives and providing guidance for future work</w:t>
                </w:r>
              </w:p>
            </w:tc>
          </w:tr>
          <w:tr w:rsidR="00C50CB4" w:rsidRPr="00FF027F" w14:paraId="67590CB2" w14:textId="77777777" w:rsidTr="00C50CB4">
            <w:trPr>
              <w:trHeight w:val="504"/>
            </w:trPr>
            <w:tc>
              <w:tcPr>
                <w:tcW w:w="1985" w:type="dxa"/>
                <w:shd w:val="clear" w:color="auto" w:fill="auto"/>
              </w:tcPr>
              <w:p w14:paraId="25B9E68A"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Legal basis</w:t>
                </w:r>
              </w:p>
            </w:tc>
            <w:tc>
              <w:tcPr>
                <w:tcW w:w="7150" w:type="dxa"/>
                <w:shd w:val="clear" w:color="auto" w:fill="auto"/>
              </w:tcPr>
              <w:p w14:paraId="67CE106D"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Several articles on regional cooperation in Regulations (EC) No 713/2009, (EC) No 714/2009 and (EC) No 715/2009</w:t>
                </w:r>
              </w:p>
            </w:tc>
          </w:tr>
          <w:tr w:rsidR="00C50CB4" w:rsidRPr="00FF027F" w14:paraId="738D2CAD" w14:textId="77777777" w:rsidTr="00C50CB4">
            <w:trPr>
              <w:trHeight w:val="392"/>
            </w:trPr>
            <w:tc>
              <w:tcPr>
                <w:tcW w:w="1985" w:type="dxa"/>
                <w:shd w:val="clear" w:color="auto" w:fill="auto"/>
              </w:tcPr>
              <w:p w14:paraId="5E490678"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Overview (status)</w:t>
                </w:r>
              </w:p>
            </w:tc>
            <w:tc>
              <w:tcPr>
                <w:tcW w:w="7150" w:type="dxa"/>
                <w:shd w:val="clear" w:color="auto" w:fill="auto"/>
              </w:tcPr>
              <w:p w14:paraId="328A0276" w14:textId="77777777" w:rsidR="00C50CB4" w:rsidRPr="00FF027F" w:rsidRDefault="00C50CB4" w:rsidP="00417F8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Yearly report providing an overview of all regional and cross-regional activities coordinated by the Agency through the Electricity and Gas Regional Initiatives.</w:t>
                </w:r>
              </w:p>
            </w:tc>
          </w:tr>
          <w:tr w:rsidR="00C50CB4" w:rsidRPr="00FF027F" w14:paraId="2197D586" w14:textId="77777777" w:rsidTr="00C50CB4">
            <w:trPr>
              <w:trHeight w:val="1017"/>
            </w:trPr>
            <w:tc>
              <w:tcPr>
                <w:tcW w:w="1985" w:type="dxa"/>
                <w:shd w:val="clear" w:color="auto" w:fill="auto"/>
              </w:tcPr>
              <w:p w14:paraId="09F7D174"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032AF223"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The report aims to promote transparency towards stakeholders, providing information on progress achieved during the year in regional and cross-regional activities, challenges faced and guidance for the way forward.</w:t>
                </w:r>
              </w:p>
            </w:tc>
          </w:tr>
          <w:tr w:rsidR="00C50CB4" w:rsidRPr="00FF027F" w14:paraId="4E0CE64B" w14:textId="77777777" w:rsidTr="00C50CB4">
            <w:trPr>
              <w:trHeight w:val="780"/>
            </w:trPr>
            <w:tc>
              <w:tcPr>
                <w:tcW w:w="1985" w:type="dxa"/>
                <w:shd w:val="clear" w:color="auto" w:fill="auto"/>
              </w:tcPr>
              <w:p w14:paraId="58E740FC"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3AB4E315"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input from NRAs through ERI and GRI Coordination groups and timely completion of internal drafting and revision.</w:t>
                </w:r>
              </w:p>
              <w:p w14:paraId="487866CF"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Expected completion date of the Regional Initiatives Status Review Report 2015: December 2015.</w:t>
                </w:r>
              </w:p>
            </w:tc>
          </w:tr>
          <w:tr w:rsidR="00C50CB4" w:rsidRPr="00FF027F" w14:paraId="24077A8C" w14:textId="77777777" w:rsidTr="00C50CB4">
            <w:trPr>
              <w:trHeight w:val="535"/>
            </w:trPr>
            <w:tc>
              <w:tcPr>
                <w:tcW w:w="1985" w:type="dxa"/>
                <w:shd w:val="clear" w:color="auto" w:fill="auto"/>
              </w:tcPr>
              <w:p w14:paraId="5FEBB5F1"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Staff</w:t>
                </w:r>
              </w:p>
            </w:tc>
            <w:tc>
              <w:tcPr>
                <w:tcW w:w="7150" w:type="dxa"/>
                <w:shd w:val="clear" w:color="auto" w:fill="auto"/>
              </w:tcPr>
              <w:p w14:paraId="70AFD190"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0.6 FTE</w:t>
                </w:r>
              </w:p>
            </w:tc>
          </w:tr>
          <w:tr w:rsidR="00C50CB4" w:rsidRPr="00FF027F" w14:paraId="0121941B"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DF522CD"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5044F96C" w14:textId="77777777" w:rsidR="00C50CB4" w:rsidRPr="00FF027F" w:rsidRDefault="00C50CB4" w:rsidP="00417F8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The involvement of NRAs and national experts is essential to ensure the timely delivery of the report.</w:t>
                </w:r>
              </w:p>
            </w:tc>
          </w:tr>
        </w:tbl>
        <w:p w14:paraId="003B8A8E" w14:textId="77777777" w:rsidR="00C50CB4" w:rsidRPr="00FF027F" w:rsidRDefault="00C50CB4" w:rsidP="00C50CB4">
          <w:pPr>
            <w:jc w:val="both"/>
            <w:rPr>
              <w:lang w:val="en-GB"/>
            </w:rPr>
          </w:pPr>
        </w:p>
        <w:p w14:paraId="073F2CA7" w14:textId="77777777" w:rsidR="00C50CB4" w:rsidRPr="00FF027F" w:rsidRDefault="00C50CB4" w:rsidP="00C50CB4">
          <w:pPr>
            <w:pStyle w:val="Style2"/>
            <w:jc w:val="both"/>
          </w:pPr>
          <w:r w:rsidRPr="00FF027F">
            <w:t xml:space="preserve">Progress Reports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47832807" w14:textId="77777777" w:rsidTr="00C50CB4">
            <w:trPr>
              <w:trHeight w:val="520"/>
            </w:trPr>
            <w:tc>
              <w:tcPr>
                <w:tcW w:w="1985" w:type="dxa"/>
                <w:shd w:val="clear" w:color="auto" w:fill="002060"/>
              </w:tcPr>
              <w:p w14:paraId="1DA0B116" w14:textId="77777777" w:rsidR="00C50CB4" w:rsidRPr="00FF027F" w:rsidRDefault="00C50CB4" w:rsidP="00432964">
                <w:pPr>
                  <w:autoSpaceDE w:val="0"/>
                  <w:autoSpaceDN w:val="0"/>
                  <w:adjustRightInd w:val="0"/>
                  <w:spacing w:before="120" w:after="120" w:line="240" w:lineRule="auto"/>
                  <w:ind w:left="202"/>
                  <w:jc w:val="both"/>
                  <w:rPr>
                    <w:rFonts w:ascii="Arial" w:hAnsi="Arial" w:cs="Arial"/>
                    <w:b/>
                    <w:lang w:val="en-GB"/>
                  </w:rPr>
                </w:pPr>
                <w:r w:rsidRPr="00FF027F">
                  <w:rPr>
                    <w:rFonts w:ascii="Arial" w:hAnsi="Arial" w:cs="Arial"/>
                    <w:b/>
                    <w:lang w:val="en-GB"/>
                  </w:rPr>
                  <w:t>Deliverable</w:t>
                </w:r>
              </w:p>
            </w:tc>
            <w:tc>
              <w:tcPr>
                <w:tcW w:w="7150" w:type="dxa"/>
                <w:shd w:val="clear" w:color="auto" w:fill="002060"/>
              </w:tcPr>
              <w:p w14:paraId="38B65FBA" w14:textId="77777777" w:rsidR="00C50CB4" w:rsidRPr="00FF027F" w:rsidRDefault="00C50CB4" w:rsidP="00417F8A">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On-line progress reports on the activities of the Electricity Regional Initiative and the Gas Regional Initiative</w:t>
                </w:r>
              </w:p>
            </w:tc>
          </w:tr>
          <w:tr w:rsidR="00C50CB4" w:rsidRPr="00FF027F" w14:paraId="78653A7F" w14:textId="77777777" w:rsidTr="00C50CB4">
            <w:trPr>
              <w:trHeight w:val="392"/>
            </w:trPr>
            <w:tc>
              <w:tcPr>
                <w:tcW w:w="1985" w:type="dxa"/>
                <w:shd w:val="clear" w:color="auto" w:fill="auto"/>
              </w:tcPr>
              <w:p w14:paraId="0DA37CFF"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Legal basis</w:t>
                </w:r>
              </w:p>
            </w:tc>
            <w:tc>
              <w:tcPr>
                <w:tcW w:w="7150" w:type="dxa"/>
                <w:shd w:val="clear" w:color="auto" w:fill="auto"/>
              </w:tcPr>
              <w:p w14:paraId="53FEFE0E"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Several articles on regional cooperation in Regulations (EC) No 713/2009, (EC) No 714/2009 and (EC) No 715/2009</w:t>
                </w:r>
              </w:p>
            </w:tc>
          </w:tr>
          <w:tr w:rsidR="00C50CB4" w:rsidRPr="00FF027F" w14:paraId="113CF45C" w14:textId="77777777" w:rsidTr="00C50CB4">
            <w:trPr>
              <w:trHeight w:val="1017"/>
            </w:trPr>
            <w:tc>
              <w:tcPr>
                <w:tcW w:w="1985" w:type="dxa"/>
                <w:shd w:val="clear" w:color="auto" w:fill="auto"/>
              </w:tcPr>
              <w:p w14:paraId="5E820B0D"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Overview (status)</w:t>
                </w:r>
              </w:p>
            </w:tc>
            <w:tc>
              <w:tcPr>
                <w:tcW w:w="7150" w:type="dxa"/>
                <w:shd w:val="clear" w:color="auto" w:fill="auto"/>
              </w:tcPr>
              <w:p w14:paraId="3DEEE7BC" w14:textId="34E13392"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The online ERI and GRI </w:t>
                </w:r>
                <w:r w:rsidR="00B10589" w:rsidRPr="00FF027F">
                  <w:rPr>
                    <w:rFonts w:ascii="Arial" w:hAnsi="Arial" w:cs="Arial"/>
                    <w:lang w:val="en-GB"/>
                  </w:rPr>
                  <w:t xml:space="preserve">progress </w:t>
                </w:r>
                <w:r w:rsidRPr="00FF027F">
                  <w:rPr>
                    <w:rFonts w:ascii="Arial" w:hAnsi="Arial" w:cs="Arial"/>
                    <w:lang w:val="en-GB"/>
                  </w:rPr>
                  <w:t>reports are complementary to the Regional Initiatives Annual Status Review Report and allow for a more regular update on regional developments throughout the year.</w:t>
                </w:r>
              </w:p>
            </w:tc>
          </w:tr>
          <w:tr w:rsidR="00C50CB4" w:rsidRPr="00FF027F" w14:paraId="3A6BC201" w14:textId="77777777" w:rsidTr="00C50CB4">
            <w:trPr>
              <w:trHeight w:val="780"/>
            </w:trPr>
            <w:tc>
              <w:tcPr>
                <w:tcW w:w="1985" w:type="dxa"/>
                <w:shd w:val="clear" w:color="auto" w:fill="auto"/>
              </w:tcPr>
              <w:p w14:paraId="6A7737D3"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7AA581A6"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The reports aim to promote transparency towards stakeholders by regularly keeping track on progress in regional and cross-regional projects and activities.</w:t>
                </w:r>
              </w:p>
            </w:tc>
          </w:tr>
          <w:tr w:rsidR="00C50CB4" w:rsidRPr="00FF027F" w14:paraId="5DC81E2C" w14:textId="77777777" w:rsidTr="00C50CB4">
            <w:trPr>
              <w:trHeight w:val="535"/>
            </w:trPr>
            <w:tc>
              <w:tcPr>
                <w:tcW w:w="1985" w:type="dxa"/>
                <w:shd w:val="clear" w:color="auto" w:fill="auto"/>
              </w:tcPr>
              <w:p w14:paraId="52FE6E37" w14:textId="77777777" w:rsidR="00C50CB4" w:rsidRPr="00FF027F" w:rsidRDefault="00C50CB4" w:rsidP="004D377C">
                <w:pPr>
                  <w:spacing w:before="120" w:after="120" w:line="240" w:lineRule="auto"/>
                  <w:ind w:left="202"/>
                  <w:jc w:val="both"/>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05D70342"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Adequate input by NRAs and timely drafting and publication of reports by the Agency.</w:t>
                </w:r>
              </w:p>
              <w:p w14:paraId="24A4B533" w14:textId="77777777" w:rsidR="00C50CB4" w:rsidRPr="00FF027F" w:rsidRDefault="00C50CB4" w:rsidP="00417F8A">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Expected timeframes: Spring and Autumn 2015.</w:t>
                </w:r>
              </w:p>
            </w:tc>
          </w:tr>
          <w:tr w:rsidR="00C50CB4" w:rsidRPr="00FF027F" w14:paraId="0A031E9D"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13A641C"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Staff</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181F761E" w14:textId="77777777" w:rsidR="00C50CB4" w:rsidRPr="00FF027F" w:rsidRDefault="00C50CB4" w:rsidP="00417F8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0.2 FTE</w:t>
                </w:r>
              </w:p>
            </w:tc>
          </w:tr>
          <w:tr w:rsidR="00C50CB4" w:rsidRPr="00FF027F" w14:paraId="5ECB1400"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4BA2BFA" w14:textId="77777777" w:rsidR="00C50CB4" w:rsidRPr="00FF027F" w:rsidRDefault="00C50CB4" w:rsidP="00432964">
                <w:pPr>
                  <w:spacing w:before="120" w:after="120"/>
                  <w:ind w:left="202"/>
                  <w:jc w:val="both"/>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6535DF79" w14:textId="77777777" w:rsidR="00C50CB4" w:rsidRPr="00FF027F" w:rsidRDefault="00C50CB4" w:rsidP="00417F8A">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The involvement of NRAs and national experts is essential to ensure the timely delivery of the reports.</w:t>
                </w:r>
              </w:p>
            </w:tc>
          </w:tr>
        </w:tbl>
        <w:p w14:paraId="2FCB252F" w14:textId="77777777" w:rsidR="00483A63" w:rsidRPr="00FF027F" w:rsidRDefault="002316F5" w:rsidP="00483A63">
          <w:pPr>
            <w:pStyle w:val="Heading2"/>
            <w:rPr>
              <w:color w:val="FF0000"/>
              <w:szCs w:val="32"/>
            </w:rPr>
          </w:pPr>
          <w:bookmarkStart w:id="83" w:name="_Toc396913789"/>
          <w:r w:rsidRPr="00FF027F">
            <w:t>TSO Cooperation</w:t>
          </w:r>
          <w:bookmarkEnd w:id="83"/>
          <w:r w:rsidRPr="00FF027F">
            <w:t xml:space="preserve"> </w:t>
          </w:r>
        </w:p>
        <w:p w14:paraId="1F5E461B" w14:textId="10357042" w:rsidR="00C50CB4" w:rsidRPr="00FF027F" w:rsidRDefault="00C50CB4" w:rsidP="00432964">
          <w:pPr>
            <w:spacing w:before="360" w:after="240" w:line="360" w:lineRule="auto"/>
            <w:jc w:val="both"/>
            <w:rPr>
              <w:rFonts w:ascii="Arial" w:eastAsia="Calibri" w:hAnsi="Arial" w:cs="Arial"/>
              <w:lang w:val="en-GB"/>
            </w:rPr>
          </w:pPr>
          <w:r w:rsidRPr="00FF027F">
            <w:rPr>
              <w:rFonts w:ascii="Arial" w:eastAsia="Times New Roman" w:hAnsi="Arial" w:cs="Arial"/>
              <w:lang w:val="en-GB"/>
            </w:rPr>
            <w:t xml:space="preserve">The tasks related to the Agency’s work on TSO cooperation, pursuant to Article 6 </w:t>
          </w:r>
          <w:r w:rsidRPr="00FF027F">
            <w:rPr>
              <w:rFonts w:ascii="Arial" w:eastAsia="Calibri" w:hAnsi="Arial" w:cs="Arial"/>
              <w:lang w:val="en-GB"/>
            </w:rPr>
            <w:t xml:space="preserve">of </w:t>
          </w:r>
          <w:r w:rsidR="00010B26" w:rsidRPr="00FF027F">
            <w:rPr>
              <w:rFonts w:ascii="Arial" w:eastAsia="Calibri" w:hAnsi="Arial" w:cs="Arial"/>
              <w:lang w:val="en-GB"/>
            </w:rPr>
            <w:t xml:space="preserve">the Agency </w:t>
          </w:r>
          <w:r w:rsidRPr="00FF027F">
            <w:rPr>
              <w:rFonts w:ascii="Arial" w:eastAsia="Calibri" w:hAnsi="Arial" w:cs="Arial"/>
              <w:lang w:val="en-GB"/>
            </w:rPr>
            <w:t>Regulation, consist in formulating opinions on draft statutes, list of members and draft rules of procedure of the ENTSOs; formulating opinions on draft annual work programmes, draft Community-wide TYNDPs and other ENTSO’s relevant documents (e.g. annual Summer and Winter supply outlooks); monitoring the execution of tasks of ENTSOs, monitoring progress of new interconnector projects, the implementation of TYNDPs and regional cooperation of TSOs.</w:t>
          </w:r>
        </w:p>
        <w:p w14:paraId="63E07CAB" w14:textId="77777777" w:rsidR="00483A63" w:rsidRPr="00FF027F" w:rsidRDefault="002316F5" w:rsidP="00483A63">
          <w:pPr>
            <w:pStyle w:val="Heading3"/>
            <w:rPr>
              <w:color w:val="4F81BD" w:themeColor="accent1"/>
            </w:rPr>
          </w:pPr>
          <w:bookmarkStart w:id="84" w:name="_Toc396913790"/>
          <w:r w:rsidRPr="00FF027F">
            <w:rPr>
              <w:color w:val="4F81BD" w:themeColor="accent1"/>
            </w:rPr>
            <w:t>Electricity</w:t>
          </w:r>
          <w:bookmarkEnd w:id="84"/>
          <w:r w:rsidR="00CD3F89" w:rsidRPr="00FF027F">
            <w:rPr>
              <w:color w:val="4F81BD" w:themeColor="accent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C50CB4" w:rsidRPr="00FF027F" w14:paraId="4F961956" w14:textId="77777777" w:rsidTr="00C50CB4">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002060"/>
              </w:tcPr>
              <w:p w14:paraId="2E190529"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Deliverables</w:t>
                </w:r>
              </w:p>
            </w:tc>
            <w:tc>
              <w:tcPr>
                <w:tcW w:w="7150" w:type="dxa"/>
                <w:tcBorders>
                  <w:top w:val="single" w:sz="4" w:space="0" w:color="auto"/>
                  <w:left w:val="single" w:sz="4" w:space="0" w:color="auto"/>
                  <w:bottom w:val="single" w:sz="4" w:space="0" w:color="auto"/>
                  <w:right w:val="single" w:sz="4" w:space="0" w:color="auto"/>
                </w:tcBorders>
                <w:shd w:val="clear" w:color="auto" w:fill="002060"/>
              </w:tcPr>
              <w:p w14:paraId="10E7CBEA"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Annual monitoring report on the implementation and management of the inter-TSO compensation fund </w:t>
                </w:r>
              </w:p>
              <w:p w14:paraId="27869791"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ENTSO-E’s annual work programme and ENTSO-E’s annual report</w:t>
                </w:r>
              </w:p>
              <w:p w14:paraId="71715B0F"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ENTSO-E’s annual Summer and Winter supply outlooks</w:t>
                </w:r>
              </w:p>
              <w:p w14:paraId="24BF2FEF"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ENTSO-E’s common network operation tools including a common incidents classification scale</w:t>
                </w:r>
              </w:p>
              <w:p w14:paraId="559EA370"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 on ENTSO-E’s research and development plan</w:t>
                </w:r>
              </w:p>
              <w:p w14:paraId="41F0E1B2"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 on the electricity national ten-year network development plans to assess their consistency with the Community–wide network development plan and (if appropriate) recommendations to amend the national ten-year network development plans or the Community-wide network development plan</w:t>
                </w:r>
              </w:p>
              <w:p w14:paraId="510F339E"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 on ENTSO-E’s recommendations relating to the coordination of technical cooperation between Community and third-country transmission system operators</w:t>
                </w:r>
              </w:p>
              <w:p w14:paraId="4F3C18F4"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 on monitoring the implementation of the electricity Community–wide TYNDP and the progress as regards the implementation of projects to create new interconnector capacity</w:t>
                </w:r>
              </w:p>
            </w:tc>
          </w:tr>
          <w:tr w:rsidR="00C50CB4" w:rsidRPr="00FF027F" w14:paraId="3ECE15D1" w14:textId="77777777" w:rsidTr="00C50CB4">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C56EA22"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Legal basis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3D60F7CA"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1(4) of Annex Part A, Commission Regulation (EU) No 838/2010</w:t>
                </w:r>
              </w:p>
              <w:p w14:paraId="4C0EC744"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Articles 6(3)(b) and 6(4) of Regulation (EC) No 713/2009 in conjunction with Articles 8(3)(d) and 8(3)(e) of Regulation (EC) No 714/2009</w:t>
                </w:r>
              </w:p>
              <w:p w14:paraId="6DFF4F19"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6(3)(b) of Regulation (EC) No 713/2009 in conjunction with Article 8(3)(f) of Regulation (EC) No 714/2009</w:t>
                </w:r>
              </w:p>
              <w:p w14:paraId="768A5249"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6(3)(b) of Regulation (EC) No 713/2009 in conjunction with Article 8(3)(a) of Regulation (EC) No 714/2009</w:t>
                </w:r>
              </w:p>
              <w:p w14:paraId="3383C36A"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6(3)(b) of Regulation (EC) No 713/2009 in conjunction with Article 8(3)(a) of Regulation (EC) No 714/2009</w:t>
                </w:r>
              </w:p>
              <w:p w14:paraId="60EC8DF3"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8(11) of Regulation (EC) No 714/2009</w:t>
                </w:r>
              </w:p>
              <w:p w14:paraId="6E0E9850"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6(3)(b) of Regulation (EC) No 713/2009 in conjunction with Article 8(3)(c) of Regulation (EC) No 714/2009</w:t>
                </w:r>
              </w:p>
              <w:p w14:paraId="40F62AA0"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Articles 6(7) and 6(8) of Regulation (EC) No 713/2009</w:t>
                </w:r>
              </w:p>
            </w:tc>
          </w:tr>
          <w:tr w:rsidR="00C50CB4" w:rsidRPr="00FF027F" w14:paraId="2689069E" w14:textId="77777777" w:rsidTr="00C50CB4">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327B6AA"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25975307"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Annual monitoring report on ITC, opinions on ENTSO-E’s annual work programme and ENTSO-E’s annual report, on ENTSO-E’s annual Summer and Winter supply outlooks, on ENTSO-E’s research and development plan, on the electricity national ten-year network development plans, on monitoring the implementation of the electricity Community–wide TYNDP </w:t>
                </w:r>
                <w:r w:rsidR="00690A1E" w:rsidRPr="00FF027F">
                  <w:rPr>
                    <w:rFonts w:ascii="Arial" w:hAnsi="Arial" w:cs="Arial"/>
                    <w:lang w:val="en-GB"/>
                  </w:rPr>
                  <w:t xml:space="preserve">were already </w:t>
                </w:r>
                <w:r w:rsidRPr="00FF027F">
                  <w:rPr>
                    <w:rFonts w:ascii="Arial" w:hAnsi="Arial" w:cs="Arial"/>
                    <w:lang w:val="en-GB"/>
                  </w:rPr>
                  <w:t>prepared in the last years (2012 and/or 2013 and/or 2014)</w:t>
                </w:r>
                <w:r w:rsidR="00690A1E" w:rsidRPr="00FF027F">
                  <w:rPr>
                    <w:rFonts w:ascii="Arial" w:hAnsi="Arial" w:cs="Arial"/>
                    <w:lang w:val="en-GB"/>
                  </w:rPr>
                  <w:t>.</w:t>
                </w:r>
              </w:p>
              <w:p w14:paraId="39590106"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Activities about opinions on ENTSO-E documents to be carried out upon submission of the relevant documents by ENTSO-E</w:t>
                </w:r>
                <w:r w:rsidR="00690A1E" w:rsidRPr="00FF027F">
                  <w:rPr>
                    <w:rFonts w:ascii="Arial" w:hAnsi="Arial" w:cs="Arial"/>
                    <w:lang w:val="en-GB"/>
                  </w:rPr>
                  <w:t>.</w:t>
                </w:r>
              </w:p>
            </w:tc>
          </w:tr>
          <w:tr w:rsidR="00C50CB4" w:rsidRPr="00FF027F" w14:paraId="02840839" w14:textId="77777777" w:rsidTr="00C50CB4">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1CFA127"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4566597E" w14:textId="36B53DE9"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Annual monitoring report on ITC and opinions</w:t>
                </w:r>
                <w:r w:rsidR="00F97774" w:rsidRPr="00FF027F">
                  <w:rPr>
                    <w:rFonts w:ascii="Arial" w:hAnsi="Arial" w:cs="Arial"/>
                    <w:lang w:val="en-GB"/>
                  </w:rPr>
                  <w:t>.</w:t>
                </w:r>
              </w:p>
            </w:tc>
          </w:tr>
          <w:tr w:rsidR="00C50CB4" w:rsidRPr="00FF027F" w14:paraId="11395488" w14:textId="77777777" w:rsidTr="00C50CB4">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1E3C3732"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071E2D65"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and quality of the documents</w:t>
                </w:r>
                <w:r w:rsidR="00690A1E" w:rsidRPr="00FF027F">
                  <w:rPr>
                    <w:rFonts w:ascii="Arial" w:hAnsi="Arial" w:cs="Arial"/>
                    <w:lang w:val="en-GB"/>
                  </w:rPr>
                  <w:t>.</w:t>
                </w:r>
              </w:p>
              <w:p w14:paraId="2BC036F6"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Monitoring report on 2014 ITC implementation: October 2015.</w:t>
                </w:r>
              </w:p>
              <w:p w14:paraId="080948D9" w14:textId="066E8AFB"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Opinion on ENTSO-E’s Work Programme: within two months after receipt of the document by ENTSO-E</w:t>
                </w:r>
                <w:r w:rsidR="008F5D02" w:rsidRPr="00FF027F">
                  <w:rPr>
                    <w:rFonts w:ascii="Arial" w:hAnsi="Arial" w:cs="Arial"/>
                    <w:lang w:val="en-GB"/>
                  </w:rPr>
                  <w:t>.</w:t>
                </w:r>
              </w:p>
              <w:p w14:paraId="673C5943"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Opinion on ENTSO-E’s other documents: after receipt of the document by ENTSO-E.</w:t>
                </w:r>
              </w:p>
            </w:tc>
          </w:tr>
          <w:tr w:rsidR="00C50CB4" w:rsidRPr="00FF027F" w14:paraId="5DAFA382" w14:textId="77777777" w:rsidTr="00C50CB4">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F6C9C2D"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Staff</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64B06215"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3.6 FTE</w:t>
                </w:r>
              </w:p>
            </w:tc>
          </w:tr>
          <w:tr w:rsidR="00C50CB4" w:rsidRPr="00FF027F" w14:paraId="325AF61E" w14:textId="77777777" w:rsidTr="00C50CB4">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62090F0"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1A651172"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The delivery is subject to the release of corresponding documents by ENTSO-E and to the availability of resources</w:t>
                </w:r>
                <w:r w:rsidR="00690A1E" w:rsidRPr="00FF027F">
                  <w:rPr>
                    <w:rFonts w:ascii="Arial" w:hAnsi="Arial" w:cs="Arial"/>
                    <w:lang w:val="en-GB"/>
                  </w:rPr>
                  <w:t>.</w:t>
                </w:r>
              </w:p>
            </w:tc>
          </w:tr>
        </w:tbl>
        <w:p w14:paraId="66A09D1C" w14:textId="147BF6F2" w:rsidR="00483A63" w:rsidRPr="00FF027F" w:rsidRDefault="009632CD" w:rsidP="002650DA">
          <w:pPr>
            <w:pStyle w:val="Heading3"/>
            <w:rPr>
              <w:rStyle w:val="Heading5Char"/>
              <w:rFonts w:cs="Times New Roman Bold"/>
              <w:b/>
              <w:bCs/>
              <w:i w:val="0"/>
              <w:iCs w:val="0"/>
              <w:color w:val="4F81BD" w:themeColor="accent1"/>
              <w:szCs w:val="24"/>
              <w:lang w:eastAsia="en-US"/>
            </w:rPr>
          </w:pPr>
          <w:r w:rsidRPr="00FF027F">
            <w:rPr>
              <w:rStyle w:val="Heading5Char"/>
              <w:rFonts w:cs="Times New Roman Bold"/>
              <w:b/>
              <w:bCs/>
              <w:i w:val="0"/>
              <w:iCs w:val="0"/>
              <w:color w:val="4F81BD" w:themeColor="accent1"/>
              <w:szCs w:val="24"/>
              <w:lang w:eastAsia="en-US"/>
            </w:rPr>
            <w:tab/>
          </w:r>
          <w:bookmarkStart w:id="85" w:name="_Toc396913791"/>
          <w:r w:rsidRPr="00FF027F">
            <w:rPr>
              <w:rStyle w:val="Heading5Char"/>
              <w:rFonts w:cs="Times New Roman Bold"/>
              <w:b/>
              <w:bCs/>
              <w:i w:val="0"/>
              <w:iCs w:val="0"/>
              <w:color w:val="4F81BD" w:themeColor="accent1"/>
              <w:szCs w:val="24"/>
              <w:lang w:eastAsia="en-US"/>
            </w:rPr>
            <w:t>Gas</w:t>
          </w:r>
          <w:bookmarkEnd w:id="85"/>
          <w:r w:rsidR="00CD3F89" w:rsidRPr="00FF027F">
            <w:rPr>
              <w:rStyle w:val="Heading5Char"/>
              <w:rFonts w:cs="Times New Roman Bold"/>
              <w:b/>
              <w:bCs/>
              <w:i w:val="0"/>
              <w:iCs w:val="0"/>
              <w:color w:val="4F81BD" w:themeColor="accent1"/>
              <w:szCs w:val="24"/>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2316F5" w:rsidRPr="00FF027F" w14:paraId="7F5AF12F" w14:textId="77777777" w:rsidTr="002316F5">
            <w:trPr>
              <w:trHeight w:val="520"/>
            </w:trPr>
            <w:tc>
              <w:tcPr>
                <w:tcW w:w="1985" w:type="dxa"/>
                <w:shd w:val="clear" w:color="auto" w:fill="002060"/>
              </w:tcPr>
              <w:p w14:paraId="77E84FF1" w14:textId="77777777" w:rsidR="002316F5" w:rsidRPr="00FF027F" w:rsidRDefault="002316F5"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r w:rsidR="009632CD" w:rsidRPr="00FF027F">
                  <w:rPr>
                    <w:rFonts w:ascii="Arial" w:hAnsi="Arial" w:cs="Arial"/>
                    <w:b/>
                    <w:lang w:val="en-GB"/>
                  </w:rPr>
                  <w:t>s</w:t>
                </w:r>
              </w:p>
            </w:tc>
            <w:tc>
              <w:tcPr>
                <w:tcW w:w="7150" w:type="dxa"/>
                <w:shd w:val="clear" w:color="auto" w:fill="002060"/>
              </w:tcPr>
              <w:p w14:paraId="264FD1CE" w14:textId="77777777" w:rsidR="009632CD" w:rsidRPr="00FF027F" w:rsidRDefault="009632CD"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 on ENTSOG’s TYNDP 2015-2024</w:t>
                </w:r>
              </w:p>
              <w:p w14:paraId="5F308C0C" w14:textId="77777777" w:rsidR="009632CD" w:rsidRPr="00FF027F" w:rsidRDefault="009632CD"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ENTSOG’s annual work programme and ENTSOG’s annual report;</w:t>
                </w:r>
              </w:p>
              <w:p w14:paraId="64799BBF" w14:textId="77777777" w:rsidR="009632CD" w:rsidRPr="00FF027F" w:rsidRDefault="009632CD"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ENTSOG’s common network operation tools including a common incidents classification scale and research plans;</w:t>
                </w:r>
              </w:p>
              <w:p w14:paraId="2858E41A" w14:textId="77777777" w:rsidR="009632CD" w:rsidRPr="00FF027F" w:rsidRDefault="009632CD"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ENTSOG’s annual Summer and Winter supply outlooks;</w:t>
                </w:r>
              </w:p>
              <w:p w14:paraId="75337AA1" w14:textId="77777777" w:rsidR="009632CD" w:rsidRPr="00FF027F" w:rsidRDefault="009632CD"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 xml:space="preserve">Reviews and recommendations on national TYNDPs regarding their (in)consistency with the Community-wide TYNDP; </w:t>
                </w:r>
              </w:p>
              <w:p w14:paraId="52F473BD" w14:textId="77777777" w:rsidR="009632CD" w:rsidRPr="00FF027F" w:rsidRDefault="009632CD"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ENTSOG’s recommendations relating to the coordination of technical cooperation between Community and third-country transmission system operators;</w:t>
                </w:r>
              </w:p>
              <w:p w14:paraId="0709003E" w14:textId="77777777" w:rsidR="00FA0CE4" w:rsidRPr="00FF027F" w:rsidRDefault="009632CD"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Report on monitoring the implementation of the Community-wide TYNDP and the progress as regards the implementation of projects to create new interconnector capacity.</w:t>
                </w:r>
              </w:p>
            </w:tc>
          </w:tr>
          <w:tr w:rsidR="006E61E9" w:rsidRPr="00FF027F" w14:paraId="76A63A7D" w14:textId="77777777" w:rsidTr="002316F5">
            <w:trPr>
              <w:trHeight w:val="504"/>
            </w:trPr>
            <w:tc>
              <w:tcPr>
                <w:tcW w:w="1985" w:type="dxa"/>
                <w:shd w:val="clear" w:color="auto" w:fill="auto"/>
              </w:tcPr>
              <w:p w14:paraId="5EE38DC9" w14:textId="77777777" w:rsidR="006E61E9" w:rsidRPr="00FF027F" w:rsidRDefault="006E61E9" w:rsidP="00690A1E">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5AC33FA5" w14:textId="4EA1FFB0"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For all deliverables: Article 6(3)(b) Regulation (EC) 713/2009</w:t>
                </w:r>
                <w:r w:rsidR="002650DA" w:rsidRPr="00FF027F">
                  <w:rPr>
                    <w:rFonts w:ascii="Arial" w:hAnsi="Arial" w:cs="Arial"/>
                    <w:lang w:val="en-GB"/>
                  </w:rPr>
                  <w:t>.</w:t>
                </w:r>
                <w:r w:rsidRPr="00FF027F">
                  <w:rPr>
                    <w:rFonts w:ascii="Arial" w:hAnsi="Arial" w:cs="Arial"/>
                    <w:lang w:val="en-GB"/>
                  </w:rPr>
                  <w:t xml:space="preserve"> </w:t>
                </w:r>
              </w:p>
              <w:p w14:paraId="400A9A43" w14:textId="37DAEBC3" w:rsidR="006E61E9" w:rsidRPr="00FF027F" w:rsidRDefault="006E61E9" w:rsidP="004D377C">
                <w:pPr>
                  <w:spacing w:before="120" w:after="120" w:line="240" w:lineRule="auto"/>
                  <w:ind w:left="202"/>
                  <w:rPr>
                    <w:lang w:val="en-GB"/>
                  </w:rPr>
                </w:pPr>
                <w:r w:rsidRPr="00FF027F">
                  <w:rPr>
                    <w:rFonts w:ascii="Arial" w:hAnsi="Arial" w:cs="Arial"/>
                    <w:lang w:val="en-GB"/>
                  </w:rPr>
                  <w:t>For Work Programme and TYNDP: Article 6(4) Regulation (EC) 713/2009 and Article 9(2) Regulation (EC) 715/2009</w:t>
                </w:r>
                <w:r w:rsidR="002650DA" w:rsidRPr="00FF027F">
                  <w:rPr>
                    <w:rFonts w:ascii="Arial" w:hAnsi="Arial" w:cs="Arial"/>
                    <w:lang w:val="en-GB"/>
                  </w:rPr>
                  <w:t>.</w:t>
                </w:r>
                <w:r w:rsidRPr="00FF027F">
                  <w:rPr>
                    <w:lang w:val="en-GB"/>
                  </w:rPr>
                  <w:t xml:space="preserve"> </w:t>
                </w:r>
              </w:p>
              <w:p w14:paraId="0F6D7ECD" w14:textId="2FC25E22" w:rsidR="00F05D94" w:rsidRPr="00FF027F" w:rsidRDefault="00F05D94" w:rsidP="004D377C">
                <w:pPr>
                  <w:spacing w:before="120" w:after="120" w:line="240" w:lineRule="auto"/>
                  <w:ind w:left="202"/>
                  <w:rPr>
                    <w:rFonts w:ascii="Arial" w:hAnsi="Arial" w:cs="Arial"/>
                    <w:lang w:val="en-GB"/>
                  </w:rPr>
                </w:pPr>
                <w:r w:rsidRPr="00FF027F">
                  <w:rPr>
                    <w:rFonts w:ascii="Arial" w:hAnsi="Arial" w:cs="Arial"/>
                    <w:lang w:val="en-GB"/>
                  </w:rPr>
                  <w:t>For Opinions on ENTSOG’s common network operation tools including a common incidents classification scale and research plans: Article 8(3)a of Regulation 715</w:t>
                </w:r>
                <w:r w:rsidR="002650DA" w:rsidRPr="00FF027F">
                  <w:rPr>
                    <w:rFonts w:ascii="Arial" w:hAnsi="Arial" w:cs="Arial"/>
                    <w:lang w:val="en-GB"/>
                  </w:rPr>
                  <w:t>.</w:t>
                </w:r>
              </w:p>
            </w:tc>
          </w:tr>
          <w:tr w:rsidR="006E61E9" w:rsidRPr="00FF027F" w14:paraId="05B6C477" w14:textId="77777777" w:rsidTr="002316F5">
            <w:trPr>
              <w:trHeight w:val="392"/>
            </w:trPr>
            <w:tc>
              <w:tcPr>
                <w:tcW w:w="1985" w:type="dxa"/>
                <w:shd w:val="clear" w:color="auto" w:fill="auto"/>
              </w:tcPr>
              <w:p w14:paraId="621EBA34" w14:textId="77777777"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4FDA5334" w14:textId="77777777" w:rsidR="006E61E9" w:rsidRPr="00FF027F" w:rsidRDefault="006E61E9" w:rsidP="004D377C">
                <w:pPr>
                  <w:spacing w:before="120" w:after="120" w:line="240" w:lineRule="auto"/>
                  <w:ind w:left="202"/>
                  <w:rPr>
                    <w:rFonts w:ascii="Arial" w:eastAsia="Times New Roman" w:hAnsi="Arial" w:cs="Arial"/>
                    <w:b/>
                    <w:iCs/>
                    <w:lang w:val="en-GB"/>
                  </w:rPr>
                </w:pPr>
                <w:r w:rsidRPr="00FF027F">
                  <w:rPr>
                    <w:rFonts w:ascii="Arial" w:hAnsi="Arial" w:cs="Arial"/>
                    <w:lang w:val="en-GB"/>
                  </w:rPr>
                  <w:t xml:space="preserve">Opinions on submitted documents have been regularly delivered during the previous years, except for opinions on network operation tools including a common incidents classification scale and research plans and recommendations relating to the coordination of technical cooperation between Community and third-country transmission system operators, which were not submitted to the Agency by ENTSOG. </w:t>
                </w:r>
              </w:p>
            </w:tc>
          </w:tr>
          <w:tr w:rsidR="006E61E9" w:rsidRPr="00FF027F" w14:paraId="30774493" w14:textId="77777777" w:rsidTr="002316F5">
            <w:trPr>
              <w:trHeight w:val="1017"/>
            </w:trPr>
            <w:tc>
              <w:tcPr>
                <w:tcW w:w="1985" w:type="dxa"/>
                <w:shd w:val="clear" w:color="auto" w:fill="auto"/>
              </w:tcPr>
              <w:p w14:paraId="4F9BC326" w14:textId="77777777"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259A724E" w14:textId="41B57280"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 xml:space="preserve">ACER will deliver its opinion within two months from the day of receipt </w:t>
                </w:r>
                <w:r w:rsidR="002650DA" w:rsidRPr="00FF027F">
                  <w:rPr>
                    <w:rFonts w:ascii="Arial" w:hAnsi="Arial" w:cs="Arial"/>
                    <w:lang w:val="en-GB"/>
                  </w:rPr>
                  <w:t xml:space="preserve">of the 2015 Work Programme and the draft TYNDP from ENTSOG </w:t>
                </w:r>
                <w:r w:rsidRPr="00FF027F">
                  <w:rPr>
                    <w:rFonts w:ascii="Arial" w:hAnsi="Arial" w:cs="Arial"/>
                    <w:lang w:val="en-GB"/>
                  </w:rPr>
                  <w:t xml:space="preserve">(the work will be performed by ACER staff in close cooperation with the relevant ACER working group). </w:t>
                </w:r>
              </w:p>
              <w:p w14:paraId="311FEA96" w14:textId="77777777"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 xml:space="preserve">Other opinions will be provided upon receipt from ENTSOG of the relevant documents, within a reasonable time (usually two to three months). </w:t>
                </w:r>
              </w:p>
            </w:tc>
          </w:tr>
          <w:tr w:rsidR="006E61E9" w:rsidRPr="00FF027F" w14:paraId="7FB69AB6" w14:textId="77777777" w:rsidTr="002316F5">
            <w:trPr>
              <w:trHeight w:val="780"/>
            </w:trPr>
            <w:tc>
              <w:tcPr>
                <w:tcW w:w="1985" w:type="dxa"/>
                <w:shd w:val="clear" w:color="auto" w:fill="auto"/>
              </w:tcPr>
              <w:p w14:paraId="6A8E8B33" w14:textId="77777777"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1A5D1335" w14:textId="5011D659"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Timely delivery of the reports and opinions</w:t>
                </w:r>
                <w:r w:rsidR="002650DA" w:rsidRPr="00FF027F">
                  <w:rPr>
                    <w:rFonts w:ascii="Arial" w:hAnsi="Arial" w:cs="Arial"/>
                    <w:lang w:val="en-GB"/>
                  </w:rPr>
                  <w:t>.</w:t>
                </w:r>
              </w:p>
            </w:tc>
          </w:tr>
          <w:tr w:rsidR="006E61E9" w:rsidRPr="00FF027F" w14:paraId="74AD768B" w14:textId="77777777" w:rsidTr="002316F5">
            <w:trPr>
              <w:trHeight w:val="535"/>
            </w:trPr>
            <w:tc>
              <w:tcPr>
                <w:tcW w:w="1985" w:type="dxa"/>
                <w:shd w:val="clear" w:color="auto" w:fill="auto"/>
              </w:tcPr>
              <w:p w14:paraId="1B5A3CBE" w14:textId="77777777" w:rsidR="006E61E9" w:rsidRPr="00FF027F" w:rsidRDefault="006E61E9" w:rsidP="00690A1E">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6FD90BFA" w14:textId="77777777" w:rsidR="006E61E9" w:rsidRPr="00FF027F" w:rsidRDefault="006E61E9" w:rsidP="004D377C">
                <w:pPr>
                  <w:spacing w:before="120" w:after="120" w:line="240" w:lineRule="auto"/>
                  <w:ind w:left="202"/>
                  <w:rPr>
                    <w:rFonts w:ascii="Arial" w:hAnsi="Arial" w:cs="Arial"/>
                    <w:lang w:val="en-GB"/>
                  </w:rPr>
                </w:pPr>
                <w:r w:rsidRPr="00FF027F">
                  <w:rPr>
                    <w:rFonts w:ascii="Arial" w:hAnsi="Arial" w:cs="Arial"/>
                    <w:lang w:val="en-GB"/>
                  </w:rPr>
                  <w:t>3.3 FTE</w:t>
                </w:r>
              </w:p>
            </w:tc>
          </w:tr>
          <w:tr w:rsidR="006E61E9" w:rsidRPr="00FF027F" w14:paraId="245D1ECA" w14:textId="77777777" w:rsidTr="002316F5">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3DA9B519" w14:textId="77777777" w:rsidR="006E61E9" w:rsidRPr="00FF027F" w:rsidRDefault="006E61E9" w:rsidP="00690A1E">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32954AA3" w14:textId="77777777" w:rsidR="006E61E9" w:rsidRPr="00FF027F" w:rsidRDefault="006E61E9" w:rsidP="004D377C">
                <w:pPr>
                  <w:spacing w:before="120" w:after="120" w:line="240" w:lineRule="auto"/>
                  <w:ind w:left="202"/>
                  <w:rPr>
                    <w:rFonts w:ascii="Arial" w:eastAsia="Times New Roman" w:hAnsi="Arial" w:cs="Arial"/>
                    <w:iCs/>
                    <w:lang w:val="en-GB"/>
                  </w:rPr>
                </w:pPr>
                <w:r w:rsidRPr="00FF027F">
                  <w:rPr>
                    <w:rFonts w:ascii="Arial" w:hAnsi="Arial" w:cs="Arial"/>
                    <w:lang w:val="en-GB"/>
                  </w:rPr>
                  <w:t xml:space="preserve">The delivery is subject to the release of corresponding documents by ENTSOG and to the availability of resources (taking into account the possible re-prioritisation of activities for the tasks of Regulation (EU) No 347/2013). </w:t>
                </w:r>
              </w:p>
            </w:tc>
          </w:tr>
        </w:tbl>
        <w:p w14:paraId="2373017A" w14:textId="77777777" w:rsidR="002316F5" w:rsidRPr="00FF027F" w:rsidRDefault="009632CD" w:rsidP="00C3063B">
          <w:pPr>
            <w:pStyle w:val="Heading2"/>
            <w:spacing w:before="600"/>
            <w:ind w:left="86"/>
            <w:rPr>
              <w:rFonts w:eastAsia="Calibri"/>
            </w:rPr>
          </w:pPr>
          <w:bookmarkStart w:id="86" w:name="_Toc396913792"/>
          <w:r w:rsidRPr="00FF027F">
            <w:rPr>
              <w:rFonts w:eastAsia="Calibri"/>
            </w:rPr>
            <w:t>Guidelines for Trans-European Energy Infrastructure</w:t>
          </w:r>
          <w:bookmarkEnd w:id="86"/>
          <w:r w:rsidRPr="00FF027F">
            <w:rPr>
              <w:rFonts w:eastAsia="Calibri"/>
            </w:rPr>
            <w:t xml:space="preserve">  </w:t>
          </w:r>
        </w:p>
        <w:p w14:paraId="0E0C73D9" w14:textId="0A2DE997" w:rsidR="00C50CB4" w:rsidRPr="00FF027F" w:rsidRDefault="00C50CB4" w:rsidP="00690A1E">
          <w:pPr>
            <w:pStyle w:val="Default"/>
            <w:spacing w:before="360" w:after="240"/>
            <w:jc w:val="both"/>
            <w:rPr>
              <w:rFonts w:ascii="Arial" w:hAnsi="Arial" w:cs="Arial"/>
              <w:sz w:val="22"/>
              <w:szCs w:val="22"/>
              <w:lang w:val="en-GB"/>
            </w:rPr>
          </w:pPr>
          <w:r w:rsidRPr="00FF027F">
            <w:rPr>
              <w:rFonts w:ascii="Arial" w:hAnsi="Arial" w:cs="Arial"/>
              <w:sz w:val="22"/>
              <w:szCs w:val="22"/>
              <w:lang w:val="en-GB"/>
            </w:rPr>
            <w:t xml:space="preserve">The TEN-E Regulation assigned various new tasks to the Agency in the field of infrastructure development. However </w:t>
          </w:r>
          <w:r w:rsidR="00BB16BC" w:rsidRPr="00FF027F">
            <w:rPr>
              <w:rFonts w:ascii="Arial" w:hAnsi="Arial" w:cs="Arial"/>
              <w:sz w:val="22"/>
              <w:szCs w:val="22"/>
              <w:lang w:val="en-GB"/>
            </w:rPr>
            <w:t xml:space="preserve">the </w:t>
          </w:r>
          <w:r w:rsidRPr="00FF027F">
            <w:rPr>
              <w:rFonts w:ascii="Arial" w:hAnsi="Arial" w:cs="Arial"/>
              <w:sz w:val="22"/>
              <w:szCs w:val="22"/>
              <w:lang w:val="en-GB"/>
            </w:rPr>
            <w:t xml:space="preserve">resources assigned to the Agency have been insufficient and </w:t>
          </w:r>
          <w:r w:rsidR="00BB16BC" w:rsidRPr="00FF027F">
            <w:rPr>
              <w:rFonts w:ascii="Arial" w:hAnsi="Arial" w:cs="Arial"/>
              <w:sz w:val="22"/>
              <w:szCs w:val="22"/>
              <w:lang w:val="en-GB"/>
            </w:rPr>
            <w:t>some of the</w:t>
          </w:r>
          <w:r w:rsidR="00CF29DF" w:rsidRPr="00FF027F">
            <w:rPr>
              <w:rFonts w:ascii="Arial" w:hAnsi="Arial" w:cs="Arial"/>
              <w:sz w:val="22"/>
              <w:szCs w:val="22"/>
              <w:lang w:val="en-GB"/>
            </w:rPr>
            <w:t>se tasks</w:t>
          </w:r>
          <w:r w:rsidR="00BB16BC" w:rsidRPr="00FF027F">
            <w:rPr>
              <w:rFonts w:ascii="Arial" w:hAnsi="Arial" w:cs="Arial"/>
              <w:sz w:val="22"/>
              <w:szCs w:val="22"/>
              <w:lang w:val="en-GB"/>
            </w:rPr>
            <w:t xml:space="preserve"> were deprioritised in 2013. Also for 2015, </w:t>
          </w:r>
          <w:r w:rsidRPr="00FF027F">
            <w:rPr>
              <w:rFonts w:ascii="Arial" w:hAnsi="Arial" w:cs="Arial"/>
              <w:sz w:val="22"/>
              <w:szCs w:val="22"/>
              <w:lang w:val="en-GB"/>
            </w:rPr>
            <w:t xml:space="preserve">the performance of the activities listed in this Section depends on the Agency being assigned the </w:t>
          </w:r>
          <w:r w:rsidR="00010B26" w:rsidRPr="00FF027F">
            <w:rPr>
              <w:rFonts w:ascii="Arial" w:hAnsi="Arial" w:cs="Arial"/>
              <w:sz w:val="22"/>
              <w:szCs w:val="22"/>
              <w:lang w:val="en-GB"/>
            </w:rPr>
            <w:t xml:space="preserve">required </w:t>
          </w:r>
          <w:r w:rsidRPr="00FF027F">
            <w:rPr>
              <w:rFonts w:ascii="Arial" w:hAnsi="Arial" w:cs="Arial"/>
              <w:sz w:val="22"/>
              <w:szCs w:val="22"/>
              <w:lang w:val="en-GB"/>
            </w:rPr>
            <w:t>additional staff</w:t>
          </w:r>
          <w:r w:rsidR="00010B26" w:rsidRPr="00FF027F">
            <w:rPr>
              <w:rFonts w:ascii="Arial" w:hAnsi="Arial" w:cs="Arial"/>
              <w:sz w:val="22"/>
              <w:szCs w:val="22"/>
              <w:lang w:val="en-GB"/>
            </w:rPr>
            <w:t xml:space="preserve"> as presented in Section II.1</w:t>
          </w:r>
          <w:r w:rsidRPr="00FF027F">
            <w:rPr>
              <w:rFonts w:ascii="Arial" w:hAnsi="Arial" w:cs="Arial"/>
              <w:sz w:val="22"/>
              <w:szCs w:val="22"/>
              <w:lang w:val="en-GB"/>
            </w:rPr>
            <w:t xml:space="preserve">. </w:t>
          </w:r>
        </w:p>
        <w:p w14:paraId="0EC50D19" w14:textId="77777777" w:rsidR="00C50CB4" w:rsidRPr="00FF027F" w:rsidRDefault="00C50CB4" w:rsidP="00690A1E">
          <w:pPr>
            <w:pStyle w:val="Default"/>
            <w:spacing w:before="360" w:after="240"/>
            <w:jc w:val="both"/>
            <w:rPr>
              <w:rFonts w:ascii="Arial" w:hAnsi="Arial" w:cs="Arial"/>
              <w:sz w:val="22"/>
              <w:szCs w:val="22"/>
              <w:lang w:val="en-GB"/>
            </w:rPr>
          </w:pPr>
          <w:r w:rsidRPr="00FF027F">
            <w:rPr>
              <w:rFonts w:ascii="Arial" w:hAnsi="Arial" w:cs="Arial"/>
              <w:sz w:val="22"/>
              <w:szCs w:val="22"/>
              <w:lang w:val="en-GB"/>
            </w:rPr>
            <w:t xml:space="preserve">The Agency, where appropriate, may consolidate some of the deliverables envisaged by the TEN-E Regulation and listed below with deliverables related to the TSO cooperation work area tasks, particularly where the tasks and deliverables are complementary. </w:t>
          </w:r>
        </w:p>
        <w:p w14:paraId="38943393" w14:textId="2915A237" w:rsidR="00EB51EF" w:rsidRPr="00FF027F" w:rsidRDefault="00EB51EF" w:rsidP="00657695">
          <w:pPr>
            <w:pStyle w:val="Heading3"/>
            <w:rPr>
              <w:rFonts w:eastAsia="Calibri"/>
              <w:color w:val="4F81BD" w:themeColor="accent1"/>
            </w:rPr>
          </w:pPr>
          <w:bookmarkStart w:id="87" w:name="_Toc396913793"/>
          <w:r w:rsidRPr="00FF027F">
            <w:rPr>
              <w:rFonts w:eastAsia="Calibri"/>
              <w:color w:val="4F81BD" w:themeColor="accent1"/>
            </w:rPr>
            <w:t>Electricity and Gas</w:t>
          </w:r>
          <w:bookmarkEnd w:id="8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2EDC5317" w14:textId="77777777" w:rsidTr="00C50CB4">
            <w:trPr>
              <w:trHeight w:val="520"/>
            </w:trPr>
            <w:tc>
              <w:tcPr>
                <w:tcW w:w="1985" w:type="dxa"/>
                <w:shd w:val="clear" w:color="auto" w:fill="002060"/>
              </w:tcPr>
              <w:p w14:paraId="288B70C9"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08729575" w14:textId="77777777" w:rsidR="00C50CB4" w:rsidRPr="00FF027F" w:rsidRDefault="00C50CB4" w:rsidP="00690A1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Annual consolidated report on progress of projects of common interest and (if appropriate) recommendations to facilitate the implementation and overcome delays/difficulties in PCI implementation</w:t>
                </w:r>
              </w:p>
            </w:tc>
          </w:tr>
          <w:tr w:rsidR="00C50CB4" w:rsidRPr="00FF027F" w14:paraId="1CA6C9BD" w14:textId="77777777" w:rsidTr="00C50CB4">
            <w:trPr>
              <w:trHeight w:val="504"/>
            </w:trPr>
            <w:tc>
              <w:tcPr>
                <w:tcW w:w="1985" w:type="dxa"/>
                <w:shd w:val="clear" w:color="auto" w:fill="auto"/>
              </w:tcPr>
              <w:p w14:paraId="556C6BED" w14:textId="77777777" w:rsidR="00C50CB4" w:rsidRPr="00FF027F" w:rsidRDefault="00C50CB4" w:rsidP="00690A1E">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3B754362"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5(5) of Regulation (EC) No 347/2013</w:t>
                </w:r>
              </w:p>
            </w:tc>
          </w:tr>
          <w:tr w:rsidR="00C50CB4" w:rsidRPr="00FF027F" w14:paraId="2697F85F" w14:textId="77777777" w:rsidTr="00C50CB4">
            <w:trPr>
              <w:trHeight w:val="392"/>
            </w:trPr>
            <w:tc>
              <w:tcPr>
                <w:tcW w:w="1985" w:type="dxa"/>
                <w:shd w:val="clear" w:color="auto" w:fill="auto"/>
              </w:tcPr>
              <w:p w14:paraId="459627E9" w14:textId="77777777" w:rsidR="00C50CB4" w:rsidRPr="00FF027F" w:rsidRDefault="00C50CB4" w:rsidP="004D377C">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2C85DDBA" w14:textId="5758F49D" w:rsidR="00C50CB4" w:rsidRPr="00FF027F" w:rsidRDefault="00C50CB4" w:rsidP="00CB1B39">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The first consolidated reports is due in 2015</w:t>
                </w:r>
                <w:r w:rsidR="002650DA" w:rsidRPr="00FF027F">
                  <w:rPr>
                    <w:rFonts w:ascii="Arial" w:hAnsi="Arial" w:cs="Arial"/>
                    <w:lang w:val="en-GB"/>
                  </w:rPr>
                  <w:t>,</w:t>
                </w:r>
                <w:r w:rsidRPr="00FF027F">
                  <w:rPr>
                    <w:rFonts w:ascii="Arial" w:hAnsi="Arial" w:cs="Arial"/>
                    <w:lang w:val="en-GB"/>
                  </w:rPr>
                  <w:t xml:space="preserve"> following the submission </w:t>
                </w:r>
                <w:r w:rsidR="00CB1B39" w:rsidRPr="00FF027F">
                  <w:rPr>
                    <w:rFonts w:ascii="Arial" w:hAnsi="Arial" w:cs="Arial"/>
                    <w:lang w:val="en-GB"/>
                  </w:rPr>
                  <w:t xml:space="preserve">by </w:t>
                </w:r>
                <w:r w:rsidRPr="00FF027F">
                  <w:rPr>
                    <w:rFonts w:ascii="Arial" w:hAnsi="Arial" w:cs="Arial"/>
                    <w:lang w:val="en-GB"/>
                  </w:rPr>
                  <w:t>project promoters of annual reports for each project of common interest to the competent authority either to the Agency or, for projects falling under the categories set out in Annex II.3 and 4 of Regulation (EC) No 347/2013, to the respective Group.</w:t>
                </w:r>
              </w:p>
            </w:tc>
          </w:tr>
          <w:tr w:rsidR="00C50CB4" w:rsidRPr="00FF027F" w14:paraId="07A0547C" w14:textId="77777777" w:rsidTr="00C50CB4">
            <w:trPr>
              <w:trHeight w:val="1017"/>
            </w:trPr>
            <w:tc>
              <w:tcPr>
                <w:tcW w:w="1985" w:type="dxa"/>
                <w:shd w:val="clear" w:color="auto" w:fill="auto"/>
              </w:tcPr>
              <w:p w14:paraId="2F201926" w14:textId="77777777" w:rsidR="00C50CB4" w:rsidRPr="00FF027F" w:rsidRDefault="00C50CB4" w:rsidP="004D377C">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7D7188F7"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Upon the receipt of the </w:t>
                </w:r>
                <w:r w:rsidR="00CB1B39" w:rsidRPr="00FF027F">
                  <w:rPr>
                    <w:rFonts w:ascii="Arial" w:hAnsi="Arial" w:cs="Arial"/>
                    <w:lang w:val="en-GB"/>
                  </w:rPr>
                  <w:t xml:space="preserve">submissions </w:t>
                </w:r>
                <w:r w:rsidRPr="00FF027F">
                  <w:rPr>
                    <w:rFonts w:ascii="Arial" w:hAnsi="Arial" w:cs="Arial"/>
                    <w:lang w:val="en-GB"/>
                  </w:rPr>
                  <w:t xml:space="preserve">from project promoters by 31 March 2015, ACER will deliver its consolidated report within three months from the day of receipt.  </w:t>
                </w:r>
              </w:p>
            </w:tc>
          </w:tr>
          <w:tr w:rsidR="00C50CB4" w:rsidRPr="00FF027F" w14:paraId="2F0AE3BB" w14:textId="77777777" w:rsidTr="00690A1E">
            <w:trPr>
              <w:trHeight w:val="395"/>
            </w:trPr>
            <w:tc>
              <w:tcPr>
                <w:tcW w:w="1985" w:type="dxa"/>
                <w:shd w:val="clear" w:color="auto" w:fill="auto"/>
              </w:tcPr>
              <w:p w14:paraId="2CD5CA20" w14:textId="77777777" w:rsidR="00C50CB4" w:rsidRPr="00FF027F" w:rsidRDefault="00C50CB4" w:rsidP="004D377C">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4EDDD395" w14:textId="77777777" w:rsidR="00C50CB4" w:rsidRPr="00FF027F" w:rsidRDefault="00C50CB4" w:rsidP="00690A1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the report.</w:t>
                </w:r>
              </w:p>
            </w:tc>
          </w:tr>
          <w:tr w:rsidR="00C50CB4" w:rsidRPr="00FF027F" w14:paraId="69E6DC63" w14:textId="77777777" w:rsidTr="00C50CB4">
            <w:trPr>
              <w:trHeight w:val="535"/>
            </w:trPr>
            <w:tc>
              <w:tcPr>
                <w:tcW w:w="1985" w:type="dxa"/>
                <w:shd w:val="clear" w:color="auto" w:fill="auto"/>
              </w:tcPr>
              <w:p w14:paraId="4FCF464A" w14:textId="77777777" w:rsidR="00C50CB4" w:rsidRPr="00FF027F" w:rsidRDefault="00C50CB4" w:rsidP="00690A1E">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5DC8580D" w14:textId="259A95F3" w:rsidR="00C50CB4" w:rsidRPr="00FF027F" w:rsidRDefault="007050CF" w:rsidP="007050C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2</w:t>
                </w:r>
                <w:r w:rsidR="00C50CB4" w:rsidRPr="00FF027F">
                  <w:rPr>
                    <w:rFonts w:ascii="Arial" w:hAnsi="Arial" w:cs="Arial"/>
                    <w:lang w:val="en-GB"/>
                  </w:rPr>
                  <w:t>.0 FTE</w:t>
                </w:r>
              </w:p>
            </w:tc>
          </w:tr>
          <w:tr w:rsidR="00C50CB4" w:rsidRPr="00FF027F" w14:paraId="0CBB32E5"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8A1B0DC" w14:textId="77777777" w:rsidR="00C50CB4" w:rsidRPr="00FF027F" w:rsidRDefault="00C50CB4" w:rsidP="00690A1E">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4E0ABB2B" w14:textId="77777777" w:rsidR="00C50CB4" w:rsidRPr="00FF027F" w:rsidRDefault="00C50CB4" w:rsidP="00690A1E">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hAnsi="Arial" w:cs="Arial"/>
                    <w:lang w:val="en-GB"/>
                  </w:rPr>
                  <w:t>The delivery is subject to the timely submission by project promoters of their annual reports and to the quality of the submitted reports, particularly regarding the provision of the necessary information about progress achieved in the development, construction and commissioning of the projects with regard to permit granting and consultation procedures, and, where relevant, delays compared to the implementation plan, the reasons for such delays and other difficulties encountered.</w:t>
                </w:r>
              </w:p>
            </w:tc>
          </w:tr>
        </w:tbl>
        <w:p w14:paraId="049C3F9B" w14:textId="77777777" w:rsidR="00C50CB4" w:rsidRPr="00FF027F" w:rsidRDefault="00C50CB4" w:rsidP="00C50CB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C50CB4" w:rsidRPr="00FF027F" w14:paraId="55FF8AD7" w14:textId="77777777" w:rsidTr="00417F8A">
            <w:trPr>
              <w:trHeight w:val="520"/>
            </w:trPr>
            <w:tc>
              <w:tcPr>
                <w:tcW w:w="1973" w:type="dxa"/>
                <w:shd w:val="clear" w:color="auto" w:fill="002060"/>
              </w:tcPr>
              <w:p w14:paraId="7940CA90" w14:textId="53481FCB" w:rsidR="00C50CB4" w:rsidRPr="00FF027F" w:rsidRDefault="00C50CB4" w:rsidP="00CB1B3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6936" w:type="dxa"/>
                <w:shd w:val="clear" w:color="auto" w:fill="002060"/>
              </w:tcPr>
              <w:p w14:paraId="45A7EB6D" w14:textId="77777777" w:rsidR="00C50CB4" w:rsidRPr="00FF027F" w:rsidRDefault="00C50CB4" w:rsidP="00CB1B3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 on the draft regional lists of proposed projects of common interest, in particular on the consistent application of the criteria and the cost-benefit analysis across regions</w:t>
                </w:r>
              </w:p>
            </w:tc>
          </w:tr>
          <w:tr w:rsidR="00C50CB4" w:rsidRPr="00FF027F" w14:paraId="33737A0E" w14:textId="77777777" w:rsidTr="00417F8A">
            <w:trPr>
              <w:trHeight w:val="504"/>
            </w:trPr>
            <w:tc>
              <w:tcPr>
                <w:tcW w:w="1973" w:type="dxa"/>
                <w:shd w:val="clear" w:color="auto" w:fill="auto"/>
              </w:tcPr>
              <w:p w14:paraId="477E3691"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Legal basis</w:t>
                </w:r>
              </w:p>
            </w:tc>
            <w:tc>
              <w:tcPr>
                <w:tcW w:w="6936" w:type="dxa"/>
                <w:shd w:val="clear" w:color="auto" w:fill="auto"/>
              </w:tcPr>
              <w:p w14:paraId="5000380F"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Annex III 2(12) of Regulation (EC) No 713/2013</w:t>
                </w:r>
              </w:p>
            </w:tc>
          </w:tr>
          <w:tr w:rsidR="00C50CB4" w:rsidRPr="00FF027F" w14:paraId="61CEE9EB" w14:textId="77777777" w:rsidTr="00417F8A">
            <w:trPr>
              <w:trHeight w:val="392"/>
            </w:trPr>
            <w:tc>
              <w:tcPr>
                <w:tcW w:w="1973" w:type="dxa"/>
                <w:shd w:val="clear" w:color="auto" w:fill="auto"/>
              </w:tcPr>
              <w:p w14:paraId="701E466C"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Overview (status)</w:t>
                </w:r>
              </w:p>
            </w:tc>
            <w:tc>
              <w:tcPr>
                <w:tcW w:w="6936" w:type="dxa"/>
                <w:shd w:val="clear" w:color="auto" w:fill="auto"/>
              </w:tcPr>
              <w:p w14:paraId="5480872F" w14:textId="0AD7D984" w:rsidR="00C50CB4" w:rsidRPr="00FF027F" w:rsidRDefault="00C50CB4" w:rsidP="00016A74">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 xml:space="preserve">An Opinion on the draft regional lists of proposed projects of common interest was delivered for the first time by ACER in 2013. ACER will deliver its opinion within three months from the receipt of the draft regional lists and the accompanying opinions of Groups, under the procedure of Article 15(1) of Regulation (EC) No 713/2009. </w:t>
                </w:r>
              </w:p>
            </w:tc>
          </w:tr>
          <w:tr w:rsidR="00C50CB4" w:rsidRPr="00FF027F" w14:paraId="18ABAAF4" w14:textId="77777777" w:rsidTr="00417F8A">
            <w:trPr>
              <w:trHeight w:val="1017"/>
            </w:trPr>
            <w:tc>
              <w:tcPr>
                <w:tcW w:w="1973" w:type="dxa"/>
                <w:shd w:val="clear" w:color="auto" w:fill="auto"/>
              </w:tcPr>
              <w:p w14:paraId="59F0C006"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6936" w:type="dxa"/>
                <w:shd w:val="clear" w:color="auto" w:fill="auto"/>
              </w:tcPr>
              <w:p w14:paraId="0403965A"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ACER will deliver its opinion focusing in particular on the consistent application of the criteria and the cost-benefit analysis across regions.</w:t>
                </w:r>
              </w:p>
            </w:tc>
          </w:tr>
          <w:tr w:rsidR="00C50CB4" w:rsidRPr="00FF027F" w14:paraId="360D07C1" w14:textId="77777777" w:rsidTr="00417F8A">
            <w:trPr>
              <w:trHeight w:val="780"/>
            </w:trPr>
            <w:tc>
              <w:tcPr>
                <w:tcW w:w="1973" w:type="dxa"/>
                <w:shd w:val="clear" w:color="auto" w:fill="auto"/>
              </w:tcPr>
              <w:p w14:paraId="0CCA0538"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6936" w:type="dxa"/>
                <w:shd w:val="clear" w:color="auto" w:fill="auto"/>
              </w:tcPr>
              <w:p w14:paraId="020C89BF"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the opinion.</w:t>
                </w:r>
              </w:p>
            </w:tc>
          </w:tr>
          <w:tr w:rsidR="00C50CB4" w:rsidRPr="00FF027F" w14:paraId="6495779E" w14:textId="77777777" w:rsidTr="00417F8A">
            <w:trPr>
              <w:trHeight w:val="535"/>
            </w:trPr>
            <w:tc>
              <w:tcPr>
                <w:tcW w:w="1973" w:type="dxa"/>
                <w:shd w:val="clear" w:color="auto" w:fill="auto"/>
              </w:tcPr>
              <w:p w14:paraId="2CEF46C4"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Staff</w:t>
                </w:r>
              </w:p>
            </w:tc>
            <w:tc>
              <w:tcPr>
                <w:tcW w:w="6936" w:type="dxa"/>
                <w:shd w:val="clear" w:color="auto" w:fill="auto"/>
              </w:tcPr>
              <w:p w14:paraId="727A9AE7" w14:textId="36775F46" w:rsidR="00C50CB4" w:rsidRPr="00FF027F" w:rsidRDefault="007050CF" w:rsidP="007050CF">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2</w:t>
                </w:r>
                <w:r w:rsidR="00C50CB4" w:rsidRPr="00FF027F">
                  <w:rPr>
                    <w:rFonts w:ascii="Arial" w:hAnsi="Arial" w:cs="Arial"/>
                    <w:lang w:val="en-GB"/>
                  </w:rPr>
                  <w:t>.0 FTE</w:t>
                </w:r>
              </w:p>
            </w:tc>
          </w:tr>
          <w:tr w:rsidR="00C50CB4" w:rsidRPr="00FF027F" w14:paraId="2CC3D1E7" w14:textId="77777777" w:rsidTr="00417F8A">
            <w:trPr>
              <w:trHeight w:val="535"/>
            </w:trPr>
            <w:tc>
              <w:tcPr>
                <w:tcW w:w="1973" w:type="dxa"/>
                <w:tcBorders>
                  <w:top w:val="single" w:sz="4" w:space="0" w:color="auto"/>
                  <w:left w:val="single" w:sz="4" w:space="0" w:color="auto"/>
                  <w:bottom w:val="single" w:sz="4" w:space="0" w:color="auto"/>
                  <w:right w:val="single" w:sz="4" w:space="0" w:color="auto"/>
                </w:tcBorders>
                <w:shd w:val="clear" w:color="auto" w:fill="auto"/>
              </w:tcPr>
              <w:p w14:paraId="551AD139"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Risks</w:t>
                </w:r>
              </w:p>
            </w:tc>
            <w:tc>
              <w:tcPr>
                <w:tcW w:w="6936" w:type="dxa"/>
                <w:tcBorders>
                  <w:top w:val="single" w:sz="4" w:space="0" w:color="auto"/>
                  <w:left w:val="single" w:sz="4" w:space="0" w:color="auto"/>
                  <w:bottom w:val="single" w:sz="4" w:space="0" w:color="auto"/>
                  <w:right w:val="single" w:sz="4" w:space="0" w:color="auto"/>
                </w:tcBorders>
                <w:shd w:val="clear" w:color="auto" w:fill="auto"/>
              </w:tcPr>
              <w:p w14:paraId="00D955F9" w14:textId="77777777" w:rsidR="00C50CB4" w:rsidRPr="00FF027F" w:rsidRDefault="00C50CB4" w:rsidP="00CB1B3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hAnsi="Arial" w:cs="Arial"/>
                    <w:lang w:val="en-GB"/>
                  </w:rPr>
                  <w:t>The delivery is subject to the timely submission of the draft regional lists of proposed projects of common interest and of the opinions of Groups, and to the quality of the submissions, particularly regarding the application of the criteria and the cost-benefit analysis across regions.</w:t>
                </w:r>
              </w:p>
            </w:tc>
          </w:tr>
        </w:tbl>
        <w:p w14:paraId="6F585758" w14:textId="77777777" w:rsidR="00C50CB4" w:rsidRPr="00FF027F" w:rsidRDefault="00C50CB4" w:rsidP="00C50CB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06657D1F" w14:textId="77777777" w:rsidTr="00C50CB4">
            <w:trPr>
              <w:trHeight w:val="520"/>
            </w:trPr>
            <w:tc>
              <w:tcPr>
                <w:tcW w:w="1985" w:type="dxa"/>
                <w:shd w:val="clear" w:color="auto" w:fill="002060"/>
              </w:tcPr>
              <w:p w14:paraId="2B1BBACD" w14:textId="60798AB3" w:rsidR="00C50CB4" w:rsidRPr="00FF027F" w:rsidRDefault="006E721A" w:rsidP="00CB1B3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61DA1506" w14:textId="77777777" w:rsidR="00C50CB4" w:rsidRPr="00FF027F" w:rsidRDefault="00C50CB4" w:rsidP="00CB1B3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Recommendation regarding the cross-border cost allocation requests submitted in the framework of the second Union list of electricity and gas projects of common interest</w:t>
                </w:r>
              </w:p>
            </w:tc>
          </w:tr>
          <w:tr w:rsidR="00C50CB4" w:rsidRPr="00FF027F" w14:paraId="31DC84BD" w14:textId="77777777" w:rsidTr="00C50CB4">
            <w:trPr>
              <w:trHeight w:val="504"/>
            </w:trPr>
            <w:tc>
              <w:tcPr>
                <w:tcW w:w="1985" w:type="dxa"/>
                <w:shd w:val="clear" w:color="auto" w:fill="auto"/>
              </w:tcPr>
              <w:p w14:paraId="7E7DBDFD"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38EE87CD"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7(2) of Regulation (EC) No 713/2009</w:t>
                </w:r>
              </w:p>
            </w:tc>
          </w:tr>
          <w:tr w:rsidR="00C50CB4" w:rsidRPr="00FF027F" w14:paraId="598C0BBB" w14:textId="77777777" w:rsidTr="00C50CB4">
            <w:trPr>
              <w:trHeight w:val="392"/>
            </w:trPr>
            <w:tc>
              <w:tcPr>
                <w:tcW w:w="1985" w:type="dxa"/>
                <w:shd w:val="clear" w:color="auto" w:fill="auto"/>
              </w:tcPr>
              <w:p w14:paraId="73DD0226"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00A8748E"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In accordance with its work programme for 2014, the Agency issued a recommendation regarding the cross-border cost </w:t>
                </w:r>
                <w:r w:rsidR="00CB1B39" w:rsidRPr="00FF027F">
                  <w:rPr>
                    <w:rFonts w:ascii="Arial" w:hAnsi="Arial" w:cs="Arial"/>
                    <w:lang w:val="en-GB"/>
                  </w:rPr>
                  <w:t xml:space="preserve">(CBCA) </w:t>
                </w:r>
                <w:r w:rsidRPr="00FF027F">
                  <w:rPr>
                    <w:rFonts w:ascii="Arial" w:hAnsi="Arial" w:cs="Arial"/>
                    <w:lang w:val="en-GB"/>
                  </w:rPr>
                  <w:t>allocation requests submitted in the framework of the first Union list of electricity and gas projects of common interest. In 2015 the Agency will revise and update the recommendation.</w:t>
                </w:r>
              </w:p>
            </w:tc>
          </w:tr>
          <w:tr w:rsidR="00C50CB4" w:rsidRPr="00FF027F" w14:paraId="172D4ED1" w14:textId="77777777" w:rsidTr="00C50CB4">
            <w:trPr>
              <w:trHeight w:val="1017"/>
            </w:trPr>
            <w:tc>
              <w:tcPr>
                <w:tcW w:w="1985" w:type="dxa"/>
                <w:shd w:val="clear" w:color="auto" w:fill="auto"/>
              </w:tcPr>
              <w:p w14:paraId="6CAADBD9"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71C1141B" w14:textId="6D4ACE5A" w:rsidR="00C50CB4" w:rsidRPr="00FF027F" w:rsidRDefault="00C50CB4" w:rsidP="00AC2CF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ACER will </w:t>
                </w:r>
                <w:r w:rsidR="00CB1B39" w:rsidRPr="00FF027F">
                  <w:rPr>
                    <w:rFonts w:ascii="Arial" w:hAnsi="Arial" w:cs="Arial"/>
                    <w:lang w:val="en-GB"/>
                  </w:rPr>
                  <w:t xml:space="preserve">review </w:t>
                </w:r>
                <w:r w:rsidRPr="00FF027F">
                  <w:rPr>
                    <w:rFonts w:ascii="Arial" w:hAnsi="Arial" w:cs="Arial"/>
                    <w:lang w:val="en-GB"/>
                  </w:rPr>
                  <w:t>and update its recommendation on best practices regarding the information that is necessary to be submitted with a CBCA request and the high-level principles that NRAs shall follow when handling a CBCA request, by taking into consideration the practices since the adoption of Regulation (EC) No 347/2013. A revised and updated recommendation will be</w:t>
                </w:r>
                <w:r w:rsidR="00CB1B39" w:rsidRPr="00FF027F">
                  <w:rPr>
                    <w:rFonts w:ascii="Arial" w:hAnsi="Arial" w:cs="Arial"/>
                    <w:lang w:val="en-GB"/>
                  </w:rPr>
                  <w:t xml:space="preserve"> issued</w:t>
                </w:r>
                <w:r w:rsidRPr="00FF027F">
                  <w:rPr>
                    <w:rFonts w:ascii="Arial" w:hAnsi="Arial" w:cs="Arial"/>
                    <w:lang w:val="en-GB"/>
                  </w:rPr>
                  <w:t>.</w:t>
                </w:r>
              </w:p>
            </w:tc>
          </w:tr>
          <w:tr w:rsidR="00C50CB4" w:rsidRPr="00FF027F" w14:paraId="2AA2B073" w14:textId="77777777" w:rsidTr="00C50CB4">
            <w:trPr>
              <w:trHeight w:val="780"/>
            </w:trPr>
            <w:tc>
              <w:tcPr>
                <w:tcW w:w="1985" w:type="dxa"/>
                <w:shd w:val="clear" w:color="auto" w:fill="auto"/>
              </w:tcPr>
              <w:p w14:paraId="403556E8"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008C8A4F"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an updated and revised recommendation.</w:t>
                </w:r>
              </w:p>
            </w:tc>
          </w:tr>
          <w:tr w:rsidR="00C50CB4" w:rsidRPr="00FF027F" w14:paraId="04ABD827" w14:textId="77777777" w:rsidTr="00C50CB4">
            <w:trPr>
              <w:trHeight w:val="535"/>
            </w:trPr>
            <w:tc>
              <w:tcPr>
                <w:tcW w:w="1985" w:type="dxa"/>
                <w:shd w:val="clear" w:color="auto" w:fill="auto"/>
              </w:tcPr>
              <w:p w14:paraId="3E57E4A6"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4CEB947A" w14:textId="2D27D3F5" w:rsidR="00C50CB4" w:rsidRPr="00FF027F" w:rsidRDefault="007050CF"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1</w:t>
                </w:r>
                <w:r w:rsidR="00C50CB4" w:rsidRPr="00FF027F">
                  <w:rPr>
                    <w:rFonts w:ascii="Arial" w:hAnsi="Arial" w:cs="Arial"/>
                    <w:lang w:val="en-GB"/>
                  </w:rPr>
                  <w:t>.</w:t>
                </w:r>
                <w:r w:rsidRPr="00FF027F">
                  <w:rPr>
                    <w:rFonts w:ascii="Arial" w:hAnsi="Arial" w:cs="Arial"/>
                    <w:lang w:val="en-GB"/>
                  </w:rPr>
                  <w:t>3</w:t>
                </w:r>
                <w:r w:rsidR="00C50CB4" w:rsidRPr="00FF027F">
                  <w:rPr>
                    <w:rFonts w:ascii="Arial" w:hAnsi="Arial" w:cs="Arial"/>
                    <w:lang w:val="en-GB"/>
                  </w:rPr>
                  <w:t xml:space="preserve"> FTE</w:t>
                </w:r>
              </w:p>
            </w:tc>
          </w:tr>
          <w:tr w:rsidR="00C50CB4" w:rsidRPr="00FF027F" w14:paraId="70652C7B"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F8FFCC0"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61E02E82" w14:textId="77777777" w:rsidR="00C50CB4" w:rsidRPr="00FF027F" w:rsidRDefault="00C50CB4" w:rsidP="00CB1B3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hAnsi="Arial" w:cs="Arial"/>
                    <w:lang w:val="en-GB"/>
                  </w:rPr>
                  <w:t xml:space="preserve">The delivery is subject to the quality of the submissions CBCA requests as well as the decisions on CBCA. </w:t>
                </w:r>
              </w:p>
            </w:tc>
          </w:tr>
        </w:tbl>
        <w:p w14:paraId="63B14575" w14:textId="77777777" w:rsidR="000A42DE" w:rsidRPr="00FF027F" w:rsidRDefault="000A42DE" w:rsidP="00BE1816">
          <w:pPr>
            <w:pStyle w:val="Heading2"/>
          </w:pPr>
          <w:bookmarkStart w:id="88" w:name="_Toc382919647"/>
          <w:bookmarkStart w:id="89" w:name="_Toc396913794"/>
          <w:r w:rsidRPr="00FF027F">
            <w:t>Activities which are Subject to Specific Conditions</w:t>
          </w:r>
          <w:bookmarkEnd w:id="88"/>
          <w:bookmarkEnd w:id="89"/>
        </w:p>
        <w:p w14:paraId="22C27571" w14:textId="04CDEC24" w:rsidR="00C50CB4" w:rsidRPr="00FF027F" w:rsidRDefault="00C50CB4" w:rsidP="00CB1B39">
          <w:pPr>
            <w:spacing w:before="360" w:after="240" w:line="360" w:lineRule="auto"/>
            <w:jc w:val="both"/>
            <w:rPr>
              <w:rFonts w:ascii="Arial" w:hAnsi="Arial" w:cs="Arial"/>
              <w:b/>
              <w:lang w:val="en-GB"/>
            </w:rPr>
          </w:pPr>
          <w:bookmarkStart w:id="90" w:name="_Toc382919648"/>
          <w:r w:rsidRPr="00FF027F">
            <w:rPr>
              <w:rFonts w:ascii="Arial" w:hAnsi="Arial" w:cs="Arial"/>
              <w:lang w:val="en-GB"/>
            </w:rPr>
            <w:t>The activities listed in this Section are either performed upon request from certain parties, as specified in the Third Package or in the TEN-E Regulation, or are triggered by certain external events.</w:t>
          </w:r>
          <w:r w:rsidR="00AC2CF9" w:rsidRPr="00FF027F">
            <w:rPr>
              <w:rFonts w:ascii="Arial" w:hAnsi="Arial" w:cs="Arial"/>
              <w:lang w:val="en-GB"/>
            </w:rPr>
            <w:t xml:space="preserve"> If necessary, additional</w:t>
          </w:r>
          <w:r w:rsidRPr="00FF027F">
            <w:rPr>
              <w:rFonts w:ascii="Arial" w:hAnsi="Arial" w:cs="Arial"/>
              <w:lang w:val="en-GB"/>
            </w:rPr>
            <w:t xml:space="preserve"> resources </w:t>
          </w:r>
          <w:r w:rsidR="00AC2CF9" w:rsidRPr="00FF027F">
            <w:rPr>
              <w:rFonts w:ascii="Arial" w:hAnsi="Arial" w:cs="Arial"/>
              <w:lang w:val="en-GB"/>
            </w:rPr>
            <w:t xml:space="preserve">may </w:t>
          </w:r>
          <w:r w:rsidRPr="00FF027F">
            <w:rPr>
              <w:rFonts w:ascii="Arial" w:hAnsi="Arial" w:cs="Arial"/>
              <w:lang w:val="en-GB"/>
            </w:rPr>
            <w:t>have to be re-allocated during the year from other activities. The referral of activities to the Agency at unpredictable moments of time, along with the ensuing obligation to produce pre-specified deliverables within tight schedules, pose</w:t>
          </w:r>
          <w:r w:rsidR="00CB1B39" w:rsidRPr="00FF027F">
            <w:rPr>
              <w:rFonts w:ascii="Arial" w:hAnsi="Arial" w:cs="Arial"/>
              <w:lang w:val="en-GB"/>
            </w:rPr>
            <w:t>s</w:t>
          </w:r>
          <w:r w:rsidRPr="00FF027F">
            <w:rPr>
              <w:rFonts w:ascii="Arial" w:hAnsi="Arial" w:cs="Arial"/>
              <w:lang w:val="en-GB"/>
            </w:rPr>
            <w:t xml:space="preserve"> a considerable challenge to </w:t>
          </w:r>
          <w:r w:rsidR="00BB16BC" w:rsidRPr="00FF027F">
            <w:rPr>
              <w:rFonts w:ascii="Arial" w:hAnsi="Arial" w:cs="Arial"/>
              <w:lang w:val="en-GB"/>
            </w:rPr>
            <w:t>the Agency</w:t>
          </w:r>
          <w:r w:rsidRPr="00FF027F">
            <w:rPr>
              <w:rFonts w:ascii="Arial" w:hAnsi="Arial" w:cs="Arial"/>
              <w:lang w:val="en-GB"/>
            </w:rPr>
            <w:t xml:space="preserve">, a small </w:t>
          </w:r>
          <w:r w:rsidR="00BB16BC" w:rsidRPr="00FF027F">
            <w:rPr>
              <w:rFonts w:ascii="Arial" w:hAnsi="Arial" w:cs="Arial"/>
              <w:lang w:val="en-GB"/>
            </w:rPr>
            <w:t>institution</w:t>
          </w:r>
          <w:r w:rsidRPr="00FF027F">
            <w:rPr>
              <w:rFonts w:ascii="Arial" w:hAnsi="Arial" w:cs="Arial"/>
              <w:lang w:val="en-GB"/>
            </w:rPr>
            <w:t xml:space="preserve"> which will have to deal </w:t>
          </w:r>
          <w:r w:rsidR="00CB1B39" w:rsidRPr="00FF027F">
            <w:rPr>
              <w:rFonts w:ascii="Arial" w:hAnsi="Arial" w:cs="Arial"/>
              <w:lang w:val="en-GB"/>
            </w:rPr>
            <w:t>with highly demanding peak work</w:t>
          </w:r>
          <w:r w:rsidRPr="00FF027F">
            <w:rPr>
              <w:rFonts w:ascii="Arial" w:hAnsi="Arial" w:cs="Arial"/>
              <w:lang w:val="en-GB"/>
            </w:rPr>
            <w:t xml:space="preserve">loads at irregular intervals. </w:t>
          </w:r>
        </w:p>
        <w:p w14:paraId="19204506" w14:textId="77777777" w:rsidR="00C50CB4" w:rsidRPr="00FF027F" w:rsidRDefault="00C50CB4" w:rsidP="00CB1B39">
          <w:pPr>
            <w:spacing w:before="360" w:after="240" w:line="360" w:lineRule="auto"/>
            <w:jc w:val="both"/>
            <w:rPr>
              <w:rFonts w:ascii="Arial" w:hAnsi="Arial" w:cs="Arial"/>
              <w:lang w:val="en-GB"/>
            </w:rPr>
          </w:pPr>
          <w:r w:rsidRPr="00FF027F">
            <w:rPr>
              <w:rFonts w:ascii="Arial" w:hAnsi="Arial" w:cs="Arial"/>
              <w:lang w:val="en-GB"/>
            </w:rPr>
            <w:t>In 2015 the Agency may be called to perform the following activities on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4E146FDF" w14:textId="77777777" w:rsidTr="00C50CB4">
            <w:trPr>
              <w:trHeight w:val="520"/>
            </w:trPr>
            <w:tc>
              <w:tcPr>
                <w:tcW w:w="1985" w:type="dxa"/>
                <w:shd w:val="clear" w:color="auto" w:fill="002060"/>
              </w:tcPr>
              <w:p w14:paraId="0604A9E9" w14:textId="77777777" w:rsidR="00C50CB4" w:rsidRPr="00FF027F" w:rsidRDefault="00C50CB4" w:rsidP="00CB1B3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7BF701FE" w14:textId="77777777" w:rsidR="00C50CB4" w:rsidRPr="00FF027F" w:rsidRDefault="00C50CB4" w:rsidP="00CB1B3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Decision on terms and conditions and operational security of cross-border interconnectors and on exemptions, when requested jointly by the concerned NRAs or when the concerned NRAs fail to take a decision within a predefined period (6 months, with possible extension)</w:t>
                </w:r>
              </w:p>
            </w:tc>
          </w:tr>
          <w:tr w:rsidR="00C50CB4" w:rsidRPr="00FF027F" w14:paraId="4AB50CD0" w14:textId="77777777" w:rsidTr="00C50CB4">
            <w:trPr>
              <w:trHeight w:val="504"/>
            </w:trPr>
            <w:tc>
              <w:tcPr>
                <w:tcW w:w="1985" w:type="dxa"/>
                <w:shd w:val="clear" w:color="auto" w:fill="auto"/>
              </w:tcPr>
              <w:p w14:paraId="0114AEEF"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1187B00A"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Regulation (EC) No 713/2009, Article 8 for decisions on terms and conditions and operational security of cross-border interconnectors</w:t>
                </w:r>
              </w:p>
              <w:p w14:paraId="1D791F5E"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36(4) of Directive 2009/73/EC for decisions on exemptions</w:t>
                </w:r>
              </w:p>
            </w:tc>
          </w:tr>
          <w:tr w:rsidR="00C50CB4" w:rsidRPr="00FF027F" w14:paraId="6DB3B32A" w14:textId="77777777" w:rsidTr="00C50CB4">
            <w:trPr>
              <w:trHeight w:val="392"/>
            </w:trPr>
            <w:tc>
              <w:tcPr>
                <w:tcW w:w="1985" w:type="dxa"/>
                <w:shd w:val="clear" w:color="auto" w:fill="auto"/>
              </w:tcPr>
              <w:p w14:paraId="1EB9577A"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475D9F43" w14:textId="77777777" w:rsidR="00C50CB4" w:rsidRPr="00FF027F" w:rsidRDefault="00C50CB4" w:rsidP="00CB1B39">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 xml:space="preserve">When required - i.e. when the concerned NRAs jointly request such a decision, or when they fail to reach an agreement within a predefined period (6 months, with a possible extension). </w:t>
                </w:r>
              </w:p>
            </w:tc>
          </w:tr>
          <w:tr w:rsidR="00C50CB4" w:rsidRPr="00FF027F" w14:paraId="57ED4FAE" w14:textId="77777777" w:rsidTr="00C50CB4">
            <w:trPr>
              <w:trHeight w:val="1017"/>
            </w:trPr>
            <w:tc>
              <w:tcPr>
                <w:tcW w:w="1985" w:type="dxa"/>
                <w:shd w:val="clear" w:color="auto" w:fill="auto"/>
              </w:tcPr>
              <w:p w14:paraId="21ED4CB1"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27A3F4A6"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Expected completion date: delivery of a decision within six months from </w:t>
                </w:r>
                <w:r w:rsidR="0030338D" w:rsidRPr="00FF027F">
                  <w:rPr>
                    <w:rFonts w:ascii="Arial" w:hAnsi="Arial" w:cs="Arial"/>
                    <w:lang w:val="en-GB"/>
                  </w:rPr>
                  <w:t xml:space="preserve">the </w:t>
                </w:r>
                <w:r w:rsidRPr="00FF027F">
                  <w:rPr>
                    <w:rFonts w:ascii="Arial" w:hAnsi="Arial" w:cs="Arial"/>
                    <w:lang w:val="en-GB"/>
                  </w:rPr>
                  <w:t xml:space="preserve">date of referral to the Agency. </w:t>
                </w:r>
              </w:p>
            </w:tc>
          </w:tr>
          <w:tr w:rsidR="00C50CB4" w:rsidRPr="00FF027F" w14:paraId="39DCAFC4" w14:textId="77777777" w:rsidTr="00C50CB4">
            <w:trPr>
              <w:trHeight w:val="780"/>
            </w:trPr>
            <w:tc>
              <w:tcPr>
                <w:tcW w:w="1985" w:type="dxa"/>
                <w:shd w:val="clear" w:color="auto" w:fill="auto"/>
              </w:tcPr>
              <w:p w14:paraId="4616BC13"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57538330" w14:textId="77777777" w:rsidR="00C50CB4" w:rsidRPr="00FF027F" w:rsidRDefault="00C50CB4" w:rsidP="00CB1B3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Timely delivery of a decision within six months from </w:t>
                </w:r>
                <w:r w:rsidR="0030338D" w:rsidRPr="00FF027F">
                  <w:rPr>
                    <w:rFonts w:ascii="Arial" w:hAnsi="Arial" w:cs="Arial"/>
                    <w:lang w:val="en-GB"/>
                  </w:rPr>
                  <w:t xml:space="preserve">the </w:t>
                </w:r>
                <w:r w:rsidRPr="00FF027F">
                  <w:rPr>
                    <w:rFonts w:ascii="Arial" w:hAnsi="Arial" w:cs="Arial"/>
                    <w:lang w:val="en-GB"/>
                  </w:rPr>
                  <w:t>date of referral to ACER</w:t>
                </w:r>
                <w:r w:rsidR="0030338D" w:rsidRPr="00FF027F">
                  <w:rPr>
                    <w:rFonts w:ascii="Arial" w:hAnsi="Arial" w:cs="Arial"/>
                    <w:lang w:val="en-GB"/>
                  </w:rPr>
                  <w:t>.</w:t>
                </w:r>
              </w:p>
            </w:tc>
          </w:tr>
          <w:tr w:rsidR="00C50CB4" w:rsidRPr="00FF027F" w14:paraId="3C71437C" w14:textId="77777777" w:rsidTr="00C50CB4">
            <w:trPr>
              <w:trHeight w:val="535"/>
            </w:trPr>
            <w:tc>
              <w:tcPr>
                <w:tcW w:w="1985" w:type="dxa"/>
                <w:shd w:val="clear" w:color="auto" w:fill="auto"/>
              </w:tcPr>
              <w:p w14:paraId="624FB82F"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2759D5F1" w14:textId="6FEA9BFF" w:rsidR="00C50CB4" w:rsidRPr="00FF027F" w:rsidRDefault="00C50CB4" w:rsidP="00965E3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1.0 FTE </w:t>
                </w:r>
              </w:p>
            </w:tc>
          </w:tr>
          <w:tr w:rsidR="00C50CB4" w:rsidRPr="00FF027F" w14:paraId="03B2ACFC"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6036CA15" w14:textId="77777777" w:rsidR="00C50CB4" w:rsidRPr="00FF027F" w:rsidRDefault="00C50CB4" w:rsidP="00CB1B39">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30F35FE5" w14:textId="77777777" w:rsidR="00C50CB4" w:rsidRPr="00FF027F" w:rsidRDefault="00C50CB4" w:rsidP="0030338D">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Timely receipt of complete file and supporting material from NRAs, carrying </w:t>
                </w:r>
                <w:r w:rsidR="0030338D" w:rsidRPr="00FF027F">
                  <w:rPr>
                    <w:rFonts w:ascii="Arial" w:eastAsia="Times New Roman" w:hAnsi="Arial" w:cs="Arial"/>
                    <w:iCs/>
                    <w:lang w:val="en-GB"/>
                  </w:rPr>
                  <w:t xml:space="preserve">out </w:t>
                </w:r>
                <w:r w:rsidRPr="00FF027F">
                  <w:rPr>
                    <w:rFonts w:ascii="Arial" w:eastAsia="Times New Roman" w:hAnsi="Arial" w:cs="Arial"/>
                    <w:iCs/>
                    <w:lang w:val="en-GB"/>
                  </w:rPr>
                  <w:t xml:space="preserve">a quality consultation with NRA participation prior to </w:t>
                </w:r>
                <w:r w:rsidR="0030338D" w:rsidRPr="00FF027F">
                  <w:rPr>
                    <w:rFonts w:ascii="Arial" w:eastAsia="Times New Roman" w:hAnsi="Arial" w:cs="Arial"/>
                    <w:iCs/>
                    <w:lang w:val="en-GB"/>
                  </w:rPr>
                  <w:t>ta</w:t>
                </w:r>
                <w:r w:rsidRPr="00FF027F">
                  <w:rPr>
                    <w:rFonts w:ascii="Arial" w:eastAsia="Times New Roman" w:hAnsi="Arial" w:cs="Arial"/>
                    <w:iCs/>
                    <w:lang w:val="en-GB"/>
                  </w:rPr>
                  <w:t>king a decision</w:t>
                </w:r>
                <w:r w:rsidR="0030338D" w:rsidRPr="00FF027F">
                  <w:rPr>
                    <w:rFonts w:ascii="Arial" w:eastAsia="Times New Roman" w:hAnsi="Arial" w:cs="Arial"/>
                    <w:iCs/>
                    <w:lang w:val="en-GB"/>
                  </w:rPr>
                  <w:t>.</w:t>
                </w:r>
              </w:p>
            </w:tc>
          </w:tr>
        </w:tbl>
        <w:p w14:paraId="78A2FC63" w14:textId="77777777" w:rsidR="00C50CB4" w:rsidRPr="00FF027F" w:rsidRDefault="00C50CB4" w:rsidP="00C50CB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C50CB4" w:rsidRPr="00FF027F" w14:paraId="3170B3EF" w14:textId="77777777" w:rsidTr="00C50CB4">
            <w:trPr>
              <w:trHeight w:val="520"/>
            </w:trPr>
            <w:tc>
              <w:tcPr>
                <w:tcW w:w="1985" w:type="dxa"/>
                <w:shd w:val="clear" w:color="auto" w:fill="002060"/>
              </w:tcPr>
              <w:p w14:paraId="1FB94EB0" w14:textId="77777777" w:rsidR="00C50CB4" w:rsidRPr="00FF027F" w:rsidRDefault="00C50CB4" w:rsidP="00D3191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230C7EFF" w14:textId="77777777" w:rsidR="00C50CB4" w:rsidRPr="00FF027F" w:rsidRDefault="00C50CB4" w:rsidP="00D3191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Decisions on investment requests including on cross-border cost allocation</w:t>
                </w:r>
              </w:p>
            </w:tc>
          </w:tr>
          <w:tr w:rsidR="00C50CB4" w:rsidRPr="00FF027F" w14:paraId="03124E83" w14:textId="77777777" w:rsidTr="00C50CB4">
            <w:trPr>
              <w:trHeight w:val="504"/>
            </w:trPr>
            <w:tc>
              <w:tcPr>
                <w:tcW w:w="1985" w:type="dxa"/>
                <w:shd w:val="clear" w:color="auto" w:fill="auto"/>
              </w:tcPr>
              <w:p w14:paraId="4BB3B39C" w14:textId="77777777" w:rsidR="00C50CB4" w:rsidRPr="00FF027F" w:rsidRDefault="00C50CB4" w:rsidP="00D3191C">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47FE5511" w14:textId="77777777" w:rsidR="00C50CB4" w:rsidRPr="00FF027F" w:rsidRDefault="00C50CB4" w:rsidP="00D3191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12(6) of Regulation (EC) No 347/2013</w:t>
                </w:r>
              </w:p>
            </w:tc>
          </w:tr>
          <w:tr w:rsidR="00C50CB4" w:rsidRPr="00FF027F" w14:paraId="2F1F29F6" w14:textId="77777777" w:rsidTr="00C50CB4">
            <w:trPr>
              <w:trHeight w:val="392"/>
            </w:trPr>
            <w:tc>
              <w:tcPr>
                <w:tcW w:w="1985" w:type="dxa"/>
                <w:shd w:val="clear" w:color="auto" w:fill="auto"/>
              </w:tcPr>
              <w:p w14:paraId="705AA931"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6119A015" w14:textId="77777777" w:rsidR="00C50CB4" w:rsidRPr="00FF027F" w:rsidRDefault="00C50CB4" w:rsidP="00D3191C">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 xml:space="preserve">For projects of common interest included in the first Union list, project promoters submitted their investment request as required by Article 12(3) of Regulation (EC) No 347/2013. </w:t>
                </w:r>
                <w:r w:rsidR="00D3191C" w:rsidRPr="00FF027F">
                  <w:rPr>
                    <w:rFonts w:ascii="Arial" w:eastAsia="Times New Roman" w:hAnsi="Arial" w:cs="Arial"/>
                    <w:iCs/>
                    <w:lang w:val="en-GB"/>
                  </w:rPr>
                  <w:t>In 2014</w:t>
                </w:r>
                <w:r w:rsidRPr="00FF027F">
                  <w:rPr>
                    <w:rFonts w:ascii="Arial" w:eastAsia="Times New Roman" w:hAnsi="Arial" w:cs="Arial"/>
                    <w:iCs/>
                    <w:lang w:val="en-GB"/>
                  </w:rPr>
                  <w:t xml:space="preserve"> approximately 20 CBCA requests were submitted.</w:t>
                </w:r>
                <w:r w:rsidRPr="00FF027F">
                  <w:rPr>
                    <w:rFonts w:ascii="Arial" w:hAnsi="Arial" w:cs="Arial"/>
                    <w:lang w:val="en-GB"/>
                  </w:rPr>
                  <w:t xml:space="preserve"> </w:t>
                </w:r>
                <w:r w:rsidRPr="00FF027F">
                  <w:rPr>
                    <w:rFonts w:ascii="Arial" w:eastAsia="Times New Roman" w:hAnsi="Arial" w:cs="Arial"/>
                    <w:iCs/>
                    <w:lang w:val="en-GB"/>
                  </w:rPr>
                  <w:t>Investment / CBCA requests can be continuously submitted. New CBCA requests are expected in 2015.</w:t>
                </w:r>
              </w:p>
            </w:tc>
          </w:tr>
          <w:tr w:rsidR="00C50CB4" w:rsidRPr="00FF027F" w14:paraId="70027554" w14:textId="77777777" w:rsidTr="00C50CB4">
            <w:trPr>
              <w:trHeight w:val="1017"/>
            </w:trPr>
            <w:tc>
              <w:tcPr>
                <w:tcW w:w="1985" w:type="dxa"/>
                <w:shd w:val="clear" w:color="auto" w:fill="auto"/>
              </w:tcPr>
              <w:p w14:paraId="59997E29"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7089C2C8" w14:textId="77777777" w:rsidR="00C50CB4" w:rsidRPr="00FF027F" w:rsidRDefault="00C50CB4" w:rsidP="00D3191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Delivery of a decision within three months from date of referral to the Agency, with a possible two months extension in cases where additional information is needed.</w:t>
                </w:r>
              </w:p>
            </w:tc>
          </w:tr>
          <w:tr w:rsidR="00C50CB4" w:rsidRPr="00FF027F" w14:paraId="410CC560" w14:textId="77777777" w:rsidTr="00C50CB4">
            <w:trPr>
              <w:trHeight w:val="780"/>
            </w:trPr>
            <w:tc>
              <w:tcPr>
                <w:tcW w:w="1985" w:type="dxa"/>
                <w:shd w:val="clear" w:color="auto" w:fill="auto"/>
              </w:tcPr>
              <w:p w14:paraId="295C0F54"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58229075" w14:textId="5E666709" w:rsidR="00C50CB4" w:rsidRPr="00FF027F" w:rsidRDefault="00C50CB4" w:rsidP="00D3191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a decision within the prescribed period of time from date of referral to ACER</w:t>
                </w:r>
                <w:r w:rsidR="00AC2CF9" w:rsidRPr="00FF027F">
                  <w:rPr>
                    <w:rFonts w:ascii="Arial" w:hAnsi="Arial" w:cs="Arial"/>
                    <w:lang w:val="en-GB"/>
                  </w:rPr>
                  <w:t>.</w:t>
                </w:r>
              </w:p>
            </w:tc>
          </w:tr>
          <w:tr w:rsidR="00C50CB4" w:rsidRPr="00FF027F" w14:paraId="6B010AD2" w14:textId="77777777" w:rsidTr="00C50CB4">
            <w:trPr>
              <w:trHeight w:val="535"/>
            </w:trPr>
            <w:tc>
              <w:tcPr>
                <w:tcW w:w="1985" w:type="dxa"/>
                <w:shd w:val="clear" w:color="auto" w:fill="auto"/>
              </w:tcPr>
              <w:p w14:paraId="21FCCACB" w14:textId="77777777" w:rsidR="00C50CB4" w:rsidRPr="00FF027F" w:rsidRDefault="00C50CB4" w:rsidP="00D3191C">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79FC9C31" w14:textId="4CDEF857" w:rsidR="00C50CB4" w:rsidRPr="00FF027F" w:rsidRDefault="00C50CB4" w:rsidP="00965E3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1.0 FTE </w:t>
                </w:r>
              </w:p>
            </w:tc>
          </w:tr>
          <w:tr w:rsidR="00C50CB4" w:rsidRPr="00FF027F" w14:paraId="19D64DBA"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209006B" w14:textId="77777777" w:rsidR="00C50CB4" w:rsidRPr="00FF027F" w:rsidRDefault="00C50CB4" w:rsidP="00D3191C">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4E61D286" w14:textId="3E842CF9" w:rsidR="00C50CB4" w:rsidRPr="00FF027F" w:rsidRDefault="00C50CB4" w:rsidP="00D3191C">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hAnsi="Arial" w:cs="Arial"/>
                    <w:lang w:val="en-GB"/>
                  </w:rPr>
                  <w:t xml:space="preserve">Availability of ACER </w:t>
                </w:r>
                <w:r w:rsidR="00B10589" w:rsidRPr="00FF027F">
                  <w:rPr>
                    <w:rFonts w:ascii="Arial" w:hAnsi="Arial" w:cs="Arial"/>
                    <w:lang w:val="en-GB"/>
                  </w:rPr>
                  <w:t xml:space="preserve">and possibly NRA </w:t>
                </w:r>
                <w:r w:rsidRPr="00FF027F">
                  <w:rPr>
                    <w:rFonts w:ascii="Arial" w:hAnsi="Arial" w:cs="Arial"/>
                    <w:lang w:val="en-GB"/>
                  </w:rPr>
                  <w:t xml:space="preserve">resources and required </w:t>
                </w:r>
                <w:r w:rsidRPr="00FF027F">
                  <w:rPr>
                    <w:rFonts w:ascii="Arial" w:eastAsia="Times New Roman" w:hAnsi="Arial" w:cs="Arial"/>
                    <w:iCs/>
                    <w:lang w:val="en-GB"/>
                  </w:rPr>
                  <w:t xml:space="preserve">data. Timely receipt of complete file and supporting material from NRAs, carrying </w:t>
                </w:r>
                <w:r w:rsidR="00D3191C" w:rsidRPr="00FF027F">
                  <w:rPr>
                    <w:rFonts w:ascii="Arial" w:eastAsia="Times New Roman" w:hAnsi="Arial" w:cs="Arial"/>
                    <w:iCs/>
                    <w:lang w:val="en-GB"/>
                  </w:rPr>
                  <w:t xml:space="preserve">out a </w:t>
                </w:r>
                <w:r w:rsidRPr="00FF027F">
                  <w:rPr>
                    <w:rFonts w:ascii="Arial" w:eastAsia="Times New Roman" w:hAnsi="Arial" w:cs="Arial"/>
                    <w:iCs/>
                    <w:lang w:val="en-GB"/>
                  </w:rPr>
                  <w:t>quality consultation with NRA and stak</w:t>
                </w:r>
                <w:r w:rsidR="00D3191C" w:rsidRPr="00FF027F">
                  <w:rPr>
                    <w:rFonts w:ascii="Arial" w:eastAsia="Times New Roman" w:hAnsi="Arial" w:cs="Arial"/>
                    <w:iCs/>
                    <w:lang w:val="en-GB"/>
                  </w:rPr>
                  <w:t>eholder participation prior to t</w:t>
                </w:r>
                <w:r w:rsidRPr="00FF027F">
                  <w:rPr>
                    <w:rFonts w:ascii="Arial" w:eastAsia="Times New Roman" w:hAnsi="Arial" w:cs="Arial"/>
                    <w:iCs/>
                    <w:lang w:val="en-GB"/>
                  </w:rPr>
                  <w:t xml:space="preserve">aking a decision. </w:t>
                </w:r>
              </w:p>
            </w:tc>
          </w:tr>
        </w:tbl>
        <w:p w14:paraId="4D709363" w14:textId="77777777" w:rsidR="00C50CB4" w:rsidRPr="00FF027F" w:rsidRDefault="00C50CB4" w:rsidP="00C50CB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07E40BC9" w14:textId="77777777" w:rsidTr="00C50CB4">
            <w:trPr>
              <w:trHeight w:val="520"/>
            </w:trPr>
            <w:tc>
              <w:tcPr>
                <w:tcW w:w="1985" w:type="dxa"/>
                <w:shd w:val="clear" w:color="auto" w:fill="002060"/>
              </w:tcPr>
              <w:p w14:paraId="72D32D5B" w14:textId="77777777" w:rsidR="00C50CB4" w:rsidRPr="00FF027F" w:rsidRDefault="00C50CB4" w:rsidP="00D3191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2A7FE795" w14:textId="77777777" w:rsidR="00C50CB4" w:rsidRPr="00FF027F" w:rsidRDefault="00C50CB4" w:rsidP="00D3191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Requests for updates and improvements of the (electricity or gas) methodology for cost-benefit analysis</w:t>
                </w:r>
              </w:p>
            </w:tc>
          </w:tr>
          <w:tr w:rsidR="00C50CB4" w:rsidRPr="00FF027F" w14:paraId="211454C2" w14:textId="77777777" w:rsidTr="00C50CB4">
            <w:trPr>
              <w:trHeight w:val="504"/>
            </w:trPr>
            <w:tc>
              <w:tcPr>
                <w:tcW w:w="1985" w:type="dxa"/>
                <w:shd w:val="clear" w:color="auto" w:fill="auto"/>
              </w:tcPr>
              <w:p w14:paraId="52A4CA87" w14:textId="77777777" w:rsidR="00C50CB4" w:rsidRPr="00FF027F" w:rsidRDefault="00C50CB4" w:rsidP="00D3191C">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16FA72D7" w14:textId="77777777" w:rsidR="00C50CB4" w:rsidRPr="00FF027F" w:rsidRDefault="00C50CB4" w:rsidP="00D3191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11(6) of Regulation (EC) No 347/2013</w:t>
                </w:r>
              </w:p>
            </w:tc>
          </w:tr>
          <w:tr w:rsidR="00C50CB4" w:rsidRPr="00FF027F" w14:paraId="3FF6DD48" w14:textId="77777777" w:rsidTr="00C50CB4">
            <w:trPr>
              <w:trHeight w:val="392"/>
            </w:trPr>
            <w:tc>
              <w:tcPr>
                <w:tcW w:w="1985" w:type="dxa"/>
                <w:shd w:val="clear" w:color="auto" w:fill="auto"/>
              </w:tcPr>
              <w:p w14:paraId="2404683A" w14:textId="77777777" w:rsidR="00C50CB4" w:rsidRPr="00FF027F" w:rsidRDefault="00C50CB4" w:rsidP="00D3191C">
                <w:pPr>
                  <w:spacing w:before="120" w:after="120"/>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581F3310" w14:textId="77777777" w:rsidR="00C50CB4" w:rsidRPr="00FF027F" w:rsidRDefault="00C50CB4" w:rsidP="00D3191C">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eastAsia="Times New Roman" w:hAnsi="Arial" w:cs="Arial"/>
                    <w:iCs/>
                    <w:lang w:val="en-GB"/>
                  </w:rPr>
                  <w:t>The CBA methodologies shall be approved by the Commission and published by the ENTSO for Electricity and the ENTSO for Gas on their websites. The methodologies shall be updated and improved regularly. The Agency, on its own initiative or upon a duly reasoned request by national regulatory authorities or stakeholders, and after formally consulting the organisations representing all relevant stakeholders and the Commission, may request such updates and improvements with due justification and timescales.</w:t>
                </w:r>
              </w:p>
            </w:tc>
          </w:tr>
          <w:tr w:rsidR="00C50CB4" w:rsidRPr="00FF027F" w14:paraId="54DD322C" w14:textId="77777777" w:rsidTr="00196477">
            <w:trPr>
              <w:trHeight w:val="809"/>
            </w:trPr>
            <w:tc>
              <w:tcPr>
                <w:tcW w:w="1985" w:type="dxa"/>
                <w:shd w:val="clear" w:color="auto" w:fill="auto"/>
              </w:tcPr>
              <w:p w14:paraId="7C93DF48"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4FE9BBF9" w14:textId="64E37775" w:rsidR="00C50CB4" w:rsidRPr="00FF027F" w:rsidRDefault="00AB2645" w:rsidP="00D3191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Request(s) for </w:t>
                </w:r>
                <w:r w:rsidRPr="00FF027F">
                  <w:rPr>
                    <w:rFonts w:ascii="Arial" w:eastAsia="Times New Roman" w:hAnsi="Arial" w:cs="Arial"/>
                    <w:iCs/>
                    <w:lang w:val="en-GB"/>
                  </w:rPr>
                  <w:t>updates and improvements of the CBA methodology(ies).</w:t>
                </w:r>
              </w:p>
            </w:tc>
          </w:tr>
          <w:tr w:rsidR="00C50CB4" w:rsidRPr="00FF027F" w14:paraId="661AD840" w14:textId="77777777" w:rsidTr="00C50CB4">
            <w:trPr>
              <w:trHeight w:val="780"/>
            </w:trPr>
            <w:tc>
              <w:tcPr>
                <w:tcW w:w="1985" w:type="dxa"/>
                <w:shd w:val="clear" w:color="auto" w:fill="auto"/>
              </w:tcPr>
              <w:p w14:paraId="44DA9F58"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6ADE1D67" w14:textId="77777777" w:rsidR="00C50CB4" w:rsidRPr="00FF027F" w:rsidRDefault="00C50CB4" w:rsidP="00D3191C">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ad-hoc requests for CBA methodologies updates and improvements.</w:t>
                </w:r>
              </w:p>
            </w:tc>
          </w:tr>
          <w:tr w:rsidR="00C50CB4" w:rsidRPr="00FF027F" w14:paraId="237C6101" w14:textId="77777777" w:rsidTr="00C50CB4">
            <w:trPr>
              <w:trHeight w:val="535"/>
            </w:trPr>
            <w:tc>
              <w:tcPr>
                <w:tcW w:w="1985" w:type="dxa"/>
                <w:shd w:val="clear" w:color="auto" w:fill="auto"/>
              </w:tcPr>
              <w:p w14:paraId="2EE6F561" w14:textId="77777777" w:rsidR="00C50CB4" w:rsidRPr="00FF027F" w:rsidRDefault="00C50CB4" w:rsidP="00D3191C">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6D6053D1" w14:textId="496ECC76" w:rsidR="00C50CB4" w:rsidRPr="00FF027F" w:rsidRDefault="00C50CB4" w:rsidP="00965E3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0.3 FTE </w:t>
                </w:r>
              </w:p>
            </w:tc>
          </w:tr>
          <w:tr w:rsidR="00C50CB4" w:rsidRPr="00FF027F" w14:paraId="70B9E9D8"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5A22260" w14:textId="77777777" w:rsidR="00C50CB4" w:rsidRPr="00FF027F" w:rsidRDefault="00C50CB4" w:rsidP="00D3191C">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680DB3DC" w14:textId="198BBE1B" w:rsidR="00C50CB4" w:rsidRPr="00FF027F" w:rsidRDefault="00C50CB4" w:rsidP="00D3191C">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Coordination of stakeholders, timely receipt of quality information from NRAs and stakeholders, time constraints</w:t>
                </w:r>
                <w:r w:rsidR="00AC2CF9" w:rsidRPr="00FF027F">
                  <w:rPr>
                    <w:rFonts w:ascii="Arial" w:eastAsia="Times New Roman" w:hAnsi="Arial" w:cs="Arial"/>
                    <w:iCs/>
                    <w:lang w:val="en-GB"/>
                  </w:rPr>
                  <w:t>.</w:t>
                </w:r>
              </w:p>
            </w:tc>
          </w:tr>
        </w:tbl>
        <w:p w14:paraId="274CE507" w14:textId="77777777" w:rsidR="00C50CB4" w:rsidRPr="00FF027F" w:rsidRDefault="00C50CB4" w:rsidP="00C50CB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936"/>
          </w:tblGrid>
          <w:tr w:rsidR="00C50CB4" w:rsidRPr="00FF027F" w14:paraId="73F15ECE" w14:textId="77777777" w:rsidTr="00C50CB4">
            <w:trPr>
              <w:trHeight w:val="520"/>
            </w:trPr>
            <w:tc>
              <w:tcPr>
                <w:tcW w:w="1985" w:type="dxa"/>
                <w:shd w:val="clear" w:color="auto" w:fill="002060"/>
              </w:tcPr>
              <w:p w14:paraId="4BFB0433" w14:textId="77777777" w:rsidR="00C50CB4" w:rsidRPr="00FF027F" w:rsidRDefault="00C50CB4" w:rsidP="00CE34E8">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77DCFD61" w14:textId="77777777" w:rsidR="00C50CB4" w:rsidRPr="00FF027F" w:rsidRDefault="00C50CB4" w:rsidP="00CE34E8">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on preliminary decisions by NRAs on TSO certification when requested by the Commission</w:t>
                </w:r>
              </w:p>
            </w:tc>
          </w:tr>
          <w:tr w:rsidR="00C50CB4" w:rsidRPr="00FF027F" w14:paraId="3514835F" w14:textId="77777777" w:rsidTr="00C50CB4">
            <w:trPr>
              <w:trHeight w:val="504"/>
            </w:trPr>
            <w:tc>
              <w:tcPr>
                <w:tcW w:w="1985" w:type="dxa"/>
                <w:shd w:val="clear" w:color="auto" w:fill="auto"/>
              </w:tcPr>
              <w:p w14:paraId="0DCF0CAF" w14:textId="77777777" w:rsidR="00C50CB4" w:rsidRPr="00FF027F" w:rsidRDefault="00C50CB4" w:rsidP="00CE34E8">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5B265530" w14:textId="77777777" w:rsidR="00C50CB4" w:rsidRPr="00FF027F" w:rsidRDefault="00C50CB4" w:rsidP="00CE34E8">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Article 9(2) of Regulation (EC) No 713/2009 </w:t>
                </w:r>
              </w:p>
              <w:p w14:paraId="689EF471" w14:textId="77777777" w:rsidR="00C50CB4" w:rsidRPr="00FF027F" w:rsidRDefault="00C50CB4" w:rsidP="00CE34E8">
                <w:pPr>
                  <w:autoSpaceDE w:val="0"/>
                  <w:autoSpaceDN w:val="0"/>
                  <w:adjustRightInd w:val="0"/>
                  <w:spacing w:before="120" w:after="120" w:line="240" w:lineRule="auto"/>
                  <w:ind w:left="202"/>
                  <w:rPr>
                    <w:rFonts w:ascii="Arial" w:hAnsi="Arial" w:cs="Arial"/>
                    <w:lang w:val="en-GB"/>
                  </w:rPr>
                </w:pPr>
                <w:r w:rsidRPr="00FF027F">
                  <w:rPr>
                    <w:rFonts w:ascii="Arial" w:eastAsia="Times New Roman" w:hAnsi="Arial" w:cs="Arial"/>
                    <w:iCs/>
                    <w:lang w:val="en-GB"/>
                  </w:rPr>
                  <w:t>Article 3(1) of Regulations (EC) No 714/2009 and (EC) No 715/2009</w:t>
                </w:r>
                <w:r w:rsidRPr="00FF027F">
                  <w:rPr>
                    <w:lang w:val="en-GB"/>
                  </w:rPr>
                  <w:t xml:space="preserve"> </w:t>
                </w:r>
              </w:p>
            </w:tc>
          </w:tr>
          <w:tr w:rsidR="00C50CB4" w:rsidRPr="00FF027F" w14:paraId="21FF78F6" w14:textId="77777777" w:rsidTr="00C50CB4">
            <w:trPr>
              <w:trHeight w:val="392"/>
            </w:trPr>
            <w:tc>
              <w:tcPr>
                <w:tcW w:w="1985" w:type="dxa"/>
                <w:shd w:val="clear" w:color="auto" w:fill="auto"/>
              </w:tcPr>
              <w:p w14:paraId="6F0091B3"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03E27718" w14:textId="77777777" w:rsidR="00C50CB4" w:rsidRPr="00FF027F" w:rsidRDefault="00C50CB4" w:rsidP="00CE34E8">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Regular consultation and information exchange </w:t>
                </w:r>
                <w:r w:rsidR="00CE34E8" w:rsidRPr="00FF027F">
                  <w:rPr>
                    <w:rFonts w:ascii="Arial" w:eastAsia="Times New Roman" w:hAnsi="Arial" w:cs="Arial"/>
                    <w:iCs/>
                    <w:lang w:val="en-GB"/>
                  </w:rPr>
                  <w:t xml:space="preserve">takes place </w:t>
                </w:r>
                <w:r w:rsidRPr="00FF027F">
                  <w:rPr>
                    <w:rFonts w:ascii="Arial" w:eastAsia="Times New Roman" w:hAnsi="Arial" w:cs="Arial"/>
                    <w:iCs/>
                    <w:lang w:val="en-GB"/>
                  </w:rPr>
                  <w:t xml:space="preserve">between the Commission and the Agency. The Agency has not been requested to provide the opinion on the national regulatory authority’s decision regarding the certification of TSOs yet. </w:t>
                </w:r>
              </w:p>
            </w:tc>
          </w:tr>
          <w:tr w:rsidR="00C50CB4" w:rsidRPr="00FF027F" w14:paraId="755C690C" w14:textId="77777777" w:rsidTr="00B4312C">
            <w:trPr>
              <w:trHeight w:val="773"/>
            </w:trPr>
            <w:tc>
              <w:tcPr>
                <w:tcW w:w="1985" w:type="dxa"/>
                <w:shd w:val="clear" w:color="auto" w:fill="auto"/>
              </w:tcPr>
              <w:p w14:paraId="60D03368"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2E5105E8" w14:textId="0DEABDE7" w:rsidR="00C50CB4" w:rsidRPr="00FF027F" w:rsidRDefault="00C50CB4" w:rsidP="00B4312C">
                <w:pPr>
                  <w:autoSpaceDE w:val="0"/>
                  <w:autoSpaceDN w:val="0"/>
                  <w:adjustRightInd w:val="0"/>
                  <w:spacing w:before="120" w:after="120" w:line="240" w:lineRule="auto"/>
                  <w:ind w:left="202"/>
                  <w:rPr>
                    <w:rFonts w:ascii="Arial" w:hAnsi="Arial" w:cs="Arial"/>
                    <w:lang w:val="en-GB"/>
                  </w:rPr>
                </w:pPr>
                <w:r w:rsidRPr="00FF027F">
                  <w:rPr>
                    <w:rFonts w:ascii="Arial" w:eastAsia="Times New Roman" w:hAnsi="Arial" w:cs="Arial"/>
                    <w:iCs/>
                    <w:lang w:val="en-GB"/>
                  </w:rPr>
                  <w:t>Provide support to TSO certification by delivering, upon request, an opinion on preliminary decisions by NRAs on TSO certification</w:t>
                </w:r>
                <w:r w:rsidR="00B4312C" w:rsidRPr="00FF027F">
                  <w:rPr>
                    <w:rFonts w:ascii="Arial" w:eastAsia="Times New Roman" w:hAnsi="Arial" w:cs="Arial"/>
                    <w:iCs/>
                    <w:lang w:val="en-GB"/>
                  </w:rPr>
                  <w:t>.</w:t>
                </w:r>
              </w:p>
            </w:tc>
          </w:tr>
          <w:tr w:rsidR="00C50CB4" w:rsidRPr="00FF027F" w14:paraId="5245A4E1" w14:textId="77777777" w:rsidTr="00C50CB4">
            <w:trPr>
              <w:trHeight w:val="780"/>
            </w:trPr>
            <w:tc>
              <w:tcPr>
                <w:tcW w:w="1985" w:type="dxa"/>
                <w:shd w:val="clear" w:color="auto" w:fill="auto"/>
              </w:tcPr>
              <w:p w14:paraId="7536F468"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57361EBA" w14:textId="7322ACBB" w:rsidR="00C50CB4" w:rsidRPr="00FF027F" w:rsidRDefault="00C50CB4" w:rsidP="00CE34E8">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the opinion to the Commission</w:t>
                </w:r>
                <w:r w:rsidR="00B4312C" w:rsidRPr="00FF027F">
                  <w:rPr>
                    <w:rFonts w:ascii="Arial" w:hAnsi="Arial" w:cs="Arial"/>
                    <w:lang w:val="en-GB"/>
                  </w:rPr>
                  <w:t>.</w:t>
                </w:r>
              </w:p>
            </w:tc>
          </w:tr>
          <w:tr w:rsidR="00C50CB4" w:rsidRPr="00FF027F" w14:paraId="16613F75" w14:textId="77777777" w:rsidTr="00C50CB4">
            <w:trPr>
              <w:trHeight w:val="535"/>
            </w:trPr>
            <w:tc>
              <w:tcPr>
                <w:tcW w:w="1985" w:type="dxa"/>
                <w:shd w:val="clear" w:color="auto" w:fill="auto"/>
              </w:tcPr>
              <w:p w14:paraId="54D32760" w14:textId="77777777" w:rsidR="00C50CB4" w:rsidRPr="00FF027F" w:rsidRDefault="00C50CB4" w:rsidP="00CE34E8">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439A6D55" w14:textId="17023EBB" w:rsidR="00C50CB4" w:rsidRPr="00FF027F" w:rsidRDefault="00C50CB4" w:rsidP="00965E3B">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0.3 FTE </w:t>
                </w:r>
              </w:p>
            </w:tc>
          </w:tr>
          <w:tr w:rsidR="00C50CB4" w:rsidRPr="00FF027F" w14:paraId="5C9CB4C6"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BCC1C5C" w14:textId="77777777" w:rsidR="00C50CB4" w:rsidRPr="00FF027F" w:rsidRDefault="00C50CB4" w:rsidP="00CE34E8">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5068B962" w14:textId="0183F05C" w:rsidR="00C50CB4" w:rsidRPr="00FF027F" w:rsidRDefault="00C50CB4" w:rsidP="00CE34E8">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Receipt of complete quality information about the preliminary decision on certification along with all pertinent supporting evidence, coordination with stakeholders, time constraints</w:t>
                </w:r>
                <w:r w:rsidR="00B4312C" w:rsidRPr="00FF027F">
                  <w:rPr>
                    <w:rFonts w:ascii="Arial" w:eastAsia="Times New Roman" w:hAnsi="Arial" w:cs="Arial"/>
                    <w:iCs/>
                    <w:lang w:val="en-GB"/>
                  </w:rPr>
                  <w:t>.</w:t>
                </w:r>
              </w:p>
            </w:tc>
          </w:tr>
        </w:tbl>
        <w:p w14:paraId="02CFF769" w14:textId="77777777" w:rsidR="00C50CB4" w:rsidRPr="00FF027F" w:rsidRDefault="00C50CB4" w:rsidP="00C50CB4">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147ED05B" w14:textId="77777777" w:rsidTr="00C50CB4">
            <w:trPr>
              <w:trHeight w:val="520"/>
            </w:trPr>
            <w:tc>
              <w:tcPr>
                <w:tcW w:w="1985" w:type="dxa"/>
                <w:shd w:val="clear" w:color="auto" w:fill="002060"/>
              </w:tcPr>
              <w:p w14:paraId="7F5324B3" w14:textId="77777777" w:rsidR="00C50CB4" w:rsidRPr="00FF027F" w:rsidRDefault="00C50CB4" w:rsidP="00B4312C">
                <w:pPr>
                  <w:autoSpaceDE w:val="0"/>
                  <w:autoSpaceDN w:val="0"/>
                  <w:adjustRightInd w:val="0"/>
                  <w:spacing w:before="120" w:after="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33B3D1A7" w14:textId="77777777" w:rsidR="00C50CB4" w:rsidRPr="00FF027F" w:rsidRDefault="00C50CB4" w:rsidP="00B4312C">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and recommendations in the areas of its competence, upon request by Member States, NRAs, the European Parliament, the Council and the European Commission</w:t>
                </w:r>
              </w:p>
            </w:tc>
          </w:tr>
          <w:tr w:rsidR="00C50CB4" w:rsidRPr="00FF027F" w14:paraId="44AEB6D8" w14:textId="77777777" w:rsidTr="00C50CB4">
            <w:trPr>
              <w:trHeight w:val="504"/>
            </w:trPr>
            <w:tc>
              <w:tcPr>
                <w:tcW w:w="1985" w:type="dxa"/>
                <w:shd w:val="clear" w:color="auto" w:fill="auto"/>
              </w:tcPr>
              <w:p w14:paraId="600C00FB" w14:textId="77777777" w:rsidR="00C50CB4" w:rsidRPr="00FF027F" w:rsidRDefault="00C50CB4" w:rsidP="00B4312C">
                <w:pPr>
                  <w:spacing w:before="120" w:after="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478E99CA" w14:textId="77777777" w:rsidR="00C50CB4" w:rsidRPr="00FF027F" w:rsidRDefault="00C50CB4" w:rsidP="00B4312C">
                <w:pPr>
                  <w:autoSpaceDE w:val="0"/>
                  <w:autoSpaceDN w:val="0"/>
                  <w:adjustRightInd w:val="0"/>
                  <w:spacing w:before="120" w:after="0" w:line="240" w:lineRule="auto"/>
                  <w:ind w:left="202"/>
                  <w:rPr>
                    <w:rFonts w:ascii="Arial" w:hAnsi="Arial" w:cs="Arial"/>
                    <w:lang w:val="en-GB"/>
                  </w:rPr>
                </w:pPr>
                <w:r w:rsidRPr="00FF027F">
                  <w:rPr>
                    <w:rFonts w:ascii="Arial" w:hAnsi="Arial" w:cs="Arial"/>
                    <w:lang w:val="en-GB"/>
                  </w:rPr>
                  <w:t xml:space="preserve">Regulation (EC) No 713/2009, Article 5 </w:t>
                </w:r>
              </w:p>
            </w:tc>
          </w:tr>
          <w:tr w:rsidR="00C50CB4" w:rsidRPr="00FF027F" w14:paraId="54CD3FCF" w14:textId="77777777" w:rsidTr="00C50CB4">
            <w:trPr>
              <w:trHeight w:val="392"/>
            </w:trPr>
            <w:tc>
              <w:tcPr>
                <w:tcW w:w="1985" w:type="dxa"/>
                <w:shd w:val="clear" w:color="auto" w:fill="auto"/>
              </w:tcPr>
              <w:p w14:paraId="7DA95BD9" w14:textId="77777777" w:rsidR="00C50CB4" w:rsidRPr="00FF027F" w:rsidRDefault="00C50CB4" w:rsidP="00C3063B">
                <w:pPr>
                  <w:spacing w:before="120" w:after="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65359CCD" w14:textId="5F57F565" w:rsidR="00C50CB4" w:rsidRPr="00FF027F" w:rsidRDefault="00C50CB4" w:rsidP="00B4312C">
                <w:pPr>
                  <w:autoSpaceDE w:val="0"/>
                  <w:autoSpaceDN w:val="0"/>
                  <w:adjustRightInd w:val="0"/>
                  <w:spacing w:before="120" w:after="0" w:line="240" w:lineRule="auto"/>
                  <w:ind w:left="202"/>
                  <w:rPr>
                    <w:rFonts w:ascii="Arial" w:eastAsia="Times New Roman" w:hAnsi="Arial" w:cs="Arial"/>
                    <w:iCs/>
                    <w:lang w:val="en-GB"/>
                  </w:rPr>
                </w:pPr>
                <w:r w:rsidRPr="00FF027F">
                  <w:rPr>
                    <w:rFonts w:ascii="Arial" w:eastAsia="Times New Roman" w:hAnsi="Arial" w:cs="Arial"/>
                    <w:iCs/>
                    <w:lang w:val="en-GB"/>
                  </w:rPr>
                  <w:t>Upon request by Member States, NRAs, the European Parliament, the Council and the European Commission</w:t>
                </w:r>
                <w:r w:rsidR="00B4312C" w:rsidRPr="00FF027F">
                  <w:rPr>
                    <w:rFonts w:ascii="Arial" w:eastAsia="Times New Roman" w:hAnsi="Arial" w:cs="Arial"/>
                    <w:iCs/>
                    <w:lang w:val="en-GB"/>
                  </w:rPr>
                  <w:t>.</w:t>
                </w:r>
              </w:p>
            </w:tc>
          </w:tr>
          <w:tr w:rsidR="00C50CB4" w:rsidRPr="00FF027F" w14:paraId="34C43738" w14:textId="77777777" w:rsidTr="00C50CB4">
            <w:trPr>
              <w:trHeight w:val="1017"/>
            </w:trPr>
            <w:tc>
              <w:tcPr>
                <w:tcW w:w="1985" w:type="dxa"/>
                <w:shd w:val="clear" w:color="auto" w:fill="auto"/>
              </w:tcPr>
              <w:p w14:paraId="6115D225" w14:textId="77777777" w:rsidR="00C50CB4" w:rsidRPr="00FF027F" w:rsidRDefault="00C50CB4" w:rsidP="00C3063B">
                <w:pPr>
                  <w:spacing w:before="120" w:after="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1D2BCF81" w14:textId="19C735D7" w:rsidR="00C50CB4" w:rsidRPr="00FF027F" w:rsidRDefault="00C50CB4" w:rsidP="00B4312C">
                <w:pPr>
                  <w:autoSpaceDE w:val="0"/>
                  <w:autoSpaceDN w:val="0"/>
                  <w:adjustRightInd w:val="0"/>
                  <w:spacing w:before="120" w:after="0" w:line="240" w:lineRule="auto"/>
                  <w:ind w:left="202"/>
                  <w:rPr>
                    <w:rFonts w:ascii="Arial" w:hAnsi="Arial" w:cs="Arial"/>
                    <w:lang w:val="en-GB"/>
                  </w:rPr>
                </w:pPr>
                <w:r w:rsidRPr="00FF027F">
                  <w:rPr>
                    <w:rFonts w:ascii="Arial" w:eastAsia="Times New Roman" w:hAnsi="Arial" w:cs="Arial"/>
                    <w:iCs/>
                    <w:lang w:val="en-GB"/>
                  </w:rPr>
                  <w:t xml:space="preserve">Provide support to Member States, NRAs, the European Parliament, the Council and the European Commission, by delivering the requested opinions and recommendations. </w:t>
                </w:r>
                <w:r w:rsidR="00B4312C" w:rsidRPr="00FF027F">
                  <w:rPr>
                    <w:rFonts w:ascii="Arial" w:eastAsia="Times New Roman" w:hAnsi="Arial" w:cs="Arial"/>
                    <w:iCs/>
                    <w:lang w:val="en-GB"/>
                  </w:rPr>
                  <w:t>The o</w:t>
                </w:r>
                <w:r w:rsidRPr="00FF027F">
                  <w:rPr>
                    <w:rFonts w:ascii="Arial" w:eastAsia="Times New Roman" w:hAnsi="Arial" w:cs="Arial"/>
                    <w:iCs/>
                    <w:lang w:val="en-GB"/>
                  </w:rPr>
                  <w:t>pinion</w:t>
                </w:r>
                <w:r w:rsidR="00B4312C" w:rsidRPr="00FF027F">
                  <w:rPr>
                    <w:rFonts w:ascii="Arial" w:eastAsia="Times New Roman" w:hAnsi="Arial" w:cs="Arial"/>
                    <w:iCs/>
                    <w:lang w:val="en-GB"/>
                  </w:rPr>
                  <w:t xml:space="preserve"> </w:t>
                </w:r>
                <w:r w:rsidRPr="00FF027F">
                  <w:rPr>
                    <w:rFonts w:ascii="Arial" w:eastAsia="Times New Roman" w:hAnsi="Arial" w:cs="Arial"/>
                    <w:iCs/>
                    <w:lang w:val="en-GB"/>
                  </w:rPr>
                  <w:t>/</w:t>
                </w:r>
                <w:r w:rsidR="00B4312C" w:rsidRPr="00FF027F">
                  <w:rPr>
                    <w:rFonts w:ascii="Arial" w:eastAsia="Times New Roman" w:hAnsi="Arial" w:cs="Arial"/>
                    <w:iCs/>
                    <w:lang w:val="en-GB"/>
                  </w:rPr>
                  <w:t xml:space="preserve"> </w:t>
                </w:r>
                <w:r w:rsidRPr="00FF027F">
                  <w:rPr>
                    <w:rFonts w:ascii="Arial" w:eastAsia="Times New Roman" w:hAnsi="Arial" w:cs="Arial"/>
                    <w:iCs/>
                    <w:lang w:val="en-GB"/>
                  </w:rPr>
                  <w:t>recommendation must be delivered within six months from the request, except for complex issues requiring data collection/surveys/ consultations.</w:t>
                </w:r>
              </w:p>
            </w:tc>
          </w:tr>
          <w:tr w:rsidR="00C50CB4" w:rsidRPr="00FF027F" w14:paraId="73AE2125" w14:textId="77777777" w:rsidTr="00C50CB4">
            <w:trPr>
              <w:trHeight w:val="780"/>
            </w:trPr>
            <w:tc>
              <w:tcPr>
                <w:tcW w:w="1985" w:type="dxa"/>
                <w:shd w:val="clear" w:color="auto" w:fill="auto"/>
              </w:tcPr>
              <w:p w14:paraId="66873163" w14:textId="77777777" w:rsidR="00C50CB4" w:rsidRPr="00FF027F" w:rsidRDefault="00C50CB4" w:rsidP="00C3063B">
                <w:pPr>
                  <w:spacing w:before="120" w:after="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6B7E9F32" w14:textId="66FE58BB" w:rsidR="00C50CB4" w:rsidRPr="00FF027F" w:rsidRDefault="00C50CB4" w:rsidP="00B4312C">
                <w:pPr>
                  <w:autoSpaceDE w:val="0"/>
                  <w:autoSpaceDN w:val="0"/>
                  <w:adjustRightInd w:val="0"/>
                  <w:spacing w:before="120" w:after="0" w:line="240" w:lineRule="auto"/>
                  <w:ind w:left="202"/>
                  <w:rPr>
                    <w:rFonts w:ascii="Arial" w:hAnsi="Arial" w:cs="Arial"/>
                    <w:lang w:val="en-GB"/>
                  </w:rPr>
                </w:pPr>
                <w:r w:rsidRPr="00FF027F">
                  <w:rPr>
                    <w:rFonts w:ascii="Arial" w:hAnsi="Arial" w:cs="Arial"/>
                    <w:lang w:val="en-GB"/>
                  </w:rPr>
                  <w:t>Timely delivery of the opinions and recommendations</w:t>
                </w:r>
                <w:r w:rsidR="004E27EE" w:rsidRPr="00FF027F">
                  <w:rPr>
                    <w:rFonts w:ascii="Arial" w:hAnsi="Arial" w:cs="Arial"/>
                    <w:lang w:val="en-GB"/>
                  </w:rPr>
                  <w:t>.</w:t>
                </w:r>
              </w:p>
            </w:tc>
          </w:tr>
          <w:tr w:rsidR="00C50CB4" w:rsidRPr="00FF027F" w14:paraId="683A8515" w14:textId="77777777" w:rsidTr="00C50CB4">
            <w:trPr>
              <w:trHeight w:val="535"/>
            </w:trPr>
            <w:tc>
              <w:tcPr>
                <w:tcW w:w="1985" w:type="dxa"/>
                <w:shd w:val="clear" w:color="auto" w:fill="auto"/>
              </w:tcPr>
              <w:p w14:paraId="7A3A7C81" w14:textId="77777777" w:rsidR="00C50CB4" w:rsidRPr="00FF027F" w:rsidRDefault="00C50CB4" w:rsidP="00B4312C">
                <w:pPr>
                  <w:spacing w:before="120" w:after="0"/>
                  <w:ind w:left="202"/>
                  <w:rPr>
                    <w:rFonts w:ascii="Arial" w:hAnsi="Arial" w:cs="Arial"/>
                    <w:lang w:val="en-GB"/>
                  </w:rPr>
                </w:pPr>
                <w:r w:rsidRPr="00FF027F">
                  <w:rPr>
                    <w:rFonts w:ascii="Arial" w:hAnsi="Arial" w:cs="Arial"/>
                    <w:lang w:val="en-GB"/>
                  </w:rPr>
                  <w:t>Staff</w:t>
                </w:r>
              </w:p>
            </w:tc>
            <w:tc>
              <w:tcPr>
                <w:tcW w:w="7150" w:type="dxa"/>
                <w:shd w:val="clear" w:color="auto" w:fill="auto"/>
              </w:tcPr>
              <w:p w14:paraId="30C748A4" w14:textId="707198A9" w:rsidR="00C50CB4" w:rsidRPr="00FF027F" w:rsidRDefault="00C50CB4" w:rsidP="00157205">
                <w:pPr>
                  <w:autoSpaceDE w:val="0"/>
                  <w:autoSpaceDN w:val="0"/>
                  <w:adjustRightInd w:val="0"/>
                  <w:spacing w:before="120" w:after="0" w:line="240" w:lineRule="auto"/>
                  <w:ind w:left="202"/>
                  <w:rPr>
                    <w:rFonts w:ascii="Arial" w:hAnsi="Arial" w:cs="Arial"/>
                    <w:lang w:val="en-GB"/>
                  </w:rPr>
                </w:pPr>
                <w:r w:rsidRPr="00FF027F">
                  <w:rPr>
                    <w:rFonts w:ascii="Arial" w:hAnsi="Arial" w:cs="Arial"/>
                    <w:lang w:val="en-GB"/>
                  </w:rPr>
                  <w:t xml:space="preserve">0.5 FTE </w:t>
                </w:r>
              </w:p>
            </w:tc>
          </w:tr>
          <w:tr w:rsidR="00C50CB4" w:rsidRPr="00FF027F" w14:paraId="0042727E"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81057BD" w14:textId="77777777" w:rsidR="00C50CB4" w:rsidRPr="00FF027F" w:rsidRDefault="00C50CB4" w:rsidP="004E27EE">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1602B0B9" w14:textId="0816EE7B" w:rsidR="00C50CB4" w:rsidRPr="00FF027F" w:rsidRDefault="00C50CB4" w:rsidP="004E27EE">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Receipt of complete quality information about the issue for which an opinion and/or recommendation is requested along with all pertinent supporting evidence, coordination with stakeholders, time constraints</w:t>
                </w:r>
                <w:r w:rsidR="004E27EE" w:rsidRPr="00FF027F">
                  <w:rPr>
                    <w:rFonts w:ascii="Arial" w:eastAsia="Times New Roman" w:hAnsi="Arial" w:cs="Arial"/>
                    <w:iCs/>
                    <w:lang w:val="en-GB"/>
                  </w:rPr>
                  <w:t>.</w:t>
                </w:r>
              </w:p>
            </w:tc>
          </w:tr>
        </w:tbl>
        <w:p w14:paraId="102EF19E" w14:textId="77777777" w:rsidR="00C50CB4" w:rsidRPr="00FF027F" w:rsidRDefault="00C50CB4" w:rsidP="00C50CB4">
          <w:pPr>
            <w:rPr>
              <w:lang w:val="en-GB"/>
            </w:rPr>
          </w:pPr>
        </w:p>
        <w:p w14:paraId="73F7E375" w14:textId="77777777" w:rsidR="00C50CB4" w:rsidRPr="00FF027F" w:rsidRDefault="00C50CB4" w:rsidP="00C50CB4">
          <w:pPr>
            <w:pStyle w:val="Heading2"/>
          </w:pPr>
          <w:bookmarkStart w:id="91" w:name="_Toc396913795"/>
          <w:r w:rsidRPr="00FF027F">
            <w:t>Opinions and Recommendations on the Agency’s own Initiative</w:t>
          </w:r>
          <w:bookmarkEnd w:id="91"/>
          <w:r w:rsidRPr="00FF027F">
            <w:t xml:space="preserve"> </w:t>
          </w:r>
        </w:p>
        <w:p w14:paraId="3475DD6F" w14:textId="77777777" w:rsidR="004E27EE" w:rsidRPr="00FF027F" w:rsidRDefault="00C50CB4" w:rsidP="004E27EE">
          <w:pPr>
            <w:pStyle w:val="11ptVerdanaBold"/>
            <w:spacing w:before="360" w:after="240" w:line="360" w:lineRule="auto"/>
            <w:jc w:val="both"/>
            <w:rPr>
              <w:rFonts w:ascii="Arial" w:hAnsi="Arial" w:cs="Arial"/>
              <w:b w:val="0"/>
            </w:rPr>
          </w:pPr>
          <w:r w:rsidRPr="00FF027F">
            <w:rPr>
              <w:rFonts w:ascii="Arial" w:hAnsi="Arial" w:cs="Arial"/>
              <w:b w:val="0"/>
            </w:rPr>
            <w:t xml:space="preserve">This stream of work depends on the </w:t>
          </w:r>
          <w:r w:rsidR="004E27EE" w:rsidRPr="00FF027F">
            <w:rPr>
              <w:rFonts w:ascii="Arial" w:hAnsi="Arial" w:cs="Arial"/>
              <w:b w:val="0"/>
            </w:rPr>
            <w:t xml:space="preserve">potential </w:t>
          </w:r>
          <w:r w:rsidRPr="00FF027F">
            <w:rPr>
              <w:rFonts w:ascii="Arial" w:hAnsi="Arial" w:cs="Arial"/>
              <w:b w:val="0"/>
            </w:rPr>
            <w:t>need</w:t>
          </w:r>
          <w:r w:rsidR="004E27EE" w:rsidRPr="00FF027F">
            <w:rPr>
              <w:rFonts w:ascii="Arial" w:hAnsi="Arial" w:cs="Arial"/>
              <w:b w:val="0"/>
            </w:rPr>
            <w:t>s</w:t>
          </w:r>
          <w:r w:rsidRPr="00FF027F">
            <w:rPr>
              <w:rFonts w:ascii="Arial" w:hAnsi="Arial" w:cs="Arial"/>
              <w:b w:val="0"/>
            </w:rPr>
            <w:t xml:space="preserve"> </w:t>
          </w:r>
          <w:r w:rsidR="004E27EE" w:rsidRPr="00FF027F">
            <w:rPr>
              <w:rFonts w:ascii="Arial" w:hAnsi="Arial" w:cs="Arial"/>
              <w:b w:val="0"/>
            </w:rPr>
            <w:t xml:space="preserve">identified by the </w:t>
          </w:r>
          <w:r w:rsidRPr="00FF027F">
            <w:rPr>
              <w:rFonts w:ascii="Arial" w:hAnsi="Arial" w:cs="Arial"/>
              <w:b w:val="0"/>
            </w:rPr>
            <w:t>Agency to develop additional opinions and recommendations, as well as on available resources.</w:t>
          </w:r>
          <w:r w:rsidR="004E27EE" w:rsidRPr="00FF027F">
            <w:rPr>
              <w:rFonts w:ascii="Arial" w:hAnsi="Arial" w:cs="Arial"/>
              <w:b w:val="0"/>
            </w:rPr>
            <w:t xml:space="preserve"> </w:t>
          </w:r>
        </w:p>
        <w:p w14:paraId="6DABC0CD" w14:textId="28BCC1B8" w:rsidR="00C50CB4" w:rsidRPr="00FF027F" w:rsidRDefault="00C50CB4" w:rsidP="004E27EE">
          <w:pPr>
            <w:pStyle w:val="11ptVerdanaBold"/>
            <w:spacing w:before="360" w:after="240" w:line="360" w:lineRule="auto"/>
            <w:jc w:val="both"/>
            <w:rPr>
              <w:rFonts w:ascii="Arial" w:hAnsi="Arial" w:cs="Arial"/>
              <w:b w:val="0"/>
            </w:rPr>
          </w:pPr>
          <w:r w:rsidRPr="00FF027F">
            <w:rPr>
              <w:rFonts w:ascii="Arial" w:hAnsi="Arial" w:cs="Arial"/>
              <w:b w:val="0"/>
            </w:rPr>
            <w:t xml:space="preserve">In 2015 the Agency may decide to issue: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C50CB4" w:rsidRPr="00FF027F" w14:paraId="7E113FBF" w14:textId="77777777" w:rsidTr="00C50CB4">
            <w:trPr>
              <w:trHeight w:val="520"/>
            </w:trPr>
            <w:tc>
              <w:tcPr>
                <w:tcW w:w="1985" w:type="dxa"/>
                <w:shd w:val="clear" w:color="auto" w:fill="002060"/>
              </w:tcPr>
              <w:p w14:paraId="71106AD0" w14:textId="77777777" w:rsidR="00C50CB4" w:rsidRPr="00FF027F" w:rsidRDefault="00C50CB4" w:rsidP="004E27E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150" w:type="dxa"/>
                <w:shd w:val="clear" w:color="auto" w:fill="002060"/>
              </w:tcPr>
              <w:p w14:paraId="1DDE8E99" w14:textId="77777777" w:rsidR="00C50CB4" w:rsidRPr="00FF027F" w:rsidRDefault="00C50CB4" w:rsidP="004E27EE">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Opinions and recommendations in the areas of its competence, to Member States, NRAs, the European Parliament, the Council and the European Commission, whenever this is appropriate for ensuring the proper functioning of the Internal Energy Market</w:t>
                </w:r>
              </w:p>
            </w:tc>
          </w:tr>
          <w:tr w:rsidR="00C50CB4" w:rsidRPr="00FF027F" w14:paraId="537E1E3B" w14:textId="77777777" w:rsidTr="00C50CB4">
            <w:trPr>
              <w:trHeight w:val="504"/>
            </w:trPr>
            <w:tc>
              <w:tcPr>
                <w:tcW w:w="1985" w:type="dxa"/>
                <w:shd w:val="clear" w:color="auto" w:fill="auto"/>
              </w:tcPr>
              <w:p w14:paraId="76C77D1E" w14:textId="77777777" w:rsidR="00C50CB4" w:rsidRPr="00FF027F" w:rsidRDefault="00C50CB4" w:rsidP="004E27EE">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5E17D61E" w14:textId="77777777" w:rsidR="00C50CB4" w:rsidRPr="00FF027F" w:rsidRDefault="00C50CB4" w:rsidP="004E27E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Regulation (EC) No 713/2009, Article 5</w:t>
                </w:r>
              </w:p>
            </w:tc>
          </w:tr>
          <w:tr w:rsidR="00C50CB4" w:rsidRPr="00FF027F" w14:paraId="0A5F0AE7" w14:textId="77777777" w:rsidTr="00C50CB4">
            <w:trPr>
              <w:trHeight w:val="392"/>
            </w:trPr>
            <w:tc>
              <w:tcPr>
                <w:tcW w:w="1985" w:type="dxa"/>
                <w:shd w:val="clear" w:color="auto" w:fill="auto"/>
              </w:tcPr>
              <w:p w14:paraId="285A9567"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36224D56" w14:textId="52670A1C" w:rsidR="00C50CB4" w:rsidRPr="00FF027F" w:rsidRDefault="00C50CB4" w:rsidP="004E27E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The Agency has the responsibility of issuing</w:t>
                </w:r>
                <w:r w:rsidR="004E27EE" w:rsidRPr="00FF027F">
                  <w:rPr>
                    <w:rFonts w:ascii="Arial" w:hAnsi="Arial" w:cs="Arial"/>
                    <w:lang w:val="en-GB"/>
                  </w:rPr>
                  <w:t xml:space="preserve"> </w:t>
                </w:r>
                <w:r w:rsidR="00F80C2A" w:rsidRPr="00FF027F">
                  <w:rPr>
                    <w:rFonts w:ascii="Arial" w:hAnsi="Arial" w:cs="Arial"/>
                    <w:lang w:val="en-GB"/>
                  </w:rPr>
                  <w:t>o</w:t>
                </w:r>
                <w:r w:rsidR="004E27EE" w:rsidRPr="00FF027F">
                  <w:rPr>
                    <w:rFonts w:ascii="Arial" w:hAnsi="Arial" w:cs="Arial"/>
                    <w:lang w:val="en-GB"/>
                  </w:rPr>
                  <w:t xml:space="preserve">pinions and </w:t>
                </w:r>
                <w:r w:rsidR="00F80C2A" w:rsidRPr="00FF027F">
                  <w:rPr>
                    <w:rFonts w:ascii="Arial" w:hAnsi="Arial" w:cs="Arial"/>
                    <w:lang w:val="en-GB"/>
                  </w:rPr>
                  <w:t>r</w:t>
                </w:r>
                <w:r w:rsidR="004E27EE" w:rsidRPr="00FF027F">
                  <w:rPr>
                    <w:rFonts w:ascii="Arial" w:hAnsi="Arial" w:cs="Arial"/>
                    <w:lang w:val="en-GB"/>
                  </w:rPr>
                  <w:t>ecommendations on</w:t>
                </w:r>
                <w:r w:rsidRPr="00FF027F">
                  <w:rPr>
                    <w:rFonts w:ascii="Arial" w:hAnsi="Arial" w:cs="Arial"/>
                    <w:lang w:val="en-GB"/>
                  </w:rPr>
                  <w:t xml:space="preserve"> its own initiative, whenever appropriate, for ensuring the proper functioning of the European Internal Energy Market. </w:t>
                </w:r>
              </w:p>
              <w:p w14:paraId="5CFDA991" w14:textId="6A84FC2B" w:rsidR="00C50CB4" w:rsidRPr="00FF027F" w:rsidRDefault="00C50CB4" w:rsidP="00AC2CF9">
                <w:pPr>
                  <w:autoSpaceDE w:val="0"/>
                  <w:autoSpaceDN w:val="0"/>
                  <w:adjustRightInd w:val="0"/>
                  <w:spacing w:before="120" w:after="120" w:line="240" w:lineRule="auto"/>
                  <w:ind w:left="202"/>
                  <w:rPr>
                    <w:rFonts w:ascii="Arial" w:eastAsia="Times New Roman" w:hAnsi="Arial" w:cs="Arial"/>
                    <w:b/>
                    <w:iCs/>
                    <w:lang w:val="en-GB"/>
                  </w:rPr>
                </w:pPr>
                <w:r w:rsidRPr="00FF027F">
                  <w:rPr>
                    <w:rFonts w:ascii="Arial" w:hAnsi="Arial" w:cs="Arial"/>
                    <w:lang w:val="en-GB"/>
                  </w:rPr>
                  <w:t>During 2014 the Agency conducted a review of the “Electricity Target Model” and of the “Gas Target Model”, the blueprints for the design of the Internal electricity and gas markets respectively. The review aims at identifying the aspects of the Target Models which need to be enhanced in response to and to support, inter alia, the increased penetration of renewable-based electricity generation and the recent development</w:t>
                </w:r>
                <w:r w:rsidR="004E27EE" w:rsidRPr="00FF027F">
                  <w:rPr>
                    <w:rFonts w:ascii="Arial" w:hAnsi="Arial" w:cs="Arial"/>
                    <w:lang w:val="en-GB"/>
                  </w:rPr>
                  <w:t>s</w:t>
                </w:r>
                <w:r w:rsidRPr="00FF027F">
                  <w:rPr>
                    <w:rFonts w:ascii="Arial" w:hAnsi="Arial" w:cs="Arial"/>
                    <w:lang w:val="en-GB"/>
                  </w:rPr>
                  <w:t xml:space="preserve"> related to unconventional gas. This activity may result in the Agency issuing a recommendation on its own initiative. </w:t>
                </w:r>
              </w:p>
            </w:tc>
          </w:tr>
          <w:tr w:rsidR="00C50CB4" w:rsidRPr="00FF027F" w14:paraId="22882CF1" w14:textId="77777777" w:rsidTr="00C50CB4">
            <w:trPr>
              <w:trHeight w:val="1017"/>
            </w:trPr>
            <w:tc>
              <w:tcPr>
                <w:tcW w:w="1985" w:type="dxa"/>
                <w:shd w:val="clear" w:color="auto" w:fill="auto"/>
              </w:tcPr>
              <w:p w14:paraId="7B31F09E"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45E8E026" w14:textId="77777777" w:rsidR="00C50CB4" w:rsidRPr="00FF027F" w:rsidRDefault="00C50CB4" w:rsidP="004E27E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To be initiated when necessary or appropriate. </w:t>
                </w:r>
              </w:p>
              <w:p w14:paraId="11EBEA4C" w14:textId="747CE5B3" w:rsidR="00C50CB4" w:rsidRPr="00FF027F" w:rsidRDefault="00C50CB4" w:rsidP="004E27E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A recommendation following the review of the Electricity and Gas </w:t>
                </w:r>
                <w:r w:rsidR="004E27EE" w:rsidRPr="00FF027F">
                  <w:rPr>
                    <w:rFonts w:ascii="Arial" w:hAnsi="Arial" w:cs="Arial"/>
                    <w:lang w:val="en-GB"/>
                  </w:rPr>
                  <w:t>T</w:t>
                </w:r>
                <w:r w:rsidRPr="00FF027F">
                  <w:rPr>
                    <w:rFonts w:ascii="Arial" w:hAnsi="Arial" w:cs="Arial"/>
                    <w:lang w:val="en-GB"/>
                  </w:rPr>
                  <w:t>arget Model may be issued, depending on the results emerging from the review.</w:t>
                </w:r>
                <w:r w:rsidRPr="00FF027F">
                  <w:rPr>
                    <w:lang w:val="en-GB"/>
                  </w:rPr>
                  <w:t xml:space="preserve"> </w:t>
                </w:r>
              </w:p>
            </w:tc>
          </w:tr>
          <w:tr w:rsidR="00C50CB4" w:rsidRPr="00FF027F" w14:paraId="758FEEC3" w14:textId="77777777" w:rsidTr="004E27EE">
            <w:trPr>
              <w:trHeight w:val="575"/>
            </w:trPr>
            <w:tc>
              <w:tcPr>
                <w:tcW w:w="1985" w:type="dxa"/>
                <w:shd w:val="clear" w:color="auto" w:fill="auto"/>
              </w:tcPr>
              <w:p w14:paraId="5D30F064" w14:textId="77777777" w:rsidR="00C50CB4" w:rsidRPr="00FF027F" w:rsidRDefault="00C50CB4"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39831A2C" w14:textId="77777777" w:rsidR="00C50CB4" w:rsidRPr="00FF027F" w:rsidRDefault="00C50CB4" w:rsidP="004E27EE">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Timely delivery of a recommendation</w:t>
                </w:r>
              </w:p>
            </w:tc>
          </w:tr>
          <w:tr w:rsidR="00C50CB4" w:rsidRPr="00FF027F" w14:paraId="18684454" w14:textId="77777777" w:rsidTr="00C50CB4">
            <w:trPr>
              <w:trHeight w:val="535"/>
            </w:trPr>
            <w:tc>
              <w:tcPr>
                <w:tcW w:w="1985" w:type="dxa"/>
                <w:shd w:val="clear" w:color="auto" w:fill="auto"/>
              </w:tcPr>
              <w:p w14:paraId="2DC79472" w14:textId="77777777" w:rsidR="00C50CB4" w:rsidRPr="00FF027F" w:rsidRDefault="00C50CB4" w:rsidP="004E27EE">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5C969894" w14:textId="3742F8E6" w:rsidR="00C50CB4" w:rsidRPr="00FF027F" w:rsidRDefault="00C50CB4" w:rsidP="00157205">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0.5 FTE </w:t>
                </w:r>
              </w:p>
            </w:tc>
          </w:tr>
          <w:tr w:rsidR="00C50CB4" w:rsidRPr="00FF027F" w14:paraId="42704E67" w14:textId="77777777" w:rsidTr="00C50CB4">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31206D5" w14:textId="77777777" w:rsidR="00C50CB4" w:rsidRPr="00FF027F" w:rsidRDefault="00C50CB4" w:rsidP="004E27EE">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159CFBB0" w14:textId="77777777" w:rsidR="00C50CB4" w:rsidRPr="00FF027F" w:rsidRDefault="00C50CB4" w:rsidP="004E27EE">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Completion of work by stakeholders on the Target Models, interaction with stakeholders, time constraints.</w:t>
                </w:r>
              </w:p>
            </w:tc>
          </w:tr>
        </w:tbl>
        <w:p w14:paraId="697C997C" w14:textId="77777777" w:rsidR="00C50CB4" w:rsidRPr="00FF027F" w:rsidRDefault="00C50CB4" w:rsidP="00C50CB4">
          <w:pPr>
            <w:rPr>
              <w:lang w:val="en-GB"/>
            </w:rPr>
          </w:pPr>
        </w:p>
        <w:p w14:paraId="6C19229B" w14:textId="77777777" w:rsidR="00BE1816" w:rsidRPr="00FF027F" w:rsidRDefault="000A42DE" w:rsidP="00BE1816">
          <w:pPr>
            <w:pStyle w:val="Heading2"/>
            <w:rPr>
              <w:color w:val="FF0000"/>
              <w:szCs w:val="32"/>
            </w:rPr>
          </w:pPr>
          <w:bookmarkStart w:id="92" w:name="_Toc396913796"/>
          <w:r w:rsidRPr="00FF027F">
            <w:t xml:space="preserve">Wholesale Market Monitoring </w:t>
          </w:r>
          <w:r w:rsidR="00CD3F89" w:rsidRPr="00FF027F">
            <w:t>–</w:t>
          </w:r>
          <w:r w:rsidRPr="00FF027F">
            <w:t xml:space="preserve"> REMIT</w:t>
          </w:r>
          <w:bookmarkEnd w:id="90"/>
          <w:bookmarkEnd w:id="92"/>
          <w:r w:rsidR="00CD3F89" w:rsidRPr="00FF027F">
            <w:t xml:space="preserve"> </w:t>
          </w:r>
        </w:p>
        <w:p w14:paraId="318F78D4" w14:textId="6AE8C32B" w:rsidR="008D7681" w:rsidRPr="00FF027F" w:rsidRDefault="008D7681" w:rsidP="008D7681">
          <w:pPr>
            <w:spacing w:before="360" w:after="240" w:line="360" w:lineRule="auto"/>
            <w:jc w:val="both"/>
            <w:rPr>
              <w:rFonts w:ascii="Arial" w:hAnsi="Arial" w:cs="Arial"/>
              <w:lang w:val="en-GB"/>
            </w:rPr>
          </w:pPr>
          <w:r w:rsidRPr="00FF027F">
            <w:rPr>
              <w:rFonts w:ascii="Arial" w:hAnsi="Arial" w:cs="Arial"/>
              <w:lang w:val="en-GB"/>
            </w:rPr>
            <w:t xml:space="preserve">While many of the obligations and the market abuse prohibitions introduced by REMIT already apply since the entry into force of the Regulation on 28 December 2011, the requirement for market participants to register and the obligation to report on wholesale energy product transaction will only apply from, respectively, three and six months after the adoption by the Commission of the Implementing Acts. </w:t>
          </w:r>
        </w:p>
        <w:p w14:paraId="681B3834" w14:textId="7E943B42" w:rsidR="008D7681" w:rsidRPr="00FF027F" w:rsidRDefault="008D7681" w:rsidP="008D7681">
          <w:pPr>
            <w:spacing w:before="360" w:after="240" w:line="360" w:lineRule="auto"/>
            <w:jc w:val="both"/>
            <w:rPr>
              <w:rFonts w:ascii="Arial" w:hAnsi="Arial" w:cs="Arial"/>
              <w:lang w:val="en-GB"/>
            </w:rPr>
          </w:pPr>
          <w:r w:rsidRPr="00FF027F">
            <w:rPr>
              <w:rFonts w:ascii="Arial" w:hAnsi="Arial" w:cs="Arial"/>
              <w:lang w:val="en-GB"/>
            </w:rPr>
            <w:t xml:space="preserve">The tasks to be performed by the Agency in 2015 and related to the implementation of REMIT will </w:t>
          </w:r>
          <w:r w:rsidR="00DE415F" w:rsidRPr="00FF027F">
            <w:rPr>
              <w:rFonts w:ascii="Arial" w:hAnsi="Arial" w:cs="Arial"/>
              <w:lang w:val="en-GB"/>
            </w:rPr>
            <w:t>therefore</w:t>
          </w:r>
          <w:r w:rsidR="00010B26" w:rsidRPr="00FF027F">
            <w:rPr>
              <w:rFonts w:ascii="Arial" w:hAnsi="Arial" w:cs="Arial"/>
              <w:lang w:val="en-GB"/>
            </w:rPr>
            <w:t xml:space="preserve"> </w:t>
          </w:r>
          <w:r w:rsidRPr="00FF027F">
            <w:rPr>
              <w:rFonts w:ascii="Arial" w:hAnsi="Arial" w:cs="Arial"/>
              <w:lang w:val="en-GB"/>
            </w:rPr>
            <w:t xml:space="preserve">depend on the timing of the adoption of the REMIT Implementing Acts by the Commission. </w:t>
          </w:r>
        </w:p>
        <w:p w14:paraId="200ABFDB" w14:textId="0EDA1614" w:rsidR="008D7681" w:rsidRPr="00FF027F" w:rsidRDefault="00DE415F" w:rsidP="008D7681">
          <w:pPr>
            <w:spacing w:before="360" w:after="240" w:line="360" w:lineRule="auto"/>
            <w:jc w:val="both"/>
            <w:rPr>
              <w:rFonts w:ascii="Arial" w:hAnsi="Arial" w:cs="Arial"/>
              <w:lang w:val="en-GB"/>
            </w:rPr>
          </w:pPr>
          <w:r w:rsidRPr="00FF027F">
            <w:rPr>
              <w:rFonts w:ascii="Arial" w:hAnsi="Arial" w:cs="Arial"/>
              <w:lang w:val="en-GB"/>
            </w:rPr>
            <w:t>In particular, t</w:t>
          </w:r>
          <w:r w:rsidR="008D7681" w:rsidRPr="00FF027F">
            <w:rPr>
              <w:rFonts w:ascii="Arial" w:hAnsi="Arial" w:cs="Arial"/>
              <w:lang w:val="en-GB"/>
            </w:rPr>
            <w:t>he operational stage of REMIT, when the Agency will be required to operate the Centralised European Register of Energy Market Participants (CEREMP), to collect data through the Agency’s REMIT Information System (ARIS) and to monitor the wholesale energy markets using the transaction and fundamental data reported by market participants and other stakeholders, will start sometime in 2015. By that time the Agency will have completed the development and deployment of the IT platforms and procedures for the acquisition of market participants registration information from NRAs, the operation of CEREMP, the acquisition of the reported transaction and fundamental data, the assessment of trading activities to detect any instance of market abuse, the sharing of these data with NRAs, the notification to NRAs of suspected market abuse instances</w:t>
          </w:r>
          <w:r w:rsidRPr="00FF027F">
            <w:rPr>
              <w:rFonts w:ascii="Arial" w:hAnsi="Arial" w:cs="Arial"/>
              <w:lang w:val="en-GB"/>
            </w:rPr>
            <w:t xml:space="preserve"> and</w:t>
          </w:r>
          <w:r w:rsidR="008D7681" w:rsidRPr="00FF027F">
            <w:rPr>
              <w:rFonts w:ascii="Arial" w:hAnsi="Arial" w:cs="Arial"/>
              <w:lang w:val="en-GB"/>
            </w:rPr>
            <w:t xml:space="preserve"> the coordination of cross-border investigations. </w:t>
          </w:r>
        </w:p>
        <w:p w14:paraId="576F099A" w14:textId="1FB105AC" w:rsidR="008D7681" w:rsidRPr="00FF027F" w:rsidRDefault="008C5D19" w:rsidP="008D7681">
          <w:pPr>
            <w:spacing w:before="360" w:after="240" w:line="360" w:lineRule="auto"/>
            <w:jc w:val="both"/>
            <w:rPr>
              <w:rFonts w:ascii="Arial" w:hAnsi="Arial" w:cs="Arial"/>
              <w:lang w:val="en-GB"/>
            </w:rPr>
          </w:pPr>
          <w:r w:rsidRPr="00FF027F">
            <w:rPr>
              <w:rFonts w:ascii="Arial" w:hAnsi="Arial" w:cs="Arial"/>
              <w:lang w:val="en-GB"/>
            </w:rPr>
            <w:t>I</w:t>
          </w:r>
          <w:r w:rsidR="008D7681" w:rsidRPr="00FF027F">
            <w:rPr>
              <w:rFonts w:ascii="Arial" w:hAnsi="Arial" w:cs="Arial"/>
              <w:lang w:val="en-GB"/>
            </w:rPr>
            <w:t xml:space="preserve">n this Work Programme it is assumed that the Implementing Acts are adopted by </w:t>
          </w:r>
          <w:r w:rsidR="00010B26" w:rsidRPr="00FF027F">
            <w:rPr>
              <w:rFonts w:ascii="Arial" w:hAnsi="Arial" w:cs="Arial"/>
              <w:lang w:val="en-GB"/>
            </w:rPr>
            <w:t xml:space="preserve">late </w:t>
          </w:r>
          <w:r w:rsidR="008D7681" w:rsidRPr="00FF027F">
            <w:rPr>
              <w:rFonts w:ascii="Arial" w:hAnsi="Arial" w:cs="Arial"/>
              <w:lang w:val="en-GB"/>
            </w:rPr>
            <w:t>2014, so that the Agency will be required to complete the development and deployment of the IT platforms and procedures referred to above by early 2015. The activities listed below reflect this assumption.</w:t>
          </w:r>
        </w:p>
        <w:p w14:paraId="44C9BD4F" w14:textId="14E511F2" w:rsidR="00B86967" w:rsidRPr="00FF027F" w:rsidRDefault="008D7681" w:rsidP="008C5D19">
          <w:pPr>
            <w:spacing w:before="360" w:after="360" w:line="360" w:lineRule="auto"/>
            <w:jc w:val="both"/>
            <w:rPr>
              <w:rFonts w:ascii="Arial" w:hAnsi="Arial" w:cs="Arial"/>
              <w:lang w:val="en-GB"/>
            </w:rPr>
          </w:pPr>
          <w:r w:rsidRPr="00FF027F">
            <w:rPr>
              <w:rFonts w:ascii="Arial" w:hAnsi="Arial" w:cs="Arial"/>
              <w:lang w:val="en-GB"/>
            </w:rPr>
            <w:t xml:space="preserve">The activities listed in this Section are subject to the Agency being provided with the appropriate financial and human resources, in order to adequately fulfil the additional tasks assigned to it under REMIT. The </w:t>
          </w:r>
          <w:r w:rsidR="007D0649" w:rsidRPr="00FF027F">
            <w:rPr>
              <w:rFonts w:ascii="Arial" w:hAnsi="Arial" w:cs="Arial"/>
              <w:lang w:val="en-GB"/>
            </w:rPr>
            <w:t>Agency will not be in a position to monitor</w:t>
          </w:r>
          <w:r w:rsidRPr="00FF027F">
            <w:rPr>
              <w:rFonts w:ascii="Arial" w:hAnsi="Arial" w:cs="Arial"/>
              <w:lang w:val="en-GB"/>
            </w:rPr>
            <w:t xml:space="preserve"> tradi</w:t>
          </w:r>
          <w:r w:rsidR="007D0649" w:rsidRPr="00FF027F">
            <w:rPr>
              <w:rFonts w:ascii="Arial" w:hAnsi="Arial" w:cs="Arial"/>
              <w:lang w:val="en-GB"/>
            </w:rPr>
            <w:t>ng activities</w:t>
          </w:r>
          <w:r w:rsidRPr="00FF027F">
            <w:rPr>
              <w:rFonts w:ascii="Arial" w:hAnsi="Arial" w:cs="Arial"/>
              <w:lang w:val="en-GB"/>
            </w:rPr>
            <w:t xml:space="preserve"> in wholesale energy markets to detect and prevent trading based on market abuse as foreseen by REMIT</w:t>
          </w:r>
          <w:r w:rsidR="007D0649" w:rsidRPr="00FF027F">
            <w:rPr>
              <w:rFonts w:ascii="Arial" w:hAnsi="Arial" w:cs="Arial"/>
              <w:lang w:val="en-GB"/>
            </w:rPr>
            <w:t>,</w:t>
          </w:r>
          <w:r w:rsidRPr="00FF027F">
            <w:rPr>
              <w:rFonts w:ascii="Arial" w:hAnsi="Arial" w:cs="Arial"/>
              <w:lang w:val="en-GB"/>
            </w:rPr>
            <w:t xml:space="preserve"> should the requested additional human resources not be provided</w:t>
          </w:r>
          <w:r w:rsidR="007D0649" w:rsidRPr="00FF027F">
            <w:rPr>
              <w:rFonts w:ascii="Arial" w:hAnsi="Arial" w:cs="Arial"/>
              <w:lang w:val="en-GB"/>
            </w:rPr>
            <w:t>. The</w:t>
          </w:r>
          <w:r w:rsidRPr="00FF027F">
            <w:rPr>
              <w:rFonts w:ascii="Arial" w:hAnsi="Arial" w:cs="Arial"/>
              <w:lang w:val="en-GB"/>
            </w:rPr>
            <w:t xml:space="preserve"> </w:t>
          </w:r>
          <w:r w:rsidR="007D0649" w:rsidRPr="00FF027F">
            <w:rPr>
              <w:rFonts w:ascii="Arial" w:hAnsi="Arial" w:cs="Arial"/>
              <w:lang w:val="en-GB"/>
            </w:rPr>
            <w:t xml:space="preserve">full implementation of this Work Programme </w:t>
          </w:r>
          <w:r w:rsidRPr="00FF027F">
            <w:rPr>
              <w:rFonts w:ascii="Arial" w:hAnsi="Arial" w:cs="Arial"/>
              <w:lang w:val="en-GB"/>
            </w:rPr>
            <w:t xml:space="preserve">depends on the Agency being assigned the </w:t>
          </w:r>
          <w:r w:rsidR="00010B26" w:rsidRPr="00FF027F">
            <w:rPr>
              <w:rFonts w:ascii="Arial" w:hAnsi="Arial" w:cs="Arial"/>
              <w:lang w:val="en-GB"/>
            </w:rPr>
            <w:t xml:space="preserve">required </w:t>
          </w:r>
          <w:r w:rsidRPr="00FF027F">
            <w:rPr>
              <w:rFonts w:ascii="Arial" w:hAnsi="Arial" w:cs="Arial"/>
              <w:lang w:val="en-GB"/>
            </w:rPr>
            <w:t>additional staff envisaged in this respect</w:t>
          </w:r>
          <w:r w:rsidR="00010B26" w:rsidRPr="00FF027F">
            <w:rPr>
              <w:rFonts w:ascii="Arial" w:hAnsi="Arial" w:cs="Arial"/>
              <w:lang w:val="en-GB"/>
            </w:rPr>
            <w:t xml:space="preserve"> and presented in Section II.1. It is assumed that these additional resources</w:t>
          </w:r>
          <w:r w:rsidRPr="00FF027F">
            <w:rPr>
              <w:rFonts w:ascii="Arial" w:hAnsi="Arial" w:cs="Arial"/>
              <w:lang w:val="en-GB"/>
            </w:rPr>
            <w:t xml:space="preserve"> will be recruited in the course of 2015. Therefore, each additional member of staff is counted as ½ full-time equivalent over the whole 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7D0649" w:rsidRPr="00FF027F" w14:paraId="5985E532" w14:textId="77777777" w:rsidTr="00126C6C">
            <w:trPr>
              <w:trHeight w:val="520"/>
            </w:trPr>
            <w:tc>
              <w:tcPr>
                <w:tcW w:w="1985" w:type="dxa"/>
                <w:shd w:val="clear" w:color="auto" w:fill="002060"/>
              </w:tcPr>
              <w:p w14:paraId="6F843AF7" w14:textId="66BE7B4F" w:rsidR="007D0649" w:rsidRPr="00FF027F" w:rsidRDefault="008A42C6"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3ED70274" w14:textId="77777777" w:rsidR="007D0649" w:rsidRPr="00FF027F" w:rsidRDefault="007D0649"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Operation, further development and, if necessary, enhancements of the Centralised European register of energy market participants (CEREMP), of the Agency’s REMIT Information System (ARIS) for collection of trade, fundamental and other data and for the data sharing with NRAs, in connection with the REMIT implementing acts</w:t>
                </w:r>
              </w:p>
            </w:tc>
          </w:tr>
          <w:tr w:rsidR="007D0649" w:rsidRPr="00FF027F" w14:paraId="5D11F415" w14:textId="77777777" w:rsidTr="00126C6C">
            <w:trPr>
              <w:trHeight w:val="504"/>
            </w:trPr>
            <w:tc>
              <w:tcPr>
                <w:tcW w:w="1985" w:type="dxa"/>
                <w:shd w:val="clear" w:color="auto" w:fill="auto"/>
              </w:tcPr>
              <w:p w14:paraId="00B68CD4"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76455670"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Articles 7-10 and 12 of Reg. 1227/2011 </w:t>
                </w:r>
              </w:p>
            </w:tc>
          </w:tr>
          <w:tr w:rsidR="007D0649" w:rsidRPr="00FF027F" w14:paraId="355E8E52" w14:textId="77777777" w:rsidTr="00126C6C">
            <w:trPr>
              <w:trHeight w:val="392"/>
            </w:trPr>
            <w:tc>
              <w:tcPr>
                <w:tcW w:w="1985" w:type="dxa"/>
                <w:shd w:val="clear" w:color="auto" w:fill="auto"/>
              </w:tcPr>
              <w:p w14:paraId="14CDB681"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32DF236B"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Software development and customisation is ongoing</w:t>
                </w:r>
              </w:p>
            </w:tc>
          </w:tr>
          <w:tr w:rsidR="007D0649" w:rsidRPr="00FF027F" w14:paraId="0E2FD3B2" w14:textId="77777777" w:rsidTr="00126C6C">
            <w:trPr>
              <w:trHeight w:val="1017"/>
            </w:trPr>
            <w:tc>
              <w:tcPr>
                <w:tcW w:w="1985" w:type="dxa"/>
                <w:shd w:val="clear" w:color="auto" w:fill="auto"/>
              </w:tcPr>
              <w:p w14:paraId="0786C073"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5791BB64" w14:textId="63C70E4B"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 xml:space="preserve">Deployment and running of CEREMP completed by the date of adoption of the Implementing Acts, in order to allow sufficient time to NRAs and market participants </w:t>
                </w:r>
                <w:r w:rsidR="002672D8" w:rsidRPr="00FF027F">
                  <w:rPr>
                    <w:rFonts w:ascii="Arial" w:hAnsi="Arial" w:cs="Arial"/>
                    <w:lang w:val="en-GB"/>
                  </w:rPr>
                  <w:t xml:space="preserve">to complete </w:t>
                </w:r>
                <w:r w:rsidRPr="00FF027F">
                  <w:rPr>
                    <w:rFonts w:ascii="Arial" w:hAnsi="Arial" w:cs="Arial"/>
                    <w:lang w:val="en-GB"/>
                  </w:rPr>
                  <w:t>the first phase of the registration;</w:t>
                </w:r>
              </w:p>
              <w:p w14:paraId="0CCECD56"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Deployment and running of ARIS and its market monitoring solution completed within 6 months of adoption of the Implementing Acts concerning the data to be reported within this date;</w:t>
                </w:r>
              </w:p>
              <w:p w14:paraId="74A82632"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Sharing and dissemination of information with the entry into effect of the Implementing Acts.</w:t>
                </w:r>
              </w:p>
              <w:p w14:paraId="71CE30B7"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Ensuring operational reliability and professional secrecy concerning the information received by the Agency, by taking all necessary measures to prevent misuse of, and unauthorised access to, the information received and maintained in the Agency’s systems, by identifying sources of operational risk and by minimising them through the development of appropriate systems, controls and procedures.</w:t>
                </w:r>
              </w:p>
            </w:tc>
          </w:tr>
          <w:tr w:rsidR="007D0649" w:rsidRPr="00FF027F" w14:paraId="2A5F419D" w14:textId="77777777" w:rsidTr="00126C6C">
            <w:trPr>
              <w:trHeight w:val="780"/>
            </w:trPr>
            <w:tc>
              <w:tcPr>
                <w:tcW w:w="1985" w:type="dxa"/>
                <w:shd w:val="clear" w:color="auto" w:fill="auto"/>
              </w:tcPr>
              <w:p w14:paraId="5BD906D7"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2FE84245" w14:textId="667C4F2D"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99% of planned system availability</w:t>
                </w:r>
                <w:r w:rsidR="002672D8" w:rsidRPr="00FF027F">
                  <w:rPr>
                    <w:rFonts w:ascii="Arial" w:hAnsi="Arial" w:cs="Arial"/>
                    <w:lang w:val="en-GB"/>
                  </w:rPr>
                  <w:t>.</w:t>
                </w:r>
                <w:r w:rsidRPr="00FF027F">
                  <w:rPr>
                    <w:rFonts w:ascii="Arial" w:hAnsi="Arial" w:cs="Arial"/>
                    <w:lang w:val="en-GB"/>
                  </w:rPr>
                  <w:t xml:space="preserve"> </w:t>
                </w:r>
              </w:p>
              <w:p w14:paraId="7C431493"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AND 0 breaches of the security system with a data leakage involved.</w:t>
                </w:r>
              </w:p>
              <w:p w14:paraId="34793E7E"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Registration shall start no later than 3 months after the implementing acts are adopted, data collection and data sharing shall start 6 months after the Implementing Acts are adopted.</w:t>
                </w:r>
              </w:p>
            </w:tc>
          </w:tr>
          <w:tr w:rsidR="007D0649" w:rsidRPr="00FF027F" w14:paraId="05B32BAC" w14:textId="77777777" w:rsidTr="00126C6C">
            <w:trPr>
              <w:trHeight w:val="535"/>
            </w:trPr>
            <w:tc>
              <w:tcPr>
                <w:tcW w:w="1985" w:type="dxa"/>
                <w:shd w:val="clear" w:color="auto" w:fill="auto"/>
              </w:tcPr>
              <w:p w14:paraId="2364F5B6"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7332FA24"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8.5 FTEs</w:t>
                </w:r>
              </w:p>
            </w:tc>
          </w:tr>
          <w:tr w:rsidR="007D0649" w:rsidRPr="00FF027F" w14:paraId="414A8481" w14:textId="77777777" w:rsidTr="00126C6C">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459F0AE0"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0170FF5B"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The registration process takes place at a national level. NRAs may not have sufficient resources for managing the strict deadline of 3 months for completing the first phase of registration, especially in countries with a high number of market participants. Practical solutions have to be adopted for ensuring the completion of the registration process in the timeframe envisaged by REMIT.</w:t>
                </w:r>
              </w:p>
              <w:p w14:paraId="67010093" w14:textId="49F65BD2"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Data collection will be extremely complex due to the huge amount of data to be gathered and the diversity of sources. Many operational aspects have to be defined through the implementing acts; however it is not possible to wait until the formal approval of the implementing acts, as the IT-system would not be ready on time. Consequently</w:t>
                </w:r>
                <w:r w:rsidR="002672D8" w:rsidRPr="00FF027F">
                  <w:rPr>
                    <w:rFonts w:ascii="Arial" w:eastAsia="Times New Roman" w:hAnsi="Arial" w:cs="Arial"/>
                    <w:iCs/>
                    <w:lang w:val="en-GB"/>
                  </w:rPr>
                  <w:t>,</w:t>
                </w:r>
                <w:r w:rsidRPr="00FF027F">
                  <w:rPr>
                    <w:rFonts w:ascii="Arial" w:eastAsia="Times New Roman" w:hAnsi="Arial" w:cs="Arial"/>
                    <w:iCs/>
                    <w:lang w:val="en-GB"/>
                  </w:rPr>
                  <w:t xml:space="preserve"> adjustments will be needed during the course of 2014 and requests for changes may be necessary.</w:t>
                </w:r>
              </w:p>
              <w:p w14:paraId="2C80024A" w14:textId="48E4D5AC" w:rsidR="007D0649" w:rsidRPr="00FF027F" w:rsidRDefault="002672D8"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Reliance </w:t>
                </w:r>
                <w:r w:rsidR="007D0649" w:rsidRPr="00FF027F">
                  <w:rPr>
                    <w:rFonts w:ascii="Arial" w:eastAsia="Times New Roman" w:hAnsi="Arial" w:cs="Arial"/>
                    <w:iCs/>
                    <w:lang w:val="en-GB"/>
                  </w:rPr>
                  <w:t>on data collection under EU financial market rules (EMIR, MiFID).</w:t>
                </w:r>
              </w:p>
              <w:p w14:paraId="45E48BA0"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Delays in establishing protocols and common security standards with NRAs and limited resources for market monitoring in EU NRAs.</w:t>
                </w:r>
              </w:p>
              <w:p w14:paraId="6BCD628C"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Risk of leakage of highly sensitive trade data if adequate security measures are not in place.</w:t>
                </w:r>
              </w:p>
            </w:tc>
          </w:tr>
        </w:tbl>
        <w:p w14:paraId="62CA1537" w14:textId="77777777" w:rsidR="007D0649" w:rsidRPr="00FF027F" w:rsidRDefault="007D0649" w:rsidP="007D0649">
          <w:pPr>
            <w:spacing w:before="120" w:after="120"/>
            <w:ind w:left="202"/>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7D0649" w:rsidRPr="00FF027F" w14:paraId="67F024B1" w14:textId="77777777" w:rsidTr="00126C6C">
            <w:trPr>
              <w:trHeight w:val="520"/>
            </w:trPr>
            <w:tc>
              <w:tcPr>
                <w:tcW w:w="1985" w:type="dxa"/>
                <w:shd w:val="clear" w:color="auto" w:fill="002060"/>
              </w:tcPr>
              <w:p w14:paraId="7D9CBC56" w14:textId="257A3362" w:rsidR="007D0649" w:rsidRPr="00FF027F" w:rsidRDefault="008A42C6"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00F23BE3" w14:textId="77777777" w:rsidR="007D0649" w:rsidRPr="00FF027F" w:rsidRDefault="007D0649"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Market monitoring of trading activity in wholesale energy markets to detect and prevent trading based on inside information and market manipulation according to Article 7 of REMIT, in cooperation with NRAs, on the basis of data collected in accordance with the REMIT implementing acts, and establishment, further development and operation of the Agency’s market surveillance solution to perform its market monitoring activity</w:t>
                </w:r>
              </w:p>
            </w:tc>
          </w:tr>
          <w:tr w:rsidR="007D0649" w:rsidRPr="00FF027F" w14:paraId="7FB3AC70" w14:textId="77777777" w:rsidTr="00126C6C">
            <w:trPr>
              <w:trHeight w:val="504"/>
            </w:trPr>
            <w:tc>
              <w:tcPr>
                <w:tcW w:w="1985" w:type="dxa"/>
                <w:shd w:val="clear" w:color="auto" w:fill="auto"/>
              </w:tcPr>
              <w:p w14:paraId="02BC811C"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14B1AFD8"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7 and 8 of Reg. (EU) 1227/2011</w:t>
                </w:r>
              </w:p>
            </w:tc>
          </w:tr>
          <w:tr w:rsidR="007D0649" w:rsidRPr="00FF027F" w14:paraId="506A1A2C" w14:textId="77777777" w:rsidTr="00126C6C">
            <w:trPr>
              <w:trHeight w:val="392"/>
            </w:trPr>
            <w:tc>
              <w:tcPr>
                <w:tcW w:w="1985" w:type="dxa"/>
                <w:shd w:val="clear" w:color="auto" w:fill="auto"/>
              </w:tcPr>
              <w:p w14:paraId="2AEB33A8"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6721"/>
                </w:tblGrid>
                <w:tr w:rsidR="007D0649" w:rsidRPr="00FF027F" w14:paraId="0145B4E9" w14:textId="77777777" w:rsidTr="00126C6C">
                  <w:trPr>
                    <w:trHeight w:val="208"/>
                  </w:trPr>
                  <w:tc>
                    <w:tcPr>
                      <w:tcW w:w="0" w:type="auto"/>
                    </w:tcPr>
                    <w:p w14:paraId="1C298E53" w14:textId="77777777" w:rsidR="007D0649" w:rsidRPr="00FF027F" w:rsidRDefault="007D0649" w:rsidP="008C5D1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Monitoring methodologies under development. On-going review of notified cases. </w:t>
                      </w:r>
                    </w:p>
                  </w:tc>
                </w:tr>
              </w:tbl>
              <w:p w14:paraId="6A3A0F4E"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b/>
                    <w:iCs/>
                    <w:lang w:val="en-GB"/>
                  </w:rPr>
                </w:pPr>
              </w:p>
            </w:tc>
          </w:tr>
          <w:tr w:rsidR="007D0649" w:rsidRPr="00FF027F" w14:paraId="6293DD38" w14:textId="77777777" w:rsidTr="00126C6C">
            <w:trPr>
              <w:trHeight w:val="1017"/>
            </w:trPr>
            <w:tc>
              <w:tcPr>
                <w:tcW w:w="1985" w:type="dxa"/>
                <w:shd w:val="clear" w:color="auto" w:fill="auto"/>
              </w:tcPr>
              <w:p w14:paraId="117AF270"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34B36E1B"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Market Monitoring of the data collected according to Article 8 of Reg. (EU) 1227/2011. Increased integrity and transparency of wholesale energy markets. Detection of abusive practices.</w:t>
                </w:r>
              </w:p>
            </w:tc>
          </w:tr>
          <w:tr w:rsidR="007D0649" w:rsidRPr="00FF027F" w14:paraId="5DBECA19" w14:textId="77777777" w:rsidTr="00126C6C">
            <w:trPr>
              <w:trHeight w:val="780"/>
            </w:trPr>
            <w:tc>
              <w:tcPr>
                <w:tcW w:w="1985" w:type="dxa"/>
                <w:shd w:val="clear" w:color="auto" w:fill="auto"/>
              </w:tcPr>
              <w:p w14:paraId="5D9A9E42"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0FB63FEB"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75% of alerts assessed in a preliminary initial assessment (PIA) AND 75% of PIAs reviewed.</w:t>
                </w:r>
              </w:p>
            </w:tc>
          </w:tr>
          <w:tr w:rsidR="007D0649" w:rsidRPr="00FF027F" w14:paraId="6CAC1EC6" w14:textId="77777777" w:rsidTr="00126C6C">
            <w:trPr>
              <w:trHeight w:val="535"/>
            </w:trPr>
            <w:tc>
              <w:tcPr>
                <w:tcW w:w="1985" w:type="dxa"/>
                <w:shd w:val="clear" w:color="auto" w:fill="auto"/>
              </w:tcPr>
              <w:p w14:paraId="7B5C15F8"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16C3B2B9"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14 FTE</w:t>
                </w:r>
              </w:p>
            </w:tc>
          </w:tr>
          <w:tr w:rsidR="007D0649" w:rsidRPr="00FF027F" w14:paraId="53BAEC33" w14:textId="77777777" w:rsidTr="00126C6C">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22257B48"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12F73B9F"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Quality of the monitoring depends on the quality of the data received.</w:t>
                </w:r>
              </w:p>
              <w:p w14:paraId="31B6FAA9"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Limited resources for market monitoring in EU NRAs.</w:t>
                </w:r>
              </w:p>
            </w:tc>
          </w:tr>
        </w:tbl>
        <w:p w14:paraId="45045351" w14:textId="77777777" w:rsidR="007D0649" w:rsidRPr="00FF027F" w:rsidRDefault="007D0649" w:rsidP="007D0649">
          <w:pPr>
            <w:spacing w:before="120" w:after="120"/>
            <w:ind w:left="202"/>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7D0649" w:rsidRPr="00FF027F" w14:paraId="4A9A22F5" w14:textId="77777777" w:rsidTr="00126C6C">
            <w:trPr>
              <w:trHeight w:val="520"/>
            </w:trPr>
            <w:tc>
              <w:tcPr>
                <w:tcW w:w="1985" w:type="dxa"/>
                <w:shd w:val="clear" w:color="auto" w:fill="002060"/>
              </w:tcPr>
              <w:p w14:paraId="51FD2EC1" w14:textId="2A958B55" w:rsidR="007D0649" w:rsidRPr="00FF027F" w:rsidRDefault="008A42C6"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78F78444" w14:textId="77777777" w:rsidR="007D0649" w:rsidRPr="00FF027F" w:rsidRDefault="007D0649"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Coordination of NRAs and other relevant authorities, including at the regional level, without prejudice to their responsibilities, aiming to promote best practices for the implementation of REMIT and to ensure that NRAs carry out their tasks under REMIT in a coordinated and consistent way, including the update of the Agency’s guidance on the application of REMIT definitions, and coordination of NRAs’ investigation activities on cross-border market abuse instances</w:t>
                </w:r>
              </w:p>
            </w:tc>
          </w:tr>
          <w:tr w:rsidR="007D0649" w:rsidRPr="00FF027F" w14:paraId="1BC378C1" w14:textId="77777777" w:rsidTr="00126C6C">
            <w:trPr>
              <w:trHeight w:val="504"/>
            </w:trPr>
            <w:tc>
              <w:tcPr>
                <w:tcW w:w="1985" w:type="dxa"/>
                <w:shd w:val="clear" w:color="auto" w:fill="auto"/>
              </w:tcPr>
              <w:p w14:paraId="163BED65"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140EEDBF"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16(1) of Reg. (EU) 1227/2011</w:t>
                </w:r>
              </w:p>
            </w:tc>
          </w:tr>
          <w:tr w:rsidR="007D0649" w:rsidRPr="00FF027F" w14:paraId="07AFE1CC" w14:textId="77777777" w:rsidTr="00126C6C">
            <w:trPr>
              <w:trHeight w:val="392"/>
            </w:trPr>
            <w:tc>
              <w:tcPr>
                <w:tcW w:w="1985" w:type="dxa"/>
                <w:shd w:val="clear" w:color="auto" w:fill="auto"/>
              </w:tcPr>
              <w:p w14:paraId="34FC38B7"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4B188B96"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Ongoing</w:t>
                </w:r>
              </w:p>
            </w:tc>
          </w:tr>
          <w:tr w:rsidR="007D0649" w:rsidRPr="00FF027F" w14:paraId="69ECB3C9" w14:textId="77777777" w:rsidTr="00126C6C">
            <w:trPr>
              <w:trHeight w:val="1017"/>
            </w:trPr>
            <w:tc>
              <w:tcPr>
                <w:tcW w:w="1985" w:type="dxa"/>
                <w:shd w:val="clear" w:color="auto" w:fill="auto"/>
              </w:tcPr>
              <w:p w14:paraId="0175FC98"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26681083" w14:textId="2A112C72"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To aim at ensuring that NRAs and other relevant authorities carry out their tasks under REMIT in a coordinated and consistent way, including the update of the Agency’s guidance on the application of REMIT definitions and coordination of NRAs’ investigation activities on cross-border market abuse instances</w:t>
                </w:r>
                <w:r w:rsidR="002672D8" w:rsidRPr="00FF027F">
                  <w:rPr>
                    <w:rFonts w:ascii="Arial" w:hAnsi="Arial" w:cs="Arial"/>
                    <w:lang w:val="en-GB"/>
                  </w:rPr>
                  <w:t>.</w:t>
                </w:r>
              </w:p>
              <w:p w14:paraId="014E3B66"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Publication of ACER Guidance as required.</w:t>
                </w:r>
              </w:p>
              <w:p w14:paraId="314973D0"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Coordination of investigation of alleged cross-border market abuse instances as required.</w:t>
                </w:r>
              </w:p>
            </w:tc>
          </w:tr>
          <w:tr w:rsidR="007D0649" w:rsidRPr="00FF027F" w14:paraId="582E4538" w14:textId="77777777" w:rsidTr="00126C6C">
            <w:trPr>
              <w:trHeight w:val="780"/>
            </w:trPr>
            <w:tc>
              <w:tcPr>
                <w:tcW w:w="1985" w:type="dxa"/>
                <w:shd w:val="clear" w:color="auto" w:fill="auto"/>
              </w:tcPr>
              <w:p w14:paraId="38BA2313"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57E06FCF"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80% of cross-border investigatory groups established within 30 working days of the reviewed initial assessment referrals to relevant NRAs and other relevant authorities.</w:t>
                </w:r>
              </w:p>
            </w:tc>
          </w:tr>
          <w:tr w:rsidR="007D0649" w:rsidRPr="00FF027F" w14:paraId="28BA39B5" w14:textId="77777777" w:rsidTr="00126C6C">
            <w:trPr>
              <w:trHeight w:val="535"/>
            </w:trPr>
            <w:tc>
              <w:tcPr>
                <w:tcW w:w="1985" w:type="dxa"/>
                <w:shd w:val="clear" w:color="auto" w:fill="auto"/>
              </w:tcPr>
              <w:p w14:paraId="02225A34"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7AEB1CBB"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3 FTEs</w:t>
                </w:r>
              </w:p>
            </w:tc>
          </w:tr>
          <w:tr w:rsidR="007D0649" w:rsidRPr="00FF027F" w14:paraId="09A79917" w14:textId="77777777" w:rsidTr="00126C6C">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0B44A468"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6363E07A"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Risk of leakage of highly sensitive trade data if adequate security measures are not in place.</w:t>
                </w:r>
              </w:p>
            </w:tc>
          </w:tr>
        </w:tbl>
        <w:p w14:paraId="7DA8C8FD" w14:textId="77777777" w:rsidR="007D0649" w:rsidRPr="00FF027F" w:rsidRDefault="007D0649" w:rsidP="007D0649">
          <w:pPr>
            <w:spacing w:before="120" w:after="120"/>
            <w:ind w:left="202"/>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6937"/>
          </w:tblGrid>
          <w:tr w:rsidR="007D0649" w:rsidRPr="00FF027F" w14:paraId="05585FF5" w14:textId="77777777" w:rsidTr="00126C6C">
            <w:trPr>
              <w:trHeight w:val="520"/>
            </w:trPr>
            <w:tc>
              <w:tcPr>
                <w:tcW w:w="1985" w:type="dxa"/>
                <w:shd w:val="clear" w:color="auto" w:fill="002060"/>
              </w:tcPr>
              <w:p w14:paraId="4F33969C" w14:textId="29F9A0F5" w:rsidR="007D0649" w:rsidRPr="00FF027F" w:rsidRDefault="008A42C6"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Activity</w:t>
                </w:r>
              </w:p>
            </w:tc>
            <w:tc>
              <w:tcPr>
                <w:tcW w:w="7150" w:type="dxa"/>
                <w:shd w:val="clear" w:color="auto" w:fill="002060"/>
              </w:tcPr>
              <w:p w14:paraId="0925AC87" w14:textId="77777777" w:rsidR="007D0649" w:rsidRPr="00FF027F" w:rsidRDefault="007D0649"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Cooperation with NRAs, ESMA, competent national financial market authorities and other authorities and with supervisory authorities, international organisations and the administrations of third countries with the aim of ensuring that a coordinated approach is taken to the enforcement of market abuse rules where actions relate to one or more wholesale energy products which are financial instruments to which Article 9 of Directive 2003/6/EC applies and also to one or more wholesale energy products to which Articles 3, 4 and 5 of REMIT applies according to Article 1(3) of REMIT</w:t>
                </w:r>
              </w:p>
            </w:tc>
          </w:tr>
          <w:tr w:rsidR="007D0649" w:rsidRPr="00FF027F" w14:paraId="3AB60B9C" w14:textId="77777777" w:rsidTr="00126C6C">
            <w:trPr>
              <w:trHeight w:val="504"/>
            </w:trPr>
            <w:tc>
              <w:tcPr>
                <w:tcW w:w="1985" w:type="dxa"/>
                <w:shd w:val="clear" w:color="auto" w:fill="auto"/>
              </w:tcPr>
              <w:p w14:paraId="2A65F43A"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Legal basis</w:t>
                </w:r>
              </w:p>
            </w:tc>
            <w:tc>
              <w:tcPr>
                <w:tcW w:w="7150" w:type="dxa"/>
                <w:shd w:val="clear" w:color="auto" w:fill="auto"/>
              </w:tcPr>
              <w:p w14:paraId="24570DB8"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Articles 1(3), 10, 16 of Reg. (EU) 1227/2011</w:t>
                </w:r>
              </w:p>
            </w:tc>
          </w:tr>
          <w:tr w:rsidR="007D0649" w:rsidRPr="00FF027F" w14:paraId="10ACA989" w14:textId="77777777" w:rsidTr="00126C6C">
            <w:trPr>
              <w:trHeight w:val="392"/>
            </w:trPr>
            <w:tc>
              <w:tcPr>
                <w:tcW w:w="1985" w:type="dxa"/>
                <w:shd w:val="clear" w:color="auto" w:fill="auto"/>
              </w:tcPr>
              <w:p w14:paraId="74E82940"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150" w:type="dxa"/>
                <w:shd w:val="clear" w:color="auto" w:fill="auto"/>
              </w:tcPr>
              <w:p w14:paraId="09836454"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Ongoing</w:t>
                </w:r>
              </w:p>
            </w:tc>
          </w:tr>
          <w:tr w:rsidR="007D0649" w:rsidRPr="00FF027F" w14:paraId="7F5900BE" w14:textId="77777777" w:rsidTr="00126C6C">
            <w:trPr>
              <w:trHeight w:val="1017"/>
            </w:trPr>
            <w:tc>
              <w:tcPr>
                <w:tcW w:w="1985" w:type="dxa"/>
                <w:shd w:val="clear" w:color="auto" w:fill="auto"/>
              </w:tcPr>
              <w:p w14:paraId="4AF09707"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150" w:type="dxa"/>
                <w:shd w:val="clear" w:color="auto" w:fill="auto"/>
              </w:tcPr>
              <w:p w14:paraId="0ADED278"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Cooperation on the basis of Memoranda of Understanding (MoUs);</w:t>
                </w:r>
              </w:p>
              <w:p w14:paraId="213D00CA"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Coordination of investigation of alleged cross-border market abuse instances as required.</w:t>
                </w:r>
              </w:p>
              <w:p w14:paraId="3C540BE4"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Promotion of best practices for the implementation of REMIT.</w:t>
                </w:r>
              </w:p>
            </w:tc>
          </w:tr>
          <w:tr w:rsidR="007D0649" w:rsidRPr="00FF027F" w14:paraId="671B8DE7" w14:textId="77777777" w:rsidTr="002672D8">
            <w:trPr>
              <w:trHeight w:val="395"/>
            </w:trPr>
            <w:tc>
              <w:tcPr>
                <w:tcW w:w="1985" w:type="dxa"/>
                <w:shd w:val="clear" w:color="auto" w:fill="auto"/>
              </w:tcPr>
              <w:p w14:paraId="147E6DD7"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150" w:type="dxa"/>
                <w:shd w:val="clear" w:color="auto" w:fill="auto"/>
              </w:tcPr>
              <w:p w14:paraId="51488B79" w14:textId="6FE2D047" w:rsidR="007D0649" w:rsidRPr="00FF027F" w:rsidRDefault="007D0649" w:rsidP="002672D8">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Conclusion of MoUs with relevant authorities and implementation of the MoUs in practice through regular meetings with the relevant authorities.</w:t>
                </w:r>
              </w:p>
            </w:tc>
          </w:tr>
          <w:tr w:rsidR="007D0649" w:rsidRPr="00FF027F" w14:paraId="60CDE54A" w14:textId="77777777" w:rsidTr="00126C6C">
            <w:trPr>
              <w:trHeight w:val="535"/>
            </w:trPr>
            <w:tc>
              <w:tcPr>
                <w:tcW w:w="1985" w:type="dxa"/>
                <w:shd w:val="clear" w:color="auto" w:fill="auto"/>
              </w:tcPr>
              <w:p w14:paraId="271FB4CE"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Staff</w:t>
                </w:r>
              </w:p>
            </w:tc>
            <w:tc>
              <w:tcPr>
                <w:tcW w:w="7150" w:type="dxa"/>
                <w:shd w:val="clear" w:color="auto" w:fill="auto"/>
              </w:tcPr>
              <w:p w14:paraId="06680D2B"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3 FTEs</w:t>
                </w:r>
              </w:p>
            </w:tc>
          </w:tr>
          <w:tr w:rsidR="007D0649" w:rsidRPr="00FF027F" w14:paraId="06EF2D8F" w14:textId="77777777" w:rsidTr="00126C6C">
            <w:trPr>
              <w:trHeight w:val="53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55E22A56"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Risks</w:t>
                </w:r>
              </w:p>
            </w:tc>
            <w:tc>
              <w:tcPr>
                <w:tcW w:w="7150" w:type="dxa"/>
                <w:tcBorders>
                  <w:top w:val="single" w:sz="4" w:space="0" w:color="auto"/>
                  <w:left w:val="single" w:sz="4" w:space="0" w:color="auto"/>
                  <w:bottom w:val="single" w:sz="4" w:space="0" w:color="auto"/>
                  <w:right w:val="single" w:sz="4" w:space="0" w:color="auto"/>
                </w:tcBorders>
                <w:shd w:val="clear" w:color="auto" w:fill="auto"/>
              </w:tcPr>
              <w:p w14:paraId="607F1901"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Risk of leakage of highly sensitive trade data if adequate security measures are not in place.</w:t>
                </w:r>
              </w:p>
            </w:tc>
          </w:tr>
        </w:tbl>
        <w:p w14:paraId="20B37389" w14:textId="77777777" w:rsidR="007D0649" w:rsidRPr="00FF027F" w:rsidRDefault="007D0649" w:rsidP="007D0649">
          <w:pPr>
            <w:spacing w:before="120" w:after="120"/>
            <w:ind w:left="202"/>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6856"/>
          </w:tblGrid>
          <w:tr w:rsidR="007D0649" w:rsidRPr="00FF027F" w14:paraId="05BDF514" w14:textId="77777777" w:rsidTr="00126C6C">
            <w:trPr>
              <w:trHeight w:val="520"/>
            </w:trPr>
            <w:tc>
              <w:tcPr>
                <w:tcW w:w="2070" w:type="dxa"/>
                <w:shd w:val="clear" w:color="auto" w:fill="002060"/>
              </w:tcPr>
              <w:p w14:paraId="1F64052B" w14:textId="77777777" w:rsidR="007D0649" w:rsidRPr="00FF027F" w:rsidRDefault="007D0649"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Deliverable</w:t>
                </w:r>
              </w:p>
            </w:tc>
            <w:tc>
              <w:tcPr>
                <w:tcW w:w="7065" w:type="dxa"/>
                <w:shd w:val="clear" w:color="auto" w:fill="002060"/>
              </w:tcPr>
              <w:p w14:paraId="5B271783" w14:textId="77777777" w:rsidR="007D0649" w:rsidRPr="00FF027F" w:rsidRDefault="007D0649" w:rsidP="007D0649">
                <w:pPr>
                  <w:autoSpaceDE w:val="0"/>
                  <w:autoSpaceDN w:val="0"/>
                  <w:adjustRightInd w:val="0"/>
                  <w:spacing w:before="120" w:after="120" w:line="240" w:lineRule="auto"/>
                  <w:ind w:left="202"/>
                  <w:rPr>
                    <w:rFonts w:ascii="Arial" w:hAnsi="Arial" w:cs="Arial"/>
                    <w:b/>
                    <w:lang w:val="en-GB"/>
                  </w:rPr>
                </w:pPr>
                <w:r w:rsidRPr="00FF027F">
                  <w:rPr>
                    <w:rFonts w:ascii="Arial" w:hAnsi="Arial" w:cs="Arial"/>
                    <w:b/>
                    <w:lang w:val="en-GB"/>
                  </w:rPr>
                  <w:t>Annual report on the Agency activities under REMIT according to Article 7(3) of REMIT</w:t>
                </w:r>
              </w:p>
            </w:tc>
          </w:tr>
          <w:tr w:rsidR="007D0649" w:rsidRPr="00FF027F" w14:paraId="6BFE7EAD" w14:textId="77777777" w:rsidTr="00126C6C">
            <w:trPr>
              <w:trHeight w:val="504"/>
            </w:trPr>
            <w:tc>
              <w:tcPr>
                <w:tcW w:w="2070" w:type="dxa"/>
                <w:shd w:val="clear" w:color="auto" w:fill="auto"/>
              </w:tcPr>
              <w:p w14:paraId="636FB6BD"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Legal basis</w:t>
                </w:r>
              </w:p>
            </w:tc>
            <w:tc>
              <w:tcPr>
                <w:tcW w:w="7065" w:type="dxa"/>
                <w:shd w:val="clear" w:color="auto" w:fill="auto"/>
              </w:tcPr>
              <w:p w14:paraId="4FC24C86"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Article 7(3) of Reg. (EU) 1227/2011</w:t>
                </w:r>
              </w:p>
            </w:tc>
          </w:tr>
          <w:tr w:rsidR="007D0649" w:rsidRPr="00FF027F" w14:paraId="2CE3582A" w14:textId="77777777" w:rsidTr="00126C6C">
            <w:trPr>
              <w:trHeight w:val="392"/>
            </w:trPr>
            <w:tc>
              <w:tcPr>
                <w:tcW w:w="2070" w:type="dxa"/>
                <w:shd w:val="clear" w:color="auto" w:fill="auto"/>
              </w:tcPr>
              <w:p w14:paraId="1D4EB66D"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Overview (status)</w:t>
                </w:r>
              </w:p>
            </w:tc>
            <w:tc>
              <w:tcPr>
                <w:tcW w:w="7065" w:type="dxa"/>
                <w:shd w:val="clear" w:color="auto" w:fill="auto"/>
              </w:tcPr>
              <w:p w14:paraId="6FB92592" w14:textId="06FF15F8"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 xml:space="preserve">Expected submission of the 2nd Annual </w:t>
                </w:r>
                <w:r w:rsidR="002672D8" w:rsidRPr="00FF027F">
                  <w:rPr>
                    <w:rFonts w:ascii="Arial" w:eastAsia="Times New Roman" w:hAnsi="Arial" w:cs="Arial"/>
                    <w:iCs/>
                    <w:lang w:val="en-GB"/>
                  </w:rPr>
                  <w:t>Report of REMIT: Q2 2015</w:t>
                </w:r>
                <w:r w:rsidRPr="00FF027F">
                  <w:rPr>
                    <w:rFonts w:ascii="Arial" w:eastAsia="Times New Roman" w:hAnsi="Arial" w:cs="Arial"/>
                    <w:iCs/>
                    <w:lang w:val="en-GB"/>
                  </w:rPr>
                  <w:t>.</w:t>
                </w:r>
              </w:p>
            </w:tc>
          </w:tr>
          <w:tr w:rsidR="007D0649" w:rsidRPr="00FF027F" w14:paraId="04FC7BE1" w14:textId="77777777" w:rsidTr="00126C6C">
            <w:trPr>
              <w:trHeight w:val="1017"/>
            </w:trPr>
            <w:tc>
              <w:tcPr>
                <w:tcW w:w="2070" w:type="dxa"/>
                <w:shd w:val="clear" w:color="auto" w:fill="auto"/>
              </w:tcPr>
              <w:p w14:paraId="28B9FC21"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 xml:space="preserve">Objectives and Outputs </w:t>
                </w:r>
              </w:p>
            </w:tc>
            <w:tc>
              <w:tcPr>
                <w:tcW w:w="7065" w:type="dxa"/>
                <w:shd w:val="clear" w:color="auto" w:fill="auto"/>
              </w:tcPr>
              <w:p w14:paraId="020A52A9"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The Agency shall submit at least on an annual basis a Report to the Commission in which the Agency shall assess the operation and transparency of different categories of market places and ways of trading and may make recommendations to the Commission as regards market rules, standards, and procedures which could improve market integrity and the functioning of the internal market. It may also evaluate whether any minimum requirements for organised markets could contribute to enhanced market transparency.</w:t>
                </w:r>
              </w:p>
              <w:p w14:paraId="6111DA9C"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Recommendations for potential reviews of REMIT, in particular according to Article 6 of REMIT, in view of potential needs to align REMIT definitions with new relevant Union legislation in the fields of financial services and energy, or in view of new developments on wholesale energy markets or of REMIT implementing acts.</w:t>
                </w:r>
              </w:p>
            </w:tc>
          </w:tr>
          <w:tr w:rsidR="007D0649" w:rsidRPr="00FF027F" w14:paraId="1A67E829" w14:textId="77777777" w:rsidTr="00126C6C">
            <w:trPr>
              <w:trHeight w:val="780"/>
            </w:trPr>
            <w:tc>
              <w:tcPr>
                <w:tcW w:w="2070" w:type="dxa"/>
                <w:shd w:val="clear" w:color="auto" w:fill="auto"/>
              </w:tcPr>
              <w:p w14:paraId="65290BC0" w14:textId="77777777" w:rsidR="007D0649" w:rsidRPr="00FF027F" w:rsidRDefault="007D0649" w:rsidP="00C3063B">
                <w:pPr>
                  <w:spacing w:before="120" w:after="120" w:line="240" w:lineRule="auto"/>
                  <w:ind w:left="202"/>
                  <w:rPr>
                    <w:rFonts w:ascii="Arial" w:hAnsi="Arial" w:cs="Arial"/>
                    <w:lang w:val="en-GB"/>
                  </w:rPr>
                </w:pPr>
                <w:r w:rsidRPr="00FF027F">
                  <w:rPr>
                    <w:rFonts w:ascii="Arial" w:hAnsi="Arial" w:cs="Arial"/>
                    <w:lang w:val="en-GB"/>
                  </w:rPr>
                  <w:t>Performance indicators and targets (deadlines)</w:t>
                </w:r>
              </w:p>
            </w:tc>
            <w:tc>
              <w:tcPr>
                <w:tcW w:w="7065" w:type="dxa"/>
                <w:shd w:val="clear" w:color="auto" w:fill="auto"/>
              </w:tcPr>
              <w:p w14:paraId="72B4BA9C"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Submission of the AR on REMIT implementation by end Q3.</w:t>
                </w:r>
              </w:p>
            </w:tc>
          </w:tr>
          <w:tr w:rsidR="007D0649" w:rsidRPr="00FF027F" w14:paraId="66F32CFA" w14:textId="77777777" w:rsidTr="00126C6C">
            <w:trPr>
              <w:trHeight w:val="535"/>
            </w:trPr>
            <w:tc>
              <w:tcPr>
                <w:tcW w:w="2070" w:type="dxa"/>
                <w:shd w:val="clear" w:color="auto" w:fill="auto"/>
              </w:tcPr>
              <w:p w14:paraId="1F423F8B"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Staff</w:t>
                </w:r>
              </w:p>
            </w:tc>
            <w:tc>
              <w:tcPr>
                <w:tcW w:w="7065" w:type="dxa"/>
                <w:shd w:val="clear" w:color="auto" w:fill="auto"/>
              </w:tcPr>
              <w:p w14:paraId="4B8C7862" w14:textId="77777777" w:rsidR="007D0649" w:rsidRPr="00FF027F" w:rsidRDefault="007D0649" w:rsidP="007D0649">
                <w:pPr>
                  <w:autoSpaceDE w:val="0"/>
                  <w:autoSpaceDN w:val="0"/>
                  <w:adjustRightInd w:val="0"/>
                  <w:spacing w:before="120" w:after="120" w:line="240" w:lineRule="auto"/>
                  <w:ind w:left="202"/>
                  <w:rPr>
                    <w:rFonts w:ascii="Arial" w:hAnsi="Arial" w:cs="Arial"/>
                    <w:lang w:val="en-GB"/>
                  </w:rPr>
                </w:pPr>
                <w:r w:rsidRPr="00FF027F">
                  <w:rPr>
                    <w:rFonts w:ascii="Arial" w:hAnsi="Arial" w:cs="Arial"/>
                    <w:lang w:val="en-GB"/>
                  </w:rPr>
                  <w:t>1.5 FTE</w:t>
                </w:r>
              </w:p>
            </w:tc>
          </w:tr>
          <w:tr w:rsidR="007D0649" w:rsidRPr="00FF027F" w14:paraId="23186A09" w14:textId="77777777" w:rsidTr="00126C6C">
            <w:trPr>
              <w:trHeight w:val="535"/>
            </w:trPr>
            <w:tc>
              <w:tcPr>
                <w:tcW w:w="2070" w:type="dxa"/>
                <w:tcBorders>
                  <w:top w:val="single" w:sz="4" w:space="0" w:color="auto"/>
                  <w:left w:val="single" w:sz="4" w:space="0" w:color="auto"/>
                  <w:bottom w:val="single" w:sz="4" w:space="0" w:color="auto"/>
                  <w:right w:val="single" w:sz="4" w:space="0" w:color="auto"/>
                </w:tcBorders>
                <w:shd w:val="clear" w:color="auto" w:fill="auto"/>
              </w:tcPr>
              <w:p w14:paraId="1A1169CF" w14:textId="77777777" w:rsidR="007D0649" w:rsidRPr="00FF027F" w:rsidRDefault="007D0649" w:rsidP="007D0649">
                <w:pPr>
                  <w:spacing w:before="120" w:after="120"/>
                  <w:ind w:left="202"/>
                  <w:rPr>
                    <w:rFonts w:ascii="Arial" w:hAnsi="Arial" w:cs="Arial"/>
                    <w:lang w:val="en-GB"/>
                  </w:rPr>
                </w:pPr>
                <w:r w:rsidRPr="00FF027F">
                  <w:rPr>
                    <w:rFonts w:ascii="Arial" w:hAnsi="Arial" w:cs="Arial"/>
                    <w:lang w:val="en-GB"/>
                  </w:rPr>
                  <w:t>Risks</w:t>
                </w:r>
              </w:p>
            </w:tc>
            <w:tc>
              <w:tcPr>
                <w:tcW w:w="7065" w:type="dxa"/>
                <w:tcBorders>
                  <w:top w:val="single" w:sz="4" w:space="0" w:color="auto"/>
                  <w:left w:val="single" w:sz="4" w:space="0" w:color="auto"/>
                  <w:bottom w:val="single" w:sz="4" w:space="0" w:color="auto"/>
                  <w:right w:val="single" w:sz="4" w:space="0" w:color="auto"/>
                </w:tcBorders>
                <w:shd w:val="clear" w:color="auto" w:fill="auto"/>
              </w:tcPr>
              <w:p w14:paraId="2914EEC3" w14:textId="77777777" w:rsidR="007D0649" w:rsidRPr="00FF027F" w:rsidRDefault="007D0649" w:rsidP="007D0649">
                <w:pPr>
                  <w:autoSpaceDE w:val="0"/>
                  <w:autoSpaceDN w:val="0"/>
                  <w:adjustRightInd w:val="0"/>
                  <w:spacing w:before="120" w:after="120" w:line="240" w:lineRule="auto"/>
                  <w:ind w:left="202"/>
                  <w:rPr>
                    <w:rFonts w:ascii="Arial" w:eastAsia="Times New Roman" w:hAnsi="Arial" w:cs="Arial"/>
                    <w:iCs/>
                    <w:lang w:val="en-GB"/>
                  </w:rPr>
                </w:pPr>
                <w:r w:rsidRPr="00FF027F">
                  <w:rPr>
                    <w:rFonts w:ascii="Arial" w:eastAsia="Times New Roman" w:hAnsi="Arial" w:cs="Arial"/>
                    <w:iCs/>
                    <w:lang w:val="en-GB"/>
                  </w:rPr>
                  <w:t>No appreciable risk.</w:t>
                </w:r>
              </w:p>
            </w:tc>
          </w:tr>
        </w:tbl>
        <w:p w14:paraId="7AA8A1C6" w14:textId="77777777" w:rsidR="007D0649" w:rsidRPr="00FF027F" w:rsidRDefault="007D0649" w:rsidP="007D0649">
          <w:pPr>
            <w:rPr>
              <w:lang w:val="en-GB"/>
            </w:rPr>
          </w:pPr>
        </w:p>
        <w:p w14:paraId="34357C95" w14:textId="77777777" w:rsidR="00BE1816" w:rsidRPr="00FF027F" w:rsidRDefault="00A221D7" w:rsidP="002A3974">
          <w:pPr>
            <w:pStyle w:val="Heading2"/>
          </w:pPr>
          <w:bookmarkStart w:id="93" w:name="_Toc358640712"/>
          <w:bookmarkStart w:id="94" w:name="_Toc358640925"/>
          <w:bookmarkStart w:id="95" w:name="_Toc396913797"/>
          <w:r w:rsidRPr="00FF027F">
            <w:t>Organisation, Administration and Functioning of the Agency</w:t>
          </w:r>
          <w:bookmarkEnd w:id="93"/>
          <w:bookmarkEnd w:id="94"/>
          <w:bookmarkEnd w:id="95"/>
          <w:r w:rsidR="00CD3F89" w:rsidRPr="00FF027F">
            <w:t xml:space="preserve"> </w:t>
          </w:r>
        </w:p>
        <w:p w14:paraId="2A2C9F11" w14:textId="77777777" w:rsidR="00E96C25" w:rsidRPr="00FF027F" w:rsidRDefault="0088132B" w:rsidP="00BE1816">
          <w:pPr>
            <w:pStyle w:val="Heading3"/>
            <w:rPr>
              <w:color w:val="4F81BD" w:themeColor="accent1"/>
            </w:rPr>
          </w:pPr>
          <w:bookmarkStart w:id="96" w:name="_Toc358640713"/>
          <w:bookmarkStart w:id="97" w:name="_Toc358640926"/>
          <w:bookmarkStart w:id="98" w:name="_Toc396913798"/>
          <w:r w:rsidRPr="00FF027F">
            <w:rPr>
              <w:color w:val="4F81BD" w:themeColor="accent1"/>
            </w:rPr>
            <w:t>O</w:t>
          </w:r>
          <w:r w:rsidR="00A221D7" w:rsidRPr="00FF027F">
            <w:rPr>
              <w:color w:val="4F81BD" w:themeColor="accent1"/>
            </w:rPr>
            <w:t>rganisation</w:t>
          </w:r>
          <w:bookmarkEnd w:id="96"/>
          <w:bookmarkEnd w:id="97"/>
          <w:bookmarkEnd w:id="98"/>
        </w:p>
        <w:p w14:paraId="0CDF13BE" w14:textId="026A12D0" w:rsidR="00A221D7" w:rsidRPr="00FF027F" w:rsidRDefault="00DE415F" w:rsidP="0038718C">
          <w:pPr>
            <w:spacing w:before="360" w:after="240" w:line="360" w:lineRule="auto"/>
            <w:jc w:val="both"/>
            <w:rPr>
              <w:rFonts w:ascii="Arial" w:hAnsi="Arial" w:cs="Arial"/>
              <w:lang w:val="en-GB" w:eastAsia="en-GB"/>
            </w:rPr>
          </w:pPr>
          <w:r w:rsidRPr="00FF027F">
            <w:rPr>
              <w:rFonts w:ascii="Arial" w:hAnsi="Arial" w:cs="Arial"/>
              <w:lang w:val="en-GB" w:eastAsia="en-GB"/>
            </w:rPr>
            <w:t xml:space="preserve">At present </w:t>
          </w:r>
          <w:r w:rsidR="005D0621" w:rsidRPr="00FF027F">
            <w:rPr>
              <w:rFonts w:ascii="Arial" w:hAnsi="Arial" w:cs="Arial"/>
              <w:lang w:val="en-GB" w:eastAsia="en-GB"/>
            </w:rPr>
            <w:t xml:space="preserve">the </w:t>
          </w:r>
          <w:r w:rsidR="00A221D7" w:rsidRPr="00FF027F">
            <w:rPr>
              <w:rFonts w:ascii="Arial" w:hAnsi="Arial" w:cs="Arial"/>
              <w:lang w:val="en-GB" w:eastAsia="en-GB"/>
            </w:rPr>
            <w:t xml:space="preserve">internal structure </w:t>
          </w:r>
          <w:r w:rsidR="005D0621" w:rsidRPr="00FF027F">
            <w:rPr>
              <w:rFonts w:ascii="Arial" w:hAnsi="Arial" w:cs="Arial"/>
              <w:lang w:val="en-GB" w:eastAsia="en-GB"/>
            </w:rPr>
            <w:t>of the Agency</w:t>
          </w:r>
          <w:r w:rsidR="009711A9" w:rsidRPr="00FF027F">
            <w:rPr>
              <w:rFonts w:ascii="Arial" w:hAnsi="Arial" w:cs="Arial"/>
              <w:lang w:val="en-GB" w:eastAsia="en-GB"/>
            </w:rPr>
            <w:t xml:space="preserve"> </w:t>
          </w:r>
          <w:r w:rsidRPr="00FF027F">
            <w:rPr>
              <w:rFonts w:ascii="Arial" w:hAnsi="Arial" w:cs="Arial"/>
              <w:lang w:val="en-GB" w:eastAsia="en-GB"/>
            </w:rPr>
            <w:t>is</w:t>
          </w:r>
          <w:r w:rsidR="005D0621" w:rsidRPr="00FF027F">
            <w:rPr>
              <w:rFonts w:ascii="Arial" w:hAnsi="Arial" w:cs="Arial"/>
              <w:lang w:val="en-GB" w:eastAsia="en-GB"/>
            </w:rPr>
            <w:t xml:space="preserve"> based on</w:t>
          </w:r>
          <w:r w:rsidR="00A221D7" w:rsidRPr="00FF027F">
            <w:rPr>
              <w:rFonts w:ascii="Arial" w:hAnsi="Arial" w:cs="Arial"/>
              <w:lang w:val="en-GB" w:eastAsia="en-GB"/>
            </w:rPr>
            <w:t xml:space="preserve"> </w:t>
          </w:r>
          <w:r w:rsidR="005D0621" w:rsidRPr="00FF027F">
            <w:rPr>
              <w:rFonts w:ascii="Arial" w:hAnsi="Arial" w:cs="Arial"/>
              <w:lang w:val="en-GB" w:eastAsia="en-GB"/>
            </w:rPr>
            <w:t>four</w:t>
          </w:r>
          <w:r w:rsidR="00931837" w:rsidRPr="00FF027F">
            <w:rPr>
              <w:rFonts w:ascii="Arial" w:hAnsi="Arial" w:cs="Arial"/>
              <w:lang w:val="en-GB" w:eastAsia="en-GB"/>
            </w:rPr>
            <w:t xml:space="preserve"> departments:</w:t>
          </w:r>
        </w:p>
        <w:p w14:paraId="65050BDB" w14:textId="77777777" w:rsidR="00A221D7" w:rsidRPr="00FF027F" w:rsidRDefault="00792E24" w:rsidP="00C3063B">
          <w:pPr>
            <w:pStyle w:val="ListParagraph"/>
            <w:numPr>
              <w:ilvl w:val="0"/>
              <w:numId w:val="23"/>
            </w:numPr>
            <w:autoSpaceDE w:val="0"/>
            <w:autoSpaceDN w:val="0"/>
            <w:adjustRightInd w:val="0"/>
            <w:spacing w:before="240" w:after="240" w:line="360" w:lineRule="auto"/>
            <w:ind w:left="709" w:hanging="425"/>
            <w:contextualSpacing w:val="0"/>
            <w:jc w:val="both"/>
            <w:rPr>
              <w:rFonts w:ascii="Arial" w:hAnsi="Arial" w:cs="Arial"/>
              <w:color w:val="000000"/>
              <w:lang w:val="en-GB"/>
            </w:rPr>
          </w:pPr>
          <w:r w:rsidRPr="00FF027F">
            <w:rPr>
              <w:rFonts w:ascii="Arial" w:hAnsi="Arial" w:cs="Arial"/>
              <w:color w:val="000000"/>
              <w:lang w:val="en-GB"/>
            </w:rPr>
            <w:t>T</w:t>
          </w:r>
          <w:r w:rsidR="00A221D7" w:rsidRPr="00FF027F">
            <w:rPr>
              <w:rFonts w:ascii="Arial" w:hAnsi="Arial" w:cs="Arial"/>
              <w:color w:val="000000"/>
              <w:lang w:val="en-GB"/>
            </w:rPr>
            <w:t>he Electricity department</w:t>
          </w:r>
          <w:r w:rsidR="005D0621" w:rsidRPr="00FF027F">
            <w:rPr>
              <w:rFonts w:ascii="Arial" w:hAnsi="Arial" w:cs="Arial"/>
              <w:color w:val="000000"/>
              <w:lang w:val="en-GB"/>
            </w:rPr>
            <w:t>,</w:t>
          </w:r>
        </w:p>
        <w:p w14:paraId="0DA4B45E" w14:textId="77777777" w:rsidR="00A221D7" w:rsidRPr="00FF027F" w:rsidRDefault="00792E24" w:rsidP="00C3063B">
          <w:pPr>
            <w:pStyle w:val="ListParagraph"/>
            <w:numPr>
              <w:ilvl w:val="0"/>
              <w:numId w:val="23"/>
            </w:numPr>
            <w:autoSpaceDE w:val="0"/>
            <w:autoSpaceDN w:val="0"/>
            <w:adjustRightInd w:val="0"/>
            <w:spacing w:before="240" w:after="240" w:line="360" w:lineRule="auto"/>
            <w:ind w:left="709" w:hanging="425"/>
            <w:contextualSpacing w:val="0"/>
            <w:jc w:val="both"/>
            <w:rPr>
              <w:rFonts w:ascii="Arial" w:hAnsi="Arial" w:cs="Arial"/>
              <w:color w:val="000000"/>
              <w:lang w:val="en-GB"/>
            </w:rPr>
          </w:pPr>
          <w:r w:rsidRPr="00FF027F">
            <w:rPr>
              <w:rFonts w:ascii="Arial" w:hAnsi="Arial" w:cs="Arial"/>
              <w:color w:val="000000"/>
              <w:lang w:val="en-GB"/>
            </w:rPr>
            <w:t>T</w:t>
          </w:r>
          <w:r w:rsidR="00A221D7" w:rsidRPr="00FF027F">
            <w:rPr>
              <w:rFonts w:ascii="Arial" w:hAnsi="Arial" w:cs="Arial"/>
              <w:color w:val="000000"/>
              <w:lang w:val="en-GB"/>
            </w:rPr>
            <w:t>he Gas department</w:t>
          </w:r>
          <w:r w:rsidR="005D0621" w:rsidRPr="00FF027F">
            <w:rPr>
              <w:rFonts w:ascii="Arial" w:hAnsi="Arial" w:cs="Arial"/>
              <w:color w:val="000000"/>
              <w:lang w:val="en-GB"/>
            </w:rPr>
            <w:t>,</w:t>
          </w:r>
        </w:p>
        <w:p w14:paraId="02A82B88" w14:textId="77777777" w:rsidR="00A221D7" w:rsidRPr="00FF027F" w:rsidRDefault="00792E24" w:rsidP="00C3063B">
          <w:pPr>
            <w:pStyle w:val="ListParagraph"/>
            <w:numPr>
              <w:ilvl w:val="0"/>
              <w:numId w:val="23"/>
            </w:numPr>
            <w:autoSpaceDE w:val="0"/>
            <w:autoSpaceDN w:val="0"/>
            <w:adjustRightInd w:val="0"/>
            <w:spacing w:before="240" w:after="240" w:line="360" w:lineRule="auto"/>
            <w:ind w:left="709" w:hanging="425"/>
            <w:contextualSpacing w:val="0"/>
            <w:jc w:val="both"/>
            <w:rPr>
              <w:rFonts w:ascii="Arial" w:hAnsi="Arial" w:cs="Arial"/>
              <w:color w:val="000000"/>
              <w:lang w:val="en-GB"/>
            </w:rPr>
          </w:pPr>
          <w:r w:rsidRPr="00FF027F">
            <w:rPr>
              <w:rFonts w:ascii="Arial" w:hAnsi="Arial" w:cs="Arial"/>
              <w:color w:val="000000"/>
              <w:lang w:val="en-GB"/>
            </w:rPr>
            <w:t>T</w:t>
          </w:r>
          <w:r w:rsidR="00A221D7" w:rsidRPr="00FF027F">
            <w:rPr>
              <w:rFonts w:ascii="Arial" w:hAnsi="Arial" w:cs="Arial"/>
              <w:color w:val="000000"/>
              <w:lang w:val="en-GB"/>
            </w:rPr>
            <w:t>he Market Monitoring department</w:t>
          </w:r>
          <w:r w:rsidR="005D0621" w:rsidRPr="00FF027F">
            <w:rPr>
              <w:rFonts w:ascii="Arial" w:hAnsi="Arial" w:cs="Arial"/>
              <w:color w:val="000000"/>
              <w:lang w:val="en-GB"/>
            </w:rPr>
            <w:t>,</w:t>
          </w:r>
        </w:p>
        <w:p w14:paraId="089AA86C" w14:textId="77777777" w:rsidR="004A3311" w:rsidRPr="00FF027F" w:rsidRDefault="00792E24" w:rsidP="00C3063B">
          <w:pPr>
            <w:pStyle w:val="ListParagraph"/>
            <w:numPr>
              <w:ilvl w:val="0"/>
              <w:numId w:val="23"/>
            </w:numPr>
            <w:autoSpaceDE w:val="0"/>
            <w:autoSpaceDN w:val="0"/>
            <w:adjustRightInd w:val="0"/>
            <w:spacing w:before="240" w:after="240" w:line="360" w:lineRule="auto"/>
            <w:ind w:left="709" w:hanging="425"/>
            <w:contextualSpacing w:val="0"/>
            <w:jc w:val="both"/>
            <w:rPr>
              <w:rFonts w:ascii="Arial" w:hAnsi="Arial" w:cs="Arial"/>
              <w:color w:val="000000"/>
              <w:lang w:val="en-GB"/>
            </w:rPr>
          </w:pPr>
          <w:r w:rsidRPr="00FF027F">
            <w:rPr>
              <w:rFonts w:ascii="Arial" w:hAnsi="Arial" w:cs="Arial"/>
              <w:color w:val="000000"/>
              <w:lang w:val="en-GB"/>
            </w:rPr>
            <w:t>T</w:t>
          </w:r>
          <w:r w:rsidR="00A221D7" w:rsidRPr="00FF027F">
            <w:rPr>
              <w:rFonts w:ascii="Arial" w:hAnsi="Arial" w:cs="Arial"/>
              <w:color w:val="000000"/>
              <w:lang w:val="en-GB"/>
            </w:rPr>
            <w:t>he Administration department</w:t>
          </w:r>
          <w:r w:rsidR="004A3311" w:rsidRPr="00FF027F">
            <w:rPr>
              <w:rFonts w:ascii="Arial" w:hAnsi="Arial" w:cs="Arial"/>
              <w:color w:val="000000"/>
              <w:lang w:val="en-GB"/>
            </w:rPr>
            <w:t>.</w:t>
          </w:r>
        </w:p>
        <w:p w14:paraId="303BEA90" w14:textId="77777777" w:rsidR="00A221D7" w:rsidRPr="00FF027F" w:rsidRDefault="005D0621" w:rsidP="00C3063B">
          <w:pPr>
            <w:spacing w:before="240" w:after="240" w:line="360" w:lineRule="auto"/>
            <w:jc w:val="both"/>
            <w:rPr>
              <w:rFonts w:ascii="Arial" w:hAnsi="Arial" w:cs="Arial"/>
              <w:bCs/>
              <w:noProof/>
              <w:snapToGrid w:val="0"/>
              <w:lang w:val="en-GB" w:eastAsia="de-AT"/>
            </w:rPr>
          </w:pPr>
          <w:r w:rsidRPr="00FF027F">
            <w:rPr>
              <w:rFonts w:ascii="Arial" w:hAnsi="Arial" w:cs="Arial"/>
              <w:bCs/>
              <w:noProof/>
              <w:snapToGrid w:val="0"/>
              <w:lang w:val="en-GB" w:eastAsia="de-AT"/>
            </w:rPr>
            <w:t xml:space="preserve">and </w:t>
          </w:r>
          <w:r w:rsidR="00A221D7" w:rsidRPr="00FF027F">
            <w:rPr>
              <w:rFonts w:ascii="Arial" w:hAnsi="Arial" w:cs="Arial"/>
              <w:bCs/>
              <w:noProof/>
              <w:snapToGrid w:val="0"/>
              <w:lang w:val="en-GB" w:eastAsia="de-AT"/>
            </w:rPr>
            <w:t>the Director’s office.</w:t>
          </w:r>
        </w:p>
        <w:p w14:paraId="7FCAC5F1" w14:textId="3A6067EA" w:rsidR="00DE415F" w:rsidRPr="00FF027F" w:rsidRDefault="00DE415F" w:rsidP="00DE415F">
          <w:pPr>
            <w:spacing w:before="360" w:after="240" w:line="360" w:lineRule="auto"/>
            <w:jc w:val="both"/>
            <w:rPr>
              <w:rFonts w:ascii="Arial" w:hAnsi="Arial" w:cs="Arial"/>
              <w:bCs/>
              <w:noProof/>
              <w:snapToGrid w:val="0"/>
              <w:lang w:val="en-GB" w:eastAsia="de-AT"/>
            </w:rPr>
          </w:pPr>
          <w:r w:rsidRPr="00FF027F">
            <w:rPr>
              <w:rFonts w:ascii="Arial" w:hAnsi="Arial" w:cs="Arial"/>
              <w:bCs/>
              <w:noProof/>
              <w:snapToGrid w:val="0"/>
              <w:lang w:val="en-GB" w:eastAsia="de-AT"/>
            </w:rPr>
            <w:t xml:space="preserve">If the additional staffing required fully to implemet REMIT is authorised, </w:t>
          </w:r>
          <w:r w:rsidRPr="00FF027F">
            <w:rPr>
              <w:rFonts w:ascii="Arial" w:hAnsi="Arial" w:cs="Arial"/>
              <w:lang w:val="en-GB"/>
            </w:rPr>
            <w:t>the Market Monitoring Department will have to be restructured into two Departments: Department of Market Oversight (DMO) and Department of Analysis and Surveillance (DAS)</w:t>
          </w:r>
          <w:r w:rsidR="00CF29DF" w:rsidRPr="00FF027F">
            <w:rPr>
              <w:rFonts w:ascii="Arial" w:hAnsi="Arial" w:cs="Arial"/>
              <w:lang w:val="en-GB"/>
            </w:rPr>
            <w:t>.</w:t>
          </w:r>
        </w:p>
        <w:p w14:paraId="05A2710C" w14:textId="653C8C72" w:rsidR="009711A9" w:rsidRPr="00FF027F" w:rsidRDefault="00981273" w:rsidP="00931837">
          <w:pPr>
            <w:spacing w:before="360" w:after="240" w:line="360" w:lineRule="auto"/>
            <w:jc w:val="both"/>
            <w:rPr>
              <w:rFonts w:ascii="Arial" w:hAnsi="Arial" w:cs="Arial"/>
              <w:lang w:val="en-GB" w:eastAsia="en-GB"/>
            </w:rPr>
          </w:pPr>
          <w:r w:rsidRPr="00FF027F">
            <w:rPr>
              <w:rFonts w:ascii="Arial" w:hAnsi="Arial" w:cs="Arial"/>
              <w:lang w:val="en-GB" w:eastAsia="en-GB"/>
            </w:rPr>
            <w:t>In 2015</w:t>
          </w:r>
          <w:r w:rsidR="00A221D7" w:rsidRPr="00FF027F">
            <w:rPr>
              <w:rFonts w:ascii="Arial" w:hAnsi="Arial" w:cs="Arial"/>
              <w:lang w:val="en-GB" w:eastAsia="en-GB"/>
            </w:rPr>
            <w:t xml:space="preserve"> the Administrative Board is expected to meet </w:t>
          </w:r>
          <w:r w:rsidR="00EF3D7D" w:rsidRPr="00FF027F">
            <w:rPr>
              <w:rFonts w:ascii="Arial" w:hAnsi="Arial" w:cs="Arial"/>
              <w:lang w:val="en-GB" w:eastAsia="en-GB"/>
            </w:rPr>
            <w:t>4</w:t>
          </w:r>
          <w:r w:rsidRPr="00FF027F">
            <w:rPr>
              <w:rFonts w:ascii="Arial" w:hAnsi="Arial" w:cs="Arial"/>
              <w:lang w:val="en-GB" w:eastAsia="en-GB"/>
            </w:rPr>
            <w:t xml:space="preserve"> </w:t>
          </w:r>
          <w:r w:rsidR="00A221D7" w:rsidRPr="00FF027F">
            <w:rPr>
              <w:rFonts w:ascii="Arial" w:hAnsi="Arial" w:cs="Arial"/>
              <w:lang w:val="en-GB" w:eastAsia="en-GB"/>
            </w:rPr>
            <w:t xml:space="preserve">times and the Board of Regulators </w:t>
          </w:r>
          <w:r w:rsidR="00EF3D7D" w:rsidRPr="00FF027F">
            <w:rPr>
              <w:rFonts w:ascii="Arial" w:hAnsi="Arial" w:cs="Arial"/>
              <w:lang w:val="en-GB" w:eastAsia="en-GB"/>
            </w:rPr>
            <w:t>10</w:t>
          </w:r>
          <w:r w:rsidRPr="00FF027F">
            <w:rPr>
              <w:rFonts w:ascii="Arial" w:hAnsi="Arial" w:cs="Arial"/>
              <w:lang w:val="en-GB" w:eastAsia="en-GB"/>
            </w:rPr>
            <w:t xml:space="preserve"> </w:t>
          </w:r>
          <w:r w:rsidR="00A221D7" w:rsidRPr="00FF027F">
            <w:rPr>
              <w:rFonts w:ascii="Arial" w:hAnsi="Arial" w:cs="Arial"/>
              <w:lang w:val="en-GB" w:eastAsia="en-GB"/>
            </w:rPr>
            <w:t xml:space="preserve">times. Meetings of the Board of Appeal cannot be planned in advance, as they depend on the requirements of </w:t>
          </w:r>
          <w:r w:rsidR="007B3539" w:rsidRPr="00FF027F">
            <w:rPr>
              <w:rFonts w:ascii="Arial" w:hAnsi="Arial" w:cs="Arial"/>
              <w:lang w:val="en-GB" w:eastAsia="en-GB"/>
            </w:rPr>
            <w:t xml:space="preserve">the </w:t>
          </w:r>
          <w:r w:rsidR="00A221D7" w:rsidRPr="00FF027F">
            <w:rPr>
              <w:rFonts w:ascii="Arial" w:hAnsi="Arial" w:cs="Arial"/>
              <w:lang w:val="en-GB" w:eastAsia="en-GB"/>
            </w:rPr>
            <w:t>appeal</w:t>
          </w:r>
          <w:r w:rsidR="007B3539" w:rsidRPr="00FF027F">
            <w:rPr>
              <w:rFonts w:ascii="Arial" w:hAnsi="Arial" w:cs="Arial"/>
              <w:lang w:val="en-GB" w:eastAsia="en-GB"/>
            </w:rPr>
            <w:t>s</w:t>
          </w:r>
          <w:r w:rsidR="00A221D7" w:rsidRPr="00FF027F">
            <w:rPr>
              <w:rFonts w:ascii="Arial" w:hAnsi="Arial" w:cs="Arial"/>
              <w:lang w:val="en-GB" w:eastAsia="en-GB"/>
            </w:rPr>
            <w:t xml:space="preserve"> lodged</w:t>
          </w:r>
          <w:r w:rsidR="007B3539" w:rsidRPr="00FF027F">
            <w:rPr>
              <w:rFonts w:ascii="Arial" w:hAnsi="Arial" w:cs="Arial"/>
              <w:lang w:val="en-GB" w:eastAsia="en-GB"/>
            </w:rPr>
            <w:t>, if any.</w:t>
          </w:r>
        </w:p>
        <w:p w14:paraId="43D77C50" w14:textId="77777777" w:rsidR="00BE1816" w:rsidRPr="00FF027F" w:rsidRDefault="00A221D7" w:rsidP="00BE1816">
          <w:pPr>
            <w:pStyle w:val="Heading3"/>
            <w:rPr>
              <w:color w:val="4F81BD" w:themeColor="accent1"/>
            </w:rPr>
          </w:pPr>
          <w:bookmarkStart w:id="99" w:name="_Toc358640714"/>
          <w:bookmarkStart w:id="100" w:name="_Toc358640927"/>
          <w:bookmarkStart w:id="101" w:name="_Toc396913799"/>
          <w:r w:rsidRPr="00FF027F">
            <w:rPr>
              <w:color w:val="4F81BD" w:themeColor="accent1"/>
            </w:rPr>
            <w:t xml:space="preserve">Communication </w:t>
          </w:r>
          <w:r w:rsidR="0088132B" w:rsidRPr="00FF027F">
            <w:rPr>
              <w:color w:val="4F81BD" w:themeColor="accent1"/>
            </w:rPr>
            <w:t>A</w:t>
          </w:r>
          <w:r w:rsidRPr="00FF027F">
            <w:rPr>
              <w:color w:val="4F81BD" w:themeColor="accent1"/>
            </w:rPr>
            <w:t>ctivities</w:t>
          </w:r>
          <w:bookmarkEnd w:id="99"/>
          <w:bookmarkEnd w:id="100"/>
          <w:bookmarkEnd w:id="101"/>
          <w:r w:rsidR="00981273" w:rsidRPr="00FF027F">
            <w:rPr>
              <w:color w:val="4F81BD" w:themeColor="accent1"/>
            </w:rPr>
            <w:t xml:space="preserve"> </w:t>
          </w:r>
        </w:p>
        <w:p w14:paraId="2B9C0A57" w14:textId="5866E04B" w:rsidR="005A4B7C" w:rsidRPr="00FF027F" w:rsidRDefault="005A4B7C" w:rsidP="005A4B7C">
          <w:pPr>
            <w:spacing w:before="360" w:after="240" w:line="360" w:lineRule="auto"/>
            <w:jc w:val="both"/>
            <w:rPr>
              <w:rFonts w:ascii="Arial" w:hAnsi="Arial" w:cs="Arial"/>
              <w:lang w:val="en-GB"/>
            </w:rPr>
          </w:pPr>
          <w:bookmarkStart w:id="102" w:name="_Toc384206358"/>
          <w:r w:rsidRPr="00FF027F">
            <w:rPr>
              <w:rFonts w:ascii="Arial" w:hAnsi="Arial" w:cs="Arial"/>
              <w:lang w:val="en-GB"/>
            </w:rPr>
            <w:t xml:space="preserve">According to </w:t>
          </w:r>
          <w:r w:rsidR="00DE415F" w:rsidRPr="00FF027F">
            <w:rPr>
              <w:rFonts w:ascii="Arial" w:hAnsi="Arial" w:cs="Arial"/>
              <w:lang w:val="en-GB"/>
            </w:rPr>
            <w:t>the Agency</w:t>
          </w:r>
          <w:r w:rsidRPr="00FF027F">
            <w:rPr>
              <w:rFonts w:ascii="Arial" w:hAnsi="Arial" w:cs="Arial"/>
              <w:lang w:val="en-GB"/>
            </w:rPr>
            <w:t xml:space="preserve"> Regulation, the Agency is required to consult extensively and at an early stage on its regulatory activities. Stakeholders’ relations are thus an important part of the Agency’s communications activities. At the same time the Agency strives to ensure that staff is well informed and has a common understanding of the Agency’s mission and objectives. </w:t>
          </w:r>
        </w:p>
        <w:p w14:paraId="1C458466" w14:textId="4E2EF2FA" w:rsidR="005A4B7C" w:rsidRPr="00FF027F" w:rsidRDefault="005A4B7C" w:rsidP="005A4B7C">
          <w:pPr>
            <w:spacing w:before="360" w:after="240" w:line="360" w:lineRule="auto"/>
            <w:jc w:val="both"/>
            <w:rPr>
              <w:rFonts w:ascii="Arial" w:hAnsi="Arial" w:cs="Arial"/>
              <w:lang w:val="en-GB"/>
            </w:rPr>
          </w:pPr>
          <w:r w:rsidRPr="00FF027F">
            <w:rPr>
              <w:rFonts w:ascii="Arial" w:hAnsi="Arial" w:cs="Arial"/>
              <w:lang w:val="en-GB"/>
            </w:rPr>
            <w:t xml:space="preserve">In order to further develop its external and internal communication activities, in 2014 the Agency adopted </w:t>
          </w:r>
          <w:r w:rsidR="00530BBF" w:rsidRPr="00FF027F">
            <w:rPr>
              <w:rFonts w:ascii="Arial" w:hAnsi="Arial" w:cs="Arial"/>
              <w:lang w:val="en-GB"/>
            </w:rPr>
            <w:t xml:space="preserve">its first </w:t>
          </w:r>
          <w:r w:rsidRPr="00FF027F">
            <w:rPr>
              <w:rFonts w:ascii="Arial" w:hAnsi="Arial" w:cs="Arial"/>
              <w:lang w:val="en-GB"/>
            </w:rPr>
            <w:t>fully-fledged Communication Strategy</w:t>
          </w:r>
          <w:r w:rsidR="00593B9B" w:rsidRPr="00FF027F">
            <w:rPr>
              <w:rFonts w:ascii="Arial" w:hAnsi="Arial" w:cs="Arial"/>
              <w:lang w:val="en-GB"/>
            </w:rPr>
            <w:t>, which it will continue to implement in 2015.</w:t>
          </w:r>
        </w:p>
        <w:p w14:paraId="660BAD9A" w14:textId="77777777" w:rsidR="00BE1816" w:rsidRPr="00FF027F" w:rsidRDefault="00BE1816" w:rsidP="004A3311">
          <w:pPr>
            <w:pStyle w:val="Heading3"/>
            <w:numPr>
              <w:ilvl w:val="0"/>
              <w:numId w:val="0"/>
            </w:numPr>
            <w:ind w:left="90" w:firstLine="630"/>
            <w:rPr>
              <w:color w:val="4F81BD" w:themeColor="accent1"/>
            </w:rPr>
          </w:pPr>
          <w:bookmarkStart w:id="103" w:name="_Toc396913800"/>
          <w:bookmarkEnd w:id="102"/>
          <w:r w:rsidRPr="00FF027F">
            <w:rPr>
              <w:color w:val="4F81BD" w:themeColor="accent1"/>
            </w:rPr>
            <w:t>3.9</w:t>
          </w:r>
          <w:r w:rsidR="00981273" w:rsidRPr="00FF027F">
            <w:rPr>
              <w:color w:val="4F81BD" w:themeColor="accent1"/>
            </w:rPr>
            <w:t>.2.1 External Communication</w:t>
          </w:r>
          <w:bookmarkEnd w:id="103"/>
          <w:r w:rsidR="00981273" w:rsidRPr="00FF027F">
            <w:rPr>
              <w:color w:val="4F81BD" w:themeColor="accent1"/>
            </w:rPr>
            <w:t xml:space="preserve"> </w:t>
          </w:r>
        </w:p>
        <w:p w14:paraId="613E94F3" w14:textId="52A36265" w:rsidR="00F277DA" w:rsidRPr="00FF027F" w:rsidRDefault="00593B9B" w:rsidP="00465652">
          <w:pPr>
            <w:spacing w:before="360" w:after="240" w:line="360" w:lineRule="auto"/>
            <w:jc w:val="both"/>
            <w:rPr>
              <w:rFonts w:ascii="Arial" w:hAnsi="Arial" w:cs="Arial"/>
              <w:lang w:val="en-GB"/>
            </w:rPr>
          </w:pPr>
          <w:r w:rsidRPr="00FF027F">
            <w:rPr>
              <w:rFonts w:ascii="Arial" w:hAnsi="Arial" w:cs="Arial"/>
              <w:lang w:val="en-GB"/>
            </w:rPr>
            <w:t xml:space="preserve">The external communication of the Agency takes two main forms: involving NRAs and stakeholders in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’s work;</w:t>
          </w:r>
          <w:r w:rsidR="00DE415F" w:rsidRPr="00FF027F">
            <w:rPr>
              <w:rFonts w:ascii="Arial" w:hAnsi="Arial" w:cs="Arial"/>
              <w:lang w:val="en-GB"/>
            </w:rPr>
            <w:t xml:space="preserve"> and,</w:t>
          </w:r>
          <w:r w:rsidRPr="00FF027F">
            <w:rPr>
              <w:rFonts w:ascii="Arial" w:hAnsi="Arial" w:cs="Arial"/>
              <w:lang w:val="en-GB"/>
            </w:rPr>
            <w:t xml:space="preserve"> communicating with the general public d</w:t>
          </w:r>
          <w:r w:rsidR="0042740D" w:rsidRPr="00FF027F">
            <w:rPr>
              <w:rFonts w:ascii="Arial" w:hAnsi="Arial" w:cs="Arial"/>
              <w:lang w:val="en-GB"/>
            </w:rPr>
            <w:t xml:space="preserve">irectly and through the media. </w:t>
          </w:r>
          <w:r w:rsidR="00465652" w:rsidRPr="00FF027F">
            <w:rPr>
              <w:rFonts w:ascii="Arial" w:hAnsi="Arial" w:cs="Arial"/>
              <w:lang w:val="en-GB"/>
            </w:rPr>
            <w:t>T</w:t>
          </w:r>
          <w:r w:rsidR="00F277DA" w:rsidRPr="00FF027F">
            <w:rPr>
              <w:rFonts w:ascii="Arial" w:hAnsi="Arial" w:cs="Arial"/>
              <w:lang w:val="en-GB"/>
            </w:rPr>
            <w:t xml:space="preserve">he main objective of </w:t>
          </w:r>
          <w:r w:rsidR="00A57637" w:rsidRPr="00FF027F">
            <w:rPr>
              <w:rFonts w:ascii="Arial" w:hAnsi="Arial" w:cs="Arial"/>
              <w:lang w:val="en-GB"/>
            </w:rPr>
            <w:t xml:space="preserve">the </w:t>
          </w:r>
          <w:r w:rsidR="00F277DA" w:rsidRPr="00FF027F">
            <w:rPr>
              <w:rFonts w:ascii="Arial" w:hAnsi="Arial" w:cs="Arial"/>
              <w:lang w:val="en-GB"/>
            </w:rPr>
            <w:t>A</w:t>
          </w:r>
          <w:r w:rsidR="00A57637" w:rsidRPr="00FF027F">
            <w:rPr>
              <w:rFonts w:ascii="Arial" w:hAnsi="Arial" w:cs="Arial"/>
              <w:lang w:val="en-GB"/>
            </w:rPr>
            <w:t>gency</w:t>
          </w:r>
          <w:r w:rsidR="00F277DA" w:rsidRPr="00FF027F">
            <w:rPr>
              <w:rFonts w:ascii="Arial" w:hAnsi="Arial" w:cs="Arial"/>
              <w:lang w:val="en-GB"/>
            </w:rPr>
            <w:t>’s communication is to increase the transparency</w:t>
          </w:r>
          <w:r w:rsidR="0044660E" w:rsidRPr="00FF027F">
            <w:rPr>
              <w:rFonts w:ascii="Arial" w:hAnsi="Arial" w:cs="Arial"/>
              <w:lang w:val="en-GB"/>
            </w:rPr>
            <w:t xml:space="preserve"> of the Agency’s activities, reinforcing its </w:t>
          </w:r>
          <w:r w:rsidR="00F277DA" w:rsidRPr="00FF027F">
            <w:rPr>
              <w:rFonts w:ascii="Arial" w:hAnsi="Arial" w:cs="Arial"/>
              <w:lang w:val="en-GB"/>
            </w:rPr>
            <w:t xml:space="preserve">position as an independent, credible, transparent, service-oriented and efficient expert EU body in energy regulation. </w:t>
          </w:r>
        </w:p>
        <w:p w14:paraId="1150DEE6" w14:textId="04CC1033" w:rsidR="00F277DA" w:rsidRPr="00FF027F" w:rsidRDefault="00F277DA" w:rsidP="00465652">
          <w:pPr>
            <w:spacing w:before="360" w:after="240" w:line="360" w:lineRule="auto"/>
            <w:jc w:val="both"/>
            <w:rPr>
              <w:rFonts w:ascii="Arial" w:hAnsi="Arial" w:cs="Arial"/>
              <w:lang w:val="en-GB"/>
            </w:rPr>
          </w:pPr>
          <w:r w:rsidRPr="00FF027F">
            <w:rPr>
              <w:rFonts w:ascii="Arial" w:hAnsi="Arial" w:cs="Arial"/>
              <w:lang w:val="en-GB"/>
            </w:rPr>
            <w:t xml:space="preserve">Digital communication </w:t>
          </w:r>
          <w:r w:rsidR="00465652" w:rsidRPr="00FF027F">
            <w:rPr>
              <w:rFonts w:ascii="Arial" w:hAnsi="Arial" w:cs="Arial"/>
              <w:lang w:val="en-GB"/>
            </w:rPr>
            <w:t xml:space="preserve">remains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 xml:space="preserve">’s main </w:t>
          </w:r>
          <w:r w:rsidR="0044660E" w:rsidRPr="00FF027F">
            <w:rPr>
              <w:rFonts w:ascii="Arial" w:hAnsi="Arial" w:cs="Arial"/>
              <w:lang w:val="en-GB"/>
            </w:rPr>
            <w:t xml:space="preserve">communication </w:t>
          </w:r>
          <w:r w:rsidRPr="00FF027F">
            <w:rPr>
              <w:rFonts w:ascii="Arial" w:hAnsi="Arial" w:cs="Arial"/>
              <w:lang w:val="en-GB"/>
            </w:rPr>
            <w:t xml:space="preserve">channel. The focus is on securing regular improvements and updates of the available means: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 xml:space="preserve">’s website and e-alerts.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 xml:space="preserve"> has also developed new channels, such as the citizens’ summaries (putting </w:t>
          </w:r>
          <w:r w:rsidR="00A57637" w:rsidRPr="00FF027F">
            <w:rPr>
              <w:rFonts w:ascii="Arial" w:hAnsi="Arial" w:cs="Arial"/>
              <w:lang w:val="en-GB"/>
            </w:rPr>
            <w:t>the Agency</w:t>
          </w:r>
          <w:r w:rsidRPr="00FF027F">
            <w:rPr>
              <w:rFonts w:ascii="Arial" w:hAnsi="Arial" w:cs="Arial"/>
              <w:lang w:val="en-GB"/>
            </w:rPr>
            <w:t xml:space="preserve">’s activities in a wider context using language that is comprehensible also to non-experts) and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 xml:space="preserve"> debriefings for stakeholders, which will also be used in 2015. </w:t>
          </w:r>
          <w:r w:rsidR="00465652" w:rsidRPr="00FF027F">
            <w:rPr>
              <w:rFonts w:ascii="Arial" w:hAnsi="Arial" w:cs="Arial"/>
              <w:lang w:val="en-GB"/>
            </w:rPr>
            <w:t xml:space="preserve">The Agency </w:t>
          </w:r>
          <w:r w:rsidRPr="00FF027F">
            <w:rPr>
              <w:rFonts w:ascii="Arial" w:hAnsi="Arial" w:cs="Arial"/>
              <w:lang w:val="en-GB"/>
            </w:rPr>
            <w:t>is also striv</w:t>
          </w:r>
          <w:r w:rsidR="00465652" w:rsidRPr="00FF027F">
            <w:rPr>
              <w:rFonts w:ascii="Arial" w:hAnsi="Arial" w:cs="Arial"/>
              <w:lang w:val="en-GB"/>
            </w:rPr>
            <w:t>ing</w:t>
          </w:r>
          <w:r w:rsidRPr="00FF027F">
            <w:rPr>
              <w:rFonts w:ascii="Arial" w:hAnsi="Arial" w:cs="Arial"/>
              <w:lang w:val="en-GB"/>
            </w:rPr>
            <w:t xml:space="preserve"> to increase the use of e-surveys</w:t>
          </w:r>
          <w:r w:rsidR="00B91D1C" w:rsidRPr="00FF027F">
            <w:rPr>
              <w:rFonts w:ascii="Arial" w:hAnsi="Arial" w:cs="Arial"/>
              <w:lang w:val="en-GB"/>
            </w:rPr>
            <w:t xml:space="preserve">, through which stakeholders will increasingly have the possibility of providing feedback on the quality of </w:t>
          </w:r>
          <w:r w:rsidR="00A57637" w:rsidRPr="00FF027F">
            <w:rPr>
              <w:rFonts w:ascii="Arial" w:hAnsi="Arial" w:cs="Arial"/>
              <w:lang w:val="en-GB"/>
            </w:rPr>
            <w:t xml:space="preserve">the </w:t>
          </w:r>
          <w:r w:rsidR="00B91D1C" w:rsidRPr="00FF027F">
            <w:rPr>
              <w:rFonts w:ascii="Arial" w:hAnsi="Arial" w:cs="Arial"/>
              <w:lang w:val="en-GB"/>
            </w:rPr>
            <w:t>A</w:t>
          </w:r>
          <w:r w:rsidR="00A57637" w:rsidRPr="00FF027F">
            <w:rPr>
              <w:rFonts w:ascii="Arial" w:hAnsi="Arial" w:cs="Arial"/>
              <w:lang w:val="en-GB"/>
            </w:rPr>
            <w:t>gency’s</w:t>
          </w:r>
          <w:r w:rsidR="00B91D1C" w:rsidRPr="00FF027F">
            <w:rPr>
              <w:rFonts w:ascii="Arial" w:hAnsi="Arial" w:cs="Arial"/>
              <w:lang w:val="en-GB"/>
            </w:rPr>
            <w:t xml:space="preserve"> document,</w:t>
          </w:r>
          <w:r w:rsidR="00A57637" w:rsidRPr="00FF027F">
            <w:rPr>
              <w:rFonts w:ascii="Arial" w:hAnsi="Arial" w:cs="Arial"/>
              <w:lang w:val="en-GB"/>
            </w:rPr>
            <w:t xml:space="preserve"> and</w:t>
          </w:r>
          <w:r w:rsidR="00B91D1C" w:rsidRPr="00FF027F">
            <w:rPr>
              <w:rFonts w:ascii="Arial" w:hAnsi="Arial" w:cs="Arial"/>
              <w:lang w:val="en-GB"/>
            </w:rPr>
            <w:t xml:space="preserve"> webinars;</w:t>
          </w:r>
          <w:r w:rsidRPr="00FF027F">
            <w:rPr>
              <w:rFonts w:ascii="Arial" w:hAnsi="Arial" w:cs="Arial"/>
              <w:lang w:val="en-GB"/>
            </w:rPr>
            <w:t xml:space="preserve"> and will explore possibilities for its presence on social media.</w:t>
          </w:r>
        </w:p>
        <w:p w14:paraId="5EB95383" w14:textId="6A997187" w:rsidR="0042740D" w:rsidRPr="00FF027F" w:rsidRDefault="00A57637" w:rsidP="0042740D">
          <w:pPr>
            <w:spacing w:before="360" w:after="240" w:line="360" w:lineRule="auto"/>
            <w:jc w:val="both"/>
            <w:rPr>
              <w:rFonts w:ascii="Arial" w:hAnsi="Arial" w:cs="Arial"/>
              <w:lang w:val="en-GB"/>
            </w:rPr>
          </w:pPr>
          <w:r w:rsidRPr="00FF027F">
            <w:rPr>
              <w:rFonts w:ascii="Arial" w:hAnsi="Arial" w:cs="Arial"/>
              <w:lang w:val="en-GB"/>
            </w:rPr>
            <w:t xml:space="preserve">The </w:t>
          </w:r>
          <w:r w:rsidR="00AB2645" w:rsidRPr="00FF027F">
            <w:rPr>
              <w:rFonts w:ascii="Arial" w:hAnsi="Arial" w:cs="Arial"/>
              <w:lang w:val="en-GB"/>
            </w:rPr>
            <w:t>Agency’s</w:t>
          </w:r>
          <w:r w:rsidRPr="00FF027F">
            <w:rPr>
              <w:rFonts w:ascii="Arial" w:hAnsi="Arial" w:cs="Arial"/>
              <w:lang w:val="en-GB"/>
            </w:rPr>
            <w:t xml:space="preserve"> </w:t>
          </w:r>
          <w:r w:rsidR="0042740D" w:rsidRPr="00FF027F">
            <w:rPr>
              <w:rFonts w:ascii="Arial" w:hAnsi="Arial" w:cs="Arial"/>
              <w:lang w:val="en-GB"/>
            </w:rPr>
            <w:t xml:space="preserve">public events are the second main means of engaging with policy makers and stakeholders, as well as the media. Public events serve the purpose of allowing stakeholders to contribute to </w:t>
          </w:r>
          <w:r w:rsidRPr="00FF027F">
            <w:rPr>
              <w:rFonts w:ascii="Arial" w:hAnsi="Arial" w:cs="Arial"/>
              <w:lang w:val="en-GB"/>
            </w:rPr>
            <w:t>the Agency’s</w:t>
          </w:r>
          <w:r w:rsidR="0042740D" w:rsidRPr="00FF027F">
            <w:rPr>
              <w:rFonts w:ascii="Arial" w:hAnsi="Arial" w:cs="Arial"/>
              <w:lang w:val="en-GB"/>
            </w:rPr>
            <w:t xml:space="preserve"> deliverables; inform of the Agency’s latest documents; as well as brief interested parties on future developments.</w:t>
          </w:r>
        </w:p>
        <w:p w14:paraId="7CAA517A" w14:textId="2B30F455" w:rsidR="0042740D" w:rsidRPr="00FF027F" w:rsidRDefault="0042740D" w:rsidP="00465652">
          <w:pPr>
            <w:spacing w:before="360" w:after="240" w:line="360" w:lineRule="auto"/>
            <w:jc w:val="both"/>
            <w:rPr>
              <w:rFonts w:ascii="Arial" w:hAnsi="Arial" w:cs="Arial"/>
              <w:lang w:val="en-GB"/>
            </w:rPr>
          </w:pPr>
          <w:r w:rsidRPr="00FF027F">
            <w:rPr>
              <w:rFonts w:ascii="Arial" w:hAnsi="Arial" w:cs="Arial"/>
              <w:lang w:val="en-GB"/>
            </w:rPr>
            <w:t xml:space="preserve">Publications remain an effective way of promoting the Agency’s activities; most are produced in digital form only. Print is strictly limited, in line with the Agency’s environmental commitments. Besides reports on specific issues related to gas and electricity,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 xml:space="preserve"> issues four </w:t>
          </w:r>
          <w:r w:rsidR="00A57637" w:rsidRPr="00FF027F">
            <w:rPr>
              <w:rFonts w:ascii="Arial" w:hAnsi="Arial" w:cs="Arial"/>
              <w:lang w:val="en-GB"/>
            </w:rPr>
            <w:t>large</w:t>
          </w:r>
          <w:r w:rsidRPr="00FF027F">
            <w:rPr>
              <w:rFonts w:ascii="Arial" w:hAnsi="Arial" w:cs="Arial"/>
              <w:lang w:val="en-GB"/>
            </w:rPr>
            <w:t>-scale reports annually which undergo professional graphic design (see deliverables below).</w:t>
          </w:r>
        </w:p>
        <w:p w14:paraId="1F923A5A" w14:textId="101A2EA8" w:rsidR="0044660E" w:rsidRPr="00FF027F" w:rsidRDefault="00A57637" w:rsidP="00C7572B">
          <w:pPr>
            <w:spacing w:before="360" w:after="0" w:line="360" w:lineRule="auto"/>
            <w:jc w:val="both"/>
            <w:rPr>
              <w:rFonts w:ascii="Arial" w:hAnsi="Arial" w:cs="Arial"/>
              <w:lang w:val="en-GB"/>
            </w:rPr>
          </w:pPr>
          <w:r w:rsidRPr="00FF027F">
            <w:rPr>
              <w:rFonts w:ascii="Arial" w:hAnsi="Arial" w:cs="Arial"/>
              <w:lang w:val="en-GB"/>
            </w:rPr>
            <w:t>The Agency</w:t>
          </w:r>
          <w:r w:rsidR="0044660E" w:rsidRPr="00FF027F">
            <w:rPr>
              <w:rFonts w:ascii="Arial" w:hAnsi="Arial" w:cs="Arial"/>
              <w:lang w:val="en-GB"/>
            </w:rPr>
            <w:t>’s external communication will focus on the following</w:t>
          </w:r>
          <w:r w:rsidR="00DC646D" w:rsidRPr="00FF027F">
            <w:rPr>
              <w:rFonts w:ascii="Arial" w:hAnsi="Arial" w:cs="Arial"/>
              <w:lang w:val="en-GB"/>
            </w:rPr>
            <w:t xml:space="preserve"> activities/deliverables</w:t>
          </w:r>
          <w:r w:rsidR="0044660E" w:rsidRPr="00FF027F">
            <w:rPr>
              <w:rFonts w:ascii="Arial" w:hAnsi="Arial" w:cs="Arial"/>
              <w:lang w:val="en-GB"/>
            </w:rPr>
            <w:t>:</w:t>
          </w:r>
        </w:p>
        <w:p w14:paraId="7AF810CA" w14:textId="77777777" w:rsidR="00B91D1C" w:rsidRPr="00FF027F" w:rsidRDefault="00B91D1C" w:rsidP="00196477">
          <w:pPr>
            <w:spacing w:after="0" w:line="360" w:lineRule="auto"/>
            <w:jc w:val="both"/>
            <w:rPr>
              <w:rFonts w:ascii="Arial" w:hAnsi="Arial" w:cs="Arial"/>
              <w:lang w:val="en-GB"/>
            </w:rPr>
          </w:pPr>
        </w:p>
        <w:tbl>
          <w:tblPr>
            <w:tblStyle w:val="TableGrid8"/>
            <w:tblW w:w="9064" w:type="dxa"/>
            <w:tblInd w:w="108" w:type="dxa"/>
            <w:tblLook w:val="04A0" w:firstRow="1" w:lastRow="0" w:firstColumn="1" w:lastColumn="0" w:noHBand="0" w:noVBand="1"/>
          </w:tblPr>
          <w:tblGrid>
            <w:gridCol w:w="2522"/>
            <w:gridCol w:w="6542"/>
          </w:tblGrid>
          <w:tr w:rsidR="00DC646D" w:rsidRPr="00FF027F" w14:paraId="26AB7B67" w14:textId="77777777" w:rsidTr="002715BC">
            <w:trPr>
              <w:cnfStyle w:val="100000000000" w:firstRow="1" w:lastRow="0" w:firstColumn="0" w:lastColumn="0" w:oddVBand="0" w:evenVBand="0" w:oddHBand="0" w:evenHBand="0" w:firstRowFirstColumn="0" w:firstRowLastColumn="0" w:lastRowFirstColumn="0" w:lastRowLastColumn="0"/>
            </w:trPr>
            <w:tc>
              <w:tcPr>
                <w:tcW w:w="2522" w:type="dxa"/>
              </w:tcPr>
              <w:p w14:paraId="6A23995A" w14:textId="77777777" w:rsidR="00DC646D" w:rsidRPr="00FF027F" w:rsidRDefault="00DC646D" w:rsidP="00655254">
                <w:pPr>
                  <w:spacing w:line="240" w:lineRule="auto"/>
                  <w:ind w:left="216"/>
                  <w:jc w:val="left"/>
                  <w:rPr>
                    <w:rFonts w:ascii="Arial" w:hAnsi="Arial" w:cs="Arial"/>
                    <w:bCs w:val="0"/>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Activity</w:t>
                </w:r>
              </w:p>
            </w:tc>
            <w:tc>
              <w:tcPr>
                <w:tcW w:w="6542" w:type="dxa"/>
              </w:tcPr>
              <w:p w14:paraId="72BF0EE6" w14:textId="77777777" w:rsidR="00DC646D" w:rsidRPr="00FF027F" w:rsidRDefault="00DC646D" w:rsidP="00655254">
                <w:pPr>
                  <w:spacing w:line="240" w:lineRule="auto"/>
                  <w:ind w:left="216"/>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Agency Website</w:t>
                </w:r>
              </w:p>
            </w:tc>
          </w:tr>
          <w:tr w:rsidR="00DC646D" w:rsidRPr="00FF027F" w14:paraId="41B0A27E" w14:textId="77777777" w:rsidTr="002715BC">
            <w:tc>
              <w:tcPr>
                <w:tcW w:w="2522" w:type="dxa"/>
              </w:tcPr>
              <w:p w14:paraId="1BA9DCFC" w14:textId="77777777" w:rsidR="00DC646D" w:rsidRPr="00FF027F" w:rsidRDefault="00DC646D" w:rsidP="00655254">
                <w:pPr>
                  <w:spacing w:line="240" w:lineRule="auto"/>
                  <w:ind w:left="216"/>
                  <w:rPr>
                    <w:rFonts w:ascii="Arial" w:hAnsi="Arial" w:cs="Arial"/>
                    <w:sz w:val="22"/>
                    <w:szCs w:val="22"/>
                    <w:lang w:val="en-GB"/>
                  </w:rPr>
                </w:pPr>
                <w:r w:rsidRPr="00FF027F">
                  <w:rPr>
                    <w:rFonts w:ascii="Arial" w:hAnsi="Arial" w:cs="Arial"/>
                    <w:sz w:val="22"/>
                    <w:szCs w:val="22"/>
                    <w:lang w:val="en-GB"/>
                  </w:rPr>
                  <w:t>Overview (status)</w:t>
                </w:r>
              </w:p>
            </w:tc>
            <w:tc>
              <w:tcPr>
                <w:tcW w:w="6542" w:type="dxa"/>
              </w:tcPr>
              <w:p w14:paraId="5E8F7CB9" w14:textId="17184B6F" w:rsidR="00DC646D" w:rsidRPr="00FF027F" w:rsidRDefault="00DC646D" w:rsidP="00C7572B">
                <w:pPr>
                  <w:keepLines w:val="0"/>
                  <w:tabs>
                    <w:tab w:val="clear" w:pos="1985"/>
                    <w:tab w:val="clear" w:pos="5103"/>
                  </w:tabs>
                  <w:spacing w:line="240" w:lineRule="auto"/>
                  <w:ind w:left="216"/>
                  <w:jc w:val="left"/>
                  <w:rPr>
                    <w:rFonts w:ascii="Arial" w:hAnsi="Arial" w:cs="Arial"/>
                    <w:sz w:val="22"/>
                    <w:szCs w:val="22"/>
                    <w:lang w:val="en-GB"/>
                  </w:rPr>
                </w:pPr>
                <w:r w:rsidRPr="00FF027F">
                  <w:rPr>
                    <w:rFonts w:ascii="Arial" w:hAnsi="Arial" w:cs="Arial"/>
                    <w:sz w:val="22"/>
                    <w:szCs w:val="22"/>
                    <w:lang w:val="en-GB"/>
                  </w:rPr>
                  <w:t xml:space="preserve">This is ACER’s first point of contact. </w:t>
                </w:r>
                <w:r w:rsidR="00C7572B" w:rsidRPr="00FF027F">
                  <w:rPr>
                    <w:rFonts w:ascii="Arial" w:hAnsi="Arial" w:cs="Arial"/>
                    <w:sz w:val="22"/>
                    <w:szCs w:val="22"/>
                    <w:lang w:val="en-GB"/>
                  </w:rPr>
                  <w:t>In 2014 the Agency completed full migration of extranet contents to the new website. Naviga</w:t>
                </w:r>
                <w:r w:rsidR="00933E07" w:rsidRPr="00FF027F">
                  <w:rPr>
                    <w:rFonts w:ascii="Arial" w:hAnsi="Arial" w:cs="Arial"/>
                    <w:sz w:val="22"/>
                    <w:szCs w:val="22"/>
                    <w:lang w:val="en-GB"/>
                  </w:rPr>
                  <w:t>tion was made more user-friendly and its contents were fully updated</w:t>
                </w:r>
                <w:r w:rsidR="00C7572B" w:rsidRPr="00FF027F">
                  <w:rPr>
                    <w:rFonts w:ascii="Arial" w:hAnsi="Arial" w:cs="Arial"/>
                    <w:sz w:val="22"/>
                    <w:szCs w:val="22"/>
                    <w:lang w:val="en-GB"/>
                  </w:rPr>
                  <w:t xml:space="preserve">. </w:t>
                </w:r>
              </w:p>
            </w:tc>
          </w:tr>
          <w:tr w:rsidR="00DC646D" w:rsidRPr="00FF027F" w14:paraId="597C2029" w14:textId="77777777" w:rsidTr="002715BC">
            <w:tc>
              <w:tcPr>
                <w:tcW w:w="2522" w:type="dxa"/>
              </w:tcPr>
              <w:p w14:paraId="30569B15" w14:textId="77777777" w:rsidR="00DC646D" w:rsidRPr="00FF027F" w:rsidRDefault="00DC646D" w:rsidP="00655254">
                <w:pPr>
                  <w:spacing w:line="240" w:lineRule="auto"/>
                  <w:ind w:left="216"/>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42" w:type="dxa"/>
              </w:tcPr>
              <w:p w14:paraId="15A23FFE" w14:textId="77777777" w:rsidR="00DC646D" w:rsidRPr="00FF027F" w:rsidRDefault="00C7572B" w:rsidP="00B91D1C">
                <w:pPr>
                  <w:spacing w:line="240" w:lineRule="auto"/>
                  <w:ind w:left="202"/>
                  <w:jc w:val="left"/>
                  <w:rPr>
                    <w:rFonts w:ascii="Arial" w:hAnsi="Arial" w:cs="Arial"/>
                    <w:sz w:val="22"/>
                    <w:szCs w:val="22"/>
                    <w:lang w:val="en-GB"/>
                  </w:rPr>
                </w:pPr>
                <w:r w:rsidRPr="00FF027F">
                  <w:rPr>
                    <w:rFonts w:ascii="Arial" w:hAnsi="Arial" w:cs="Arial"/>
                    <w:sz w:val="22"/>
                    <w:szCs w:val="22"/>
                    <w:lang w:val="en-GB"/>
                  </w:rPr>
                  <w:t>The Agency’s goal is to further improve its website in terms of usability, features and functionalities, so that it evolves from a document storage facility to a website which is easy to navigate and regularly updated so as to encourage returning visits.</w:t>
                </w:r>
              </w:p>
              <w:p w14:paraId="1F48C6AC" w14:textId="72CA9D96" w:rsidR="00C7572B" w:rsidRPr="00FF027F" w:rsidRDefault="00C7572B" w:rsidP="00B91D1C">
                <w:pPr>
                  <w:spacing w:line="240" w:lineRule="auto"/>
                  <w:ind w:left="202"/>
                  <w:jc w:val="left"/>
                  <w:rPr>
                    <w:rFonts w:ascii="Arial" w:hAnsi="Arial" w:cs="Arial"/>
                    <w:sz w:val="22"/>
                    <w:szCs w:val="22"/>
                    <w:lang w:val="en-GB"/>
                  </w:rPr>
                </w:pPr>
                <w:r w:rsidRPr="00FF027F">
                  <w:rPr>
                    <w:rFonts w:ascii="Arial" w:hAnsi="Arial" w:cs="Arial"/>
                    <w:sz w:val="22"/>
                    <w:szCs w:val="22"/>
                    <w:lang w:val="en-GB"/>
                  </w:rPr>
                  <w:t>In 2015 activities will focus on enhancing / further developing:</w:t>
                </w:r>
              </w:p>
              <w:p w14:paraId="45FA8316" w14:textId="7AC41A7D" w:rsidR="00C7572B" w:rsidRPr="00FF027F" w:rsidRDefault="00C7572B" w:rsidP="00B91D1C">
                <w:pPr>
                  <w:pStyle w:val="ListParagraph"/>
                  <w:numPr>
                    <w:ilvl w:val="0"/>
                    <w:numId w:val="23"/>
                  </w:numPr>
                  <w:spacing w:after="120"/>
                  <w:ind w:left="202"/>
                  <w:jc w:val="left"/>
                  <w:rPr>
                    <w:rFonts w:ascii="Arial" w:hAnsi="Arial" w:cs="Arial"/>
                    <w:sz w:val="22"/>
                    <w:szCs w:val="22"/>
                    <w:lang w:val="en-GB" w:eastAsia="fr-FR"/>
                  </w:rPr>
                </w:pPr>
                <w:r w:rsidRPr="00FF027F">
                  <w:rPr>
                    <w:rFonts w:ascii="Arial" w:hAnsi="Arial" w:cs="Arial"/>
                    <w:sz w:val="22"/>
                    <w:szCs w:val="22"/>
                    <w:lang w:val="en-GB" w:eastAsia="fr-FR"/>
                  </w:rPr>
                  <w:t>Online surveys</w:t>
                </w:r>
                <w:r w:rsidR="007D2072" w:rsidRPr="00FF027F">
                  <w:rPr>
                    <w:rFonts w:ascii="Arial" w:hAnsi="Arial" w:cs="Arial"/>
                    <w:sz w:val="22"/>
                    <w:szCs w:val="22"/>
                    <w:lang w:val="en-GB" w:eastAsia="fr-FR"/>
                  </w:rPr>
                  <w:t>;</w:t>
                </w:r>
              </w:p>
              <w:p w14:paraId="3683AB39" w14:textId="5039218C" w:rsidR="00C7572B" w:rsidRPr="00FF027F" w:rsidRDefault="00B91D1C" w:rsidP="00B91D1C">
                <w:pPr>
                  <w:pStyle w:val="ListParagraph"/>
                  <w:numPr>
                    <w:ilvl w:val="0"/>
                    <w:numId w:val="23"/>
                  </w:numPr>
                  <w:spacing w:after="120"/>
                  <w:ind w:left="202"/>
                  <w:jc w:val="left"/>
                  <w:rPr>
                    <w:rFonts w:ascii="Arial" w:hAnsi="Arial" w:cs="Arial"/>
                    <w:sz w:val="22"/>
                    <w:szCs w:val="22"/>
                    <w:lang w:val="en-GB" w:eastAsia="fr-FR"/>
                  </w:rPr>
                </w:pPr>
                <w:r w:rsidRPr="00FF027F">
                  <w:rPr>
                    <w:rFonts w:ascii="Arial" w:hAnsi="Arial" w:cs="Arial"/>
                    <w:sz w:val="22"/>
                    <w:szCs w:val="22"/>
                    <w:lang w:val="en-GB" w:eastAsia="fr-FR"/>
                  </w:rPr>
                  <w:t>The d</w:t>
                </w:r>
                <w:r w:rsidR="00C7572B" w:rsidRPr="00FF027F">
                  <w:rPr>
                    <w:rFonts w:ascii="Arial" w:hAnsi="Arial" w:cs="Arial"/>
                    <w:sz w:val="22"/>
                    <w:szCs w:val="22"/>
                    <w:lang w:val="en-GB" w:eastAsia="fr-FR"/>
                  </w:rPr>
                  <w:t>edicated workspace for meetings/workshops</w:t>
                </w:r>
                <w:r w:rsidR="007D2072" w:rsidRPr="00FF027F">
                  <w:rPr>
                    <w:rFonts w:ascii="Arial" w:hAnsi="Arial" w:cs="Arial"/>
                    <w:sz w:val="22"/>
                    <w:szCs w:val="22"/>
                    <w:lang w:val="en-GB" w:eastAsia="fr-FR"/>
                  </w:rPr>
                  <w:t>;</w:t>
                </w:r>
              </w:p>
              <w:p w14:paraId="47EA0C10" w14:textId="3AC8E6AE" w:rsidR="00C7572B" w:rsidRPr="00FF027F" w:rsidRDefault="00B91D1C" w:rsidP="00B91D1C">
                <w:pPr>
                  <w:pStyle w:val="ListParagraph"/>
                  <w:numPr>
                    <w:ilvl w:val="0"/>
                    <w:numId w:val="23"/>
                  </w:numPr>
                  <w:spacing w:after="120"/>
                  <w:ind w:left="202"/>
                  <w:jc w:val="left"/>
                  <w:rPr>
                    <w:rFonts w:ascii="Arial" w:hAnsi="Arial" w:cs="Arial"/>
                    <w:sz w:val="22"/>
                    <w:szCs w:val="22"/>
                    <w:lang w:val="en-GB" w:eastAsia="fr-FR"/>
                  </w:rPr>
                </w:pPr>
                <w:r w:rsidRPr="00FF027F">
                  <w:rPr>
                    <w:rFonts w:ascii="Arial" w:hAnsi="Arial" w:cs="Arial"/>
                    <w:sz w:val="22"/>
                    <w:szCs w:val="22"/>
                    <w:lang w:val="en-GB" w:eastAsia="fr-FR"/>
                  </w:rPr>
                  <w:t>F</w:t>
                </w:r>
                <w:r w:rsidR="00C7572B" w:rsidRPr="00FF027F">
                  <w:rPr>
                    <w:rFonts w:ascii="Arial" w:hAnsi="Arial" w:cs="Arial"/>
                    <w:sz w:val="22"/>
                    <w:szCs w:val="22"/>
                    <w:lang w:val="en-GB" w:eastAsia="fr-FR"/>
                  </w:rPr>
                  <w:t>eatures for news and announcements</w:t>
                </w:r>
                <w:r w:rsidR="007D2072" w:rsidRPr="00FF027F">
                  <w:rPr>
                    <w:rFonts w:ascii="Arial" w:hAnsi="Arial" w:cs="Arial"/>
                    <w:sz w:val="22"/>
                    <w:szCs w:val="22"/>
                    <w:lang w:val="en-GB" w:eastAsia="fr-FR"/>
                  </w:rPr>
                  <w:t>;</w:t>
                </w:r>
              </w:p>
              <w:p w14:paraId="05885045" w14:textId="48466D7D" w:rsidR="00C7572B" w:rsidRPr="00FF027F" w:rsidRDefault="00B91D1C" w:rsidP="00B91D1C">
                <w:pPr>
                  <w:pStyle w:val="ListParagraph"/>
                  <w:numPr>
                    <w:ilvl w:val="0"/>
                    <w:numId w:val="23"/>
                  </w:numPr>
                  <w:spacing w:after="120"/>
                  <w:ind w:left="202"/>
                  <w:jc w:val="left"/>
                  <w:rPr>
                    <w:rFonts w:ascii="Arial" w:hAnsi="Arial" w:cs="Arial"/>
                    <w:lang w:val="en-GB" w:eastAsia="fr-FR"/>
                  </w:rPr>
                </w:pPr>
                <w:r w:rsidRPr="00FF027F">
                  <w:rPr>
                    <w:rFonts w:ascii="Arial" w:hAnsi="Arial" w:cs="Arial"/>
                    <w:sz w:val="22"/>
                    <w:szCs w:val="22"/>
                    <w:lang w:val="en-GB" w:eastAsia="fr-FR"/>
                  </w:rPr>
                  <w:t>The p</w:t>
                </w:r>
                <w:r w:rsidR="00C7572B" w:rsidRPr="00FF027F">
                  <w:rPr>
                    <w:rFonts w:ascii="Arial" w:hAnsi="Arial" w:cs="Arial"/>
                    <w:sz w:val="22"/>
                    <w:szCs w:val="22"/>
                    <w:lang w:val="en-GB" w:eastAsia="fr-FR"/>
                  </w:rPr>
                  <w:t>ublication of citizens’ summaries</w:t>
                </w:r>
                <w:r w:rsidR="007D2072" w:rsidRPr="00FF027F">
                  <w:rPr>
                    <w:rFonts w:ascii="Arial" w:hAnsi="Arial" w:cs="Arial"/>
                    <w:sz w:val="22"/>
                    <w:szCs w:val="22"/>
                    <w:lang w:val="en-GB" w:eastAsia="fr-FR"/>
                  </w:rPr>
                  <w:t>.</w:t>
                </w:r>
              </w:p>
            </w:tc>
          </w:tr>
          <w:tr w:rsidR="00DC646D" w:rsidRPr="00FF027F" w14:paraId="6642D785" w14:textId="77777777" w:rsidTr="002715BC">
            <w:tc>
              <w:tcPr>
                <w:tcW w:w="2522" w:type="dxa"/>
              </w:tcPr>
              <w:p w14:paraId="09EAAE79" w14:textId="77777777" w:rsidR="00DC646D" w:rsidRPr="00FF027F" w:rsidRDefault="00DC646D" w:rsidP="00655254">
                <w:pPr>
                  <w:spacing w:line="240" w:lineRule="auto"/>
                  <w:ind w:left="216"/>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42" w:type="dxa"/>
              </w:tcPr>
              <w:p w14:paraId="0A4BA67F" w14:textId="77777777" w:rsidR="00B91D1C" w:rsidRPr="00FF027F" w:rsidRDefault="00B91D1C" w:rsidP="00B91D1C">
                <w:pPr>
                  <w:keepLines w:val="0"/>
                  <w:tabs>
                    <w:tab w:val="clear" w:pos="1985"/>
                    <w:tab w:val="clear" w:pos="5103"/>
                  </w:tabs>
                  <w:spacing w:line="240" w:lineRule="auto"/>
                  <w:ind w:left="202"/>
                  <w:contextualSpacing/>
                  <w:jc w:val="left"/>
                  <w:rPr>
                    <w:rFonts w:ascii="Arial" w:eastAsiaTheme="minorHAnsi" w:hAnsi="Arial" w:cs="Arial"/>
                    <w:sz w:val="22"/>
                    <w:szCs w:val="22"/>
                    <w:lang w:val="en-GB" w:eastAsia="en-US"/>
                  </w:rPr>
                </w:pPr>
              </w:p>
              <w:p w14:paraId="63D67CC4" w14:textId="44698639" w:rsidR="00B91D1C" w:rsidRPr="00FF027F" w:rsidRDefault="00B91D1C" w:rsidP="00B91D1C">
                <w:pPr>
                  <w:keepLines w:val="0"/>
                  <w:tabs>
                    <w:tab w:val="clear" w:pos="1985"/>
                    <w:tab w:val="clear" w:pos="5103"/>
                  </w:tabs>
                  <w:spacing w:line="240" w:lineRule="auto"/>
                  <w:ind w:left="202"/>
                  <w:contextualSpacing/>
                  <w:jc w:val="left"/>
                  <w:rPr>
                    <w:rFonts w:ascii="Arial" w:eastAsiaTheme="minorHAnsi" w:hAnsi="Arial" w:cs="Arial"/>
                    <w:sz w:val="22"/>
                    <w:szCs w:val="22"/>
                    <w:lang w:val="en-GB" w:eastAsia="en-US"/>
                  </w:rPr>
                </w:pPr>
                <w:r w:rsidRPr="00FF027F">
                  <w:rPr>
                    <w:rFonts w:ascii="Arial" w:eastAsiaTheme="minorHAnsi" w:hAnsi="Arial" w:cs="Arial"/>
                    <w:sz w:val="22"/>
                    <w:szCs w:val="22"/>
                    <w:lang w:val="en-GB" w:eastAsia="en-US"/>
                  </w:rPr>
                  <w:t xml:space="preserve">Website hits: </w:t>
                </w:r>
                <w:r w:rsidR="00933E07" w:rsidRPr="00FF027F">
                  <w:rPr>
                    <w:rFonts w:ascii="Arial" w:eastAsiaTheme="minorHAnsi" w:hAnsi="Arial" w:cs="Arial"/>
                    <w:sz w:val="22"/>
                    <w:szCs w:val="22"/>
                    <w:lang w:val="en-GB" w:eastAsia="en-US"/>
                  </w:rPr>
                  <w:t>5</w:t>
                </w:r>
                <w:r w:rsidRPr="00FF027F">
                  <w:rPr>
                    <w:rFonts w:ascii="Arial" w:eastAsiaTheme="minorHAnsi" w:hAnsi="Arial" w:cs="Arial"/>
                    <w:sz w:val="22"/>
                    <w:szCs w:val="22"/>
                    <w:lang w:val="en-GB" w:eastAsia="en-US"/>
                  </w:rPr>
                  <w:t xml:space="preserve">% increase with respect to year N-1. </w:t>
                </w:r>
              </w:p>
              <w:p w14:paraId="367D4CE9" w14:textId="77777777" w:rsidR="00B91D1C" w:rsidRPr="00FF027F" w:rsidRDefault="00B91D1C" w:rsidP="00B91D1C">
                <w:pPr>
                  <w:keepLines w:val="0"/>
                  <w:tabs>
                    <w:tab w:val="clear" w:pos="1985"/>
                    <w:tab w:val="clear" w:pos="5103"/>
                  </w:tabs>
                  <w:spacing w:line="240" w:lineRule="auto"/>
                  <w:ind w:left="202"/>
                  <w:contextualSpacing/>
                  <w:jc w:val="left"/>
                  <w:rPr>
                    <w:rFonts w:ascii="Arial" w:eastAsiaTheme="minorHAnsi" w:hAnsi="Arial" w:cs="Arial"/>
                    <w:sz w:val="16"/>
                    <w:szCs w:val="16"/>
                    <w:lang w:val="en-GB" w:eastAsia="en-US"/>
                  </w:rPr>
                </w:pPr>
              </w:p>
              <w:p w14:paraId="0B3408D0" w14:textId="399F1AD1" w:rsidR="00DC646D" w:rsidRPr="00FF027F" w:rsidRDefault="00B91D1C" w:rsidP="008C5D19">
                <w:pPr>
                  <w:spacing w:line="240" w:lineRule="auto"/>
                  <w:ind w:left="202"/>
                  <w:jc w:val="left"/>
                  <w:rPr>
                    <w:rFonts w:ascii="Arial" w:hAnsi="Arial" w:cs="Arial"/>
                    <w:sz w:val="22"/>
                    <w:szCs w:val="22"/>
                    <w:lang w:val="en-GB"/>
                  </w:rPr>
                </w:pPr>
                <w:r w:rsidRPr="00FF027F">
                  <w:rPr>
                    <w:rFonts w:ascii="Arial" w:eastAsiaTheme="minorHAnsi" w:hAnsi="Arial" w:cs="Arial"/>
                    <w:sz w:val="22"/>
                    <w:szCs w:val="22"/>
                    <w:lang w:val="en-GB" w:eastAsia="en-US"/>
                  </w:rPr>
                  <w:t xml:space="preserve">Online survey: at least </w:t>
                </w:r>
                <w:r w:rsidR="008C5D19" w:rsidRPr="00FF027F">
                  <w:rPr>
                    <w:rFonts w:ascii="Arial" w:eastAsiaTheme="minorHAnsi" w:hAnsi="Arial" w:cs="Arial"/>
                    <w:sz w:val="22"/>
                    <w:szCs w:val="22"/>
                    <w:lang w:val="en-GB" w:eastAsia="en-US"/>
                  </w:rPr>
                  <w:t xml:space="preserve">2/3 </w:t>
                </w:r>
                <w:r w:rsidRPr="00FF027F">
                  <w:rPr>
                    <w:rFonts w:ascii="Arial" w:eastAsiaTheme="minorHAnsi" w:hAnsi="Arial" w:cs="Arial"/>
                    <w:sz w:val="22"/>
                    <w:szCs w:val="22"/>
                    <w:lang w:val="en-GB" w:eastAsia="en-US"/>
                  </w:rPr>
                  <w:t>of respondents satisfied or highly satisfied.</w:t>
                </w:r>
              </w:p>
            </w:tc>
          </w:tr>
          <w:tr w:rsidR="00DC646D" w:rsidRPr="00FF027F" w14:paraId="5BCDDB67" w14:textId="77777777" w:rsidTr="002715BC">
            <w:tc>
              <w:tcPr>
                <w:tcW w:w="2522" w:type="dxa"/>
              </w:tcPr>
              <w:p w14:paraId="2D52FFDB" w14:textId="77777777" w:rsidR="00DC646D" w:rsidRPr="00FF027F" w:rsidRDefault="00DC646D" w:rsidP="00655254">
                <w:pPr>
                  <w:spacing w:line="240" w:lineRule="auto"/>
                  <w:ind w:left="216"/>
                  <w:rPr>
                    <w:rFonts w:ascii="Arial" w:hAnsi="Arial" w:cs="Arial"/>
                    <w:sz w:val="22"/>
                    <w:szCs w:val="22"/>
                    <w:lang w:val="en-GB"/>
                  </w:rPr>
                </w:pPr>
                <w:r w:rsidRPr="00FF027F">
                  <w:rPr>
                    <w:rFonts w:ascii="Arial" w:hAnsi="Arial" w:cs="Arial"/>
                    <w:sz w:val="22"/>
                    <w:szCs w:val="22"/>
                    <w:lang w:val="en-GB"/>
                  </w:rPr>
                  <w:t>Staff</w:t>
                </w:r>
              </w:p>
            </w:tc>
            <w:tc>
              <w:tcPr>
                <w:tcW w:w="6542" w:type="dxa"/>
              </w:tcPr>
              <w:p w14:paraId="642E35AB" w14:textId="6E2C04D6" w:rsidR="00DC646D" w:rsidRPr="00FF027F" w:rsidRDefault="00B91D1C" w:rsidP="00655254">
                <w:pPr>
                  <w:spacing w:line="240" w:lineRule="auto"/>
                  <w:ind w:left="216"/>
                  <w:rPr>
                    <w:rFonts w:ascii="Arial" w:hAnsi="Arial" w:cs="Arial"/>
                    <w:sz w:val="22"/>
                    <w:szCs w:val="22"/>
                    <w:lang w:val="en-GB"/>
                  </w:rPr>
                </w:pPr>
                <w:r w:rsidRPr="00FF027F">
                  <w:rPr>
                    <w:rFonts w:ascii="Arial" w:hAnsi="Arial" w:cs="Arial"/>
                    <w:sz w:val="22"/>
                    <w:szCs w:val="22"/>
                    <w:lang w:val="en-GB"/>
                  </w:rPr>
                  <w:t>0.5 FTE</w:t>
                </w:r>
              </w:p>
            </w:tc>
          </w:tr>
          <w:tr w:rsidR="00DC646D" w:rsidRPr="00FF027F" w14:paraId="1017BA35" w14:textId="77777777" w:rsidTr="002715BC">
            <w:tc>
              <w:tcPr>
                <w:tcW w:w="2522" w:type="dxa"/>
              </w:tcPr>
              <w:p w14:paraId="0366E90C" w14:textId="77777777" w:rsidR="00DC646D" w:rsidRPr="00FF027F" w:rsidRDefault="00DC646D" w:rsidP="00655254">
                <w:pPr>
                  <w:spacing w:line="240" w:lineRule="auto"/>
                  <w:ind w:left="216"/>
                  <w:rPr>
                    <w:rFonts w:ascii="Arial" w:hAnsi="Arial" w:cs="Arial"/>
                    <w:sz w:val="22"/>
                    <w:szCs w:val="22"/>
                    <w:lang w:val="en-GB"/>
                  </w:rPr>
                </w:pPr>
                <w:r w:rsidRPr="00FF027F">
                  <w:rPr>
                    <w:rFonts w:ascii="Arial" w:hAnsi="Arial" w:cs="Arial"/>
                    <w:sz w:val="22"/>
                    <w:szCs w:val="22"/>
                    <w:lang w:val="en-GB"/>
                  </w:rPr>
                  <w:t>Risks</w:t>
                </w:r>
              </w:p>
            </w:tc>
            <w:tc>
              <w:tcPr>
                <w:tcW w:w="6542" w:type="dxa"/>
              </w:tcPr>
              <w:p w14:paraId="1E0710AF" w14:textId="4722B07D" w:rsidR="00DC646D" w:rsidRPr="00FF027F" w:rsidRDefault="00B91D1C" w:rsidP="00655254">
                <w:pPr>
                  <w:spacing w:line="240" w:lineRule="auto"/>
                  <w:ind w:left="216"/>
                  <w:rPr>
                    <w:rFonts w:ascii="Arial" w:hAnsi="Arial" w:cs="Arial"/>
                    <w:sz w:val="22"/>
                    <w:szCs w:val="22"/>
                    <w:lang w:val="en-GB"/>
                  </w:rPr>
                </w:pPr>
                <w:r w:rsidRPr="00FF027F">
                  <w:rPr>
                    <w:rFonts w:ascii="Arial" w:hAnsi="Arial" w:cs="Arial"/>
                    <w:sz w:val="22"/>
                    <w:szCs w:val="22"/>
                    <w:lang w:val="en-GB"/>
                  </w:rPr>
                  <w:t>Timely delivery by external contractors of outputs related to the website.</w:t>
                </w:r>
              </w:p>
            </w:tc>
          </w:tr>
        </w:tbl>
        <w:p w14:paraId="794F324E" w14:textId="77777777" w:rsidR="00DC646D" w:rsidRPr="00FF027F" w:rsidRDefault="00DC646D" w:rsidP="00DC646D">
          <w:pPr>
            <w:spacing w:before="120" w:after="120" w:line="240" w:lineRule="auto"/>
            <w:jc w:val="both"/>
            <w:rPr>
              <w:rFonts w:ascii="Arial" w:hAnsi="Arial" w:cs="Arial"/>
              <w:lang w:val="en-GB"/>
            </w:rPr>
          </w:pPr>
        </w:p>
        <w:tbl>
          <w:tblPr>
            <w:tblStyle w:val="TableGrid82"/>
            <w:tblW w:w="8974" w:type="dxa"/>
            <w:tblInd w:w="108" w:type="dxa"/>
            <w:tblLook w:val="04A0" w:firstRow="1" w:lastRow="0" w:firstColumn="1" w:lastColumn="0" w:noHBand="0" w:noVBand="1"/>
          </w:tblPr>
          <w:tblGrid>
            <w:gridCol w:w="2552"/>
            <w:gridCol w:w="6422"/>
          </w:tblGrid>
          <w:tr w:rsidR="00DC646D" w:rsidRPr="00FF027F" w14:paraId="1532BF9C" w14:textId="77777777" w:rsidTr="002715BC">
            <w:trPr>
              <w:cnfStyle w:val="100000000000" w:firstRow="1" w:lastRow="0" w:firstColumn="0" w:lastColumn="0" w:oddVBand="0" w:evenVBand="0" w:oddHBand="0" w:evenHBand="0" w:firstRowFirstColumn="0" w:firstRowLastColumn="0" w:lastRowFirstColumn="0" w:lastRowLastColumn="0"/>
            </w:trPr>
            <w:tc>
              <w:tcPr>
                <w:tcW w:w="2552" w:type="dxa"/>
              </w:tcPr>
              <w:p w14:paraId="069D264C" w14:textId="77777777" w:rsidR="00DC646D" w:rsidRPr="00FF027F" w:rsidRDefault="00DC646D" w:rsidP="00655254">
                <w:pPr>
                  <w:spacing w:line="240" w:lineRule="auto"/>
                  <w:ind w:left="216"/>
                  <w:jc w:val="left"/>
                  <w:rPr>
                    <w:rFonts w:ascii="Arial" w:hAnsi="Arial" w:cs="Arial"/>
                    <w:bCs w:val="0"/>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Activity</w:t>
                </w:r>
              </w:p>
            </w:tc>
            <w:tc>
              <w:tcPr>
                <w:tcW w:w="6422" w:type="dxa"/>
              </w:tcPr>
              <w:p w14:paraId="55D2DB45" w14:textId="77777777" w:rsidR="00DC646D" w:rsidRPr="00FF027F" w:rsidRDefault="00DC646D" w:rsidP="00655254">
                <w:pPr>
                  <w:spacing w:line="240" w:lineRule="auto"/>
                  <w:ind w:left="216"/>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Relations with Journalists</w:t>
                </w:r>
              </w:p>
            </w:tc>
          </w:tr>
          <w:tr w:rsidR="00DC646D" w:rsidRPr="00FF027F" w14:paraId="651EFA52" w14:textId="77777777" w:rsidTr="002715BC">
            <w:tc>
              <w:tcPr>
                <w:tcW w:w="2552" w:type="dxa"/>
              </w:tcPr>
              <w:p w14:paraId="56ED7978" w14:textId="77777777" w:rsidR="00DC646D" w:rsidRPr="00FF027F" w:rsidRDefault="00DC646D" w:rsidP="00655254">
                <w:pPr>
                  <w:ind w:left="216"/>
                  <w:rPr>
                    <w:rFonts w:ascii="Arial" w:hAnsi="Arial" w:cs="Arial"/>
                    <w:sz w:val="22"/>
                    <w:szCs w:val="22"/>
                    <w:lang w:val="en-GB"/>
                  </w:rPr>
                </w:pPr>
                <w:r w:rsidRPr="00FF027F">
                  <w:rPr>
                    <w:rFonts w:ascii="Arial" w:hAnsi="Arial" w:cs="Arial"/>
                    <w:sz w:val="22"/>
                    <w:szCs w:val="22"/>
                    <w:lang w:val="en-GB"/>
                  </w:rPr>
                  <w:t>Overview (status)</w:t>
                </w:r>
              </w:p>
            </w:tc>
            <w:tc>
              <w:tcPr>
                <w:tcW w:w="6422" w:type="dxa"/>
              </w:tcPr>
              <w:p w14:paraId="07872D02" w14:textId="6FCCE9AF" w:rsidR="00427647" w:rsidRPr="00FF027F" w:rsidRDefault="00427647" w:rsidP="007D2072">
                <w:pPr>
                  <w:spacing w:line="240" w:lineRule="auto"/>
                  <w:ind w:left="202"/>
                  <w:jc w:val="left"/>
                  <w:rPr>
                    <w:rFonts w:ascii="Arial" w:hAnsi="Arial" w:cs="Arial"/>
                    <w:sz w:val="22"/>
                    <w:szCs w:val="22"/>
                    <w:lang w:val="en-GB"/>
                  </w:rPr>
                </w:pPr>
                <w:r w:rsidRPr="00FF027F">
                  <w:rPr>
                    <w:rFonts w:ascii="Arial" w:hAnsi="Arial" w:cs="Arial"/>
                    <w:sz w:val="22"/>
                    <w:szCs w:val="22"/>
                    <w:lang w:val="en-GB"/>
                  </w:rPr>
                  <w:t>Press releases are launched on very specific topics which may have an impact on the general public. When more specific developments are issued, an e-alert (</w:t>
                </w:r>
                <w:r w:rsidR="00C80806" w:rsidRPr="00FF027F">
                  <w:rPr>
                    <w:rFonts w:ascii="Arial" w:hAnsi="Arial" w:cs="Arial"/>
                    <w:sz w:val="22"/>
                    <w:szCs w:val="22"/>
                    <w:lang w:val="en-GB"/>
                  </w:rPr>
                  <w:t>I</w:t>
                </w:r>
                <w:r w:rsidRPr="00FF027F">
                  <w:rPr>
                    <w:rFonts w:ascii="Arial" w:hAnsi="Arial" w:cs="Arial"/>
                    <w:sz w:val="22"/>
                    <w:szCs w:val="22"/>
                    <w:lang w:val="en-GB"/>
                  </w:rPr>
                  <w:t>nfoflash), which may be accompanied by a web piece of news, is launched.</w:t>
                </w:r>
              </w:p>
              <w:p w14:paraId="65D13BAF" w14:textId="4D79D2CD" w:rsidR="00DC646D" w:rsidRPr="00FF027F" w:rsidRDefault="00B91D1C" w:rsidP="007D2072">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Infoflashes provide fresh information on upcoming ACER conferences, workshops and events, as well as newly published open consultations or official documents such as </w:t>
                </w:r>
                <w:r w:rsidR="0017513A" w:rsidRPr="00FF027F">
                  <w:rPr>
                    <w:rFonts w:ascii="Arial" w:hAnsi="Arial" w:cs="Arial"/>
                    <w:sz w:val="22"/>
                    <w:szCs w:val="22"/>
                    <w:lang w:val="en-GB"/>
                  </w:rPr>
                  <w:t>F</w:t>
                </w:r>
                <w:r w:rsidRPr="00FF027F">
                  <w:rPr>
                    <w:rFonts w:ascii="Arial" w:hAnsi="Arial" w:cs="Arial"/>
                    <w:sz w:val="22"/>
                    <w:szCs w:val="22"/>
                    <w:lang w:val="en-GB"/>
                  </w:rPr>
                  <w:t xml:space="preserve">ramework </w:t>
                </w:r>
                <w:r w:rsidR="0017513A" w:rsidRPr="00FF027F">
                  <w:rPr>
                    <w:rFonts w:ascii="Arial" w:hAnsi="Arial" w:cs="Arial"/>
                    <w:sz w:val="22"/>
                    <w:szCs w:val="22"/>
                    <w:lang w:val="en-GB"/>
                  </w:rPr>
                  <w:t>G</w:t>
                </w:r>
                <w:r w:rsidRPr="00FF027F">
                  <w:rPr>
                    <w:rFonts w:ascii="Arial" w:hAnsi="Arial" w:cs="Arial"/>
                    <w:sz w:val="22"/>
                    <w:szCs w:val="22"/>
                    <w:lang w:val="en-GB"/>
                  </w:rPr>
                  <w:t xml:space="preserve">uidelines, </w:t>
                </w:r>
                <w:r w:rsidR="00F80C2A" w:rsidRPr="00FF027F">
                  <w:rPr>
                    <w:rFonts w:ascii="Arial" w:hAnsi="Arial" w:cs="Arial"/>
                    <w:sz w:val="22"/>
                    <w:szCs w:val="22"/>
                    <w:lang w:val="en-GB"/>
                  </w:rPr>
                  <w:t>o</w:t>
                </w:r>
                <w:r w:rsidRPr="00FF027F">
                  <w:rPr>
                    <w:rFonts w:ascii="Arial" w:hAnsi="Arial" w:cs="Arial"/>
                    <w:sz w:val="22"/>
                    <w:szCs w:val="22"/>
                    <w:lang w:val="en-GB"/>
                  </w:rPr>
                  <w:t xml:space="preserve">pinions, </w:t>
                </w:r>
                <w:r w:rsidR="00F80C2A" w:rsidRPr="00FF027F">
                  <w:rPr>
                    <w:rFonts w:ascii="Arial" w:hAnsi="Arial" w:cs="Arial"/>
                    <w:sz w:val="22"/>
                    <w:szCs w:val="22"/>
                    <w:lang w:val="en-GB"/>
                  </w:rPr>
                  <w:t>r</w:t>
                </w:r>
                <w:r w:rsidRPr="00FF027F">
                  <w:rPr>
                    <w:rFonts w:ascii="Arial" w:hAnsi="Arial" w:cs="Arial"/>
                    <w:sz w:val="22"/>
                    <w:szCs w:val="22"/>
                    <w:lang w:val="en-GB"/>
                  </w:rPr>
                  <w:t xml:space="preserve">ecommendations, etc. They </w:t>
                </w:r>
                <w:r w:rsidR="00427647" w:rsidRPr="00FF027F">
                  <w:rPr>
                    <w:rFonts w:ascii="Arial" w:hAnsi="Arial" w:cs="Arial"/>
                    <w:sz w:val="22"/>
                    <w:szCs w:val="22"/>
                    <w:lang w:val="en-GB"/>
                  </w:rPr>
                  <w:t xml:space="preserve">are also </w:t>
                </w:r>
                <w:r w:rsidRPr="00FF027F">
                  <w:rPr>
                    <w:rFonts w:ascii="Arial" w:hAnsi="Arial" w:cs="Arial"/>
                    <w:sz w:val="22"/>
                    <w:szCs w:val="22"/>
                    <w:lang w:val="en-GB"/>
                  </w:rPr>
                  <w:t>used to provide information on new tenders or ACER public debriefings.</w:t>
                </w:r>
                <w:r w:rsidR="00427647" w:rsidRPr="00FF027F">
                  <w:rPr>
                    <w:rFonts w:ascii="Arial" w:hAnsi="Arial" w:cs="Arial"/>
                    <w:sz w:val="22"/>
                    <w:szCs w:val="22"/>
                    <w:lang w:val="en-GB"/>
                  </w:rPr>
                  <w:t xml:space="preserve"> Infoflashes are issued </w:t>
                </w:r>
                <w:r w:rsidRPr="00FF027F">
                  <w:rPr>
                    <w:rFonts w:ascii="Arial" w:hAnsi="Arial" w:cs="Arial"/>
                    <w:sz w:val="22"/>
                    <w:szCs w:val="22"/>
                    <w:lang w:val="en-GB"/>
                  </w:rPr>
                  <w:t>to over 2,</w:t>
                </w:r>
                <w:r w:rsidR="00933E07" w:rsidRPr="00FF027F">
                  <w:rPr>
                    <w:rFonts w:ascii="Arial" w:hAnsi="Arial" w:cs="Arial"/>
                    <w:sz w:val="22"/>
                    <w:szCs w:val="22"/>
                    <w:lang w:val="en-GB"/>
                  </w:rPr>
                  <w:t>5</w:t>
                </w:r>
                <w:r w:rsidRPr="00FF027F">
                  <w:rPr>
                    <w:rFonts w:ascii="Arial" w:hAnsi="Arial" w:cs="Arial"/>
                    <w:sz w:val="22"/>
                    <w:szCs w:val="22"/>
                    <w:lang w:val="en-GB"/>
                  </w:rPr>
                  <w:t xml:space="preserve">00 contacts (a number in constant growth), including stakeholders, national regulators, academics, media, think tanks, as well as other interested citizens. Subscription to ACER alerts is available within seconds when visiting ACER’s website homepage. </w:t>
                </w:r>
              </w:p>
              <w:p w14:paraId="03C0604C" w14:textId="00C44C2D" w:rsidR="00427647" w:rsidRPr="00FF027F" w:rsidRDefault="00427647" w:rsidP="00427647">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Press briefings generally coincide with the launch of press releases; they also focus on major events or deliverables. </w:t>
                </w:r>
              </w:p>
              <w:p w14:paraId="6F59DA77" w14:textId="46F97216" w:rsidR="00427647" w:rsidRPr="00FF027F" w:rsidRDefault="00427647" w:rsidP="00427647">
                <w:pPr>
                  <w:spacing w:line="240" w:lineRule="auto"/>
                  <w:ind w:left="202"/>
                  <w:jc w:val="left"/>
                  <w:rPr>
                    <w:rFonts w:ascii="Arial" w:hAnsi="Arial" w:cs="Arial"/>
                    <w:sz w:val="22"/>
                    <w:szCs w:val="22"/>
                    <w:lang w:val="en-GB"/>
                  </w:rPr>
                </w:pPr>
                <w:r w:rsidRPr="00FF027F">
                  <w:rPr>
                    <w:rFonts w:ascii="Arial" w:hAnsi="Arial" w:cs="Arial"/>
                    <w:sz w:val="22"/>
                    <w:szCs w:val="22"/>
                    <w:lang w:val="en-GB"/>
                  </w:rPr>
                  <w:t>In addition, ACER regularly responds to journalists’ questions.</w:t>
                </w:r>
              </w:p>
            </w:tc>
          </w:tr>
          <w:tr w:rsidR="00DC646D" w:rsidRPr="00FF027F" w14:paraId="20E94570" w14:textId="77777777" w:rsidTr="002715BC">
            <w:tc>
              <w:tcPr>
                <w:tcW w:w="2552" w:type="dxa"/>
              </w:tcPr>
              <w:p w14:paraId="7075F5A0" w14:textId="77777777" w:rsidR="00DC646D" w:rsidRPr="00FF027F" w:rsidRDefault="00DC646D" w:rsidP="00655254">
                <w:pPr>
                  <w:spacing w:line="240" w:lineRule="auto"/>
                  <w:ind w:left="216"/>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422" w:type="dxa"/>
              </w:tcPr>
              <w:p w14:paraId="5232279F" w14:textId="5FFF69AB" w:rsidR="00435AD1" w:rsidRPr="00FF027F" w:rsidRDefault="00435AD1" w:rsidP="00435AD1">
                <w:pPr>
                  <w:keepLines w:val="0"/>
                  <w:tabs>
                    <w:tab w:val="clear" w:pos="1985"/>
                    <w:tab w:val="clear" w:pos="5103"/>
                  </w:tabs>
                  <w:spacing w:line="240" w:lineRule="auto"/>
                  <w:ind w:left="202"/>
                  <w:jc w:val="left"/>
                  <w:rPr>
                    <w:rFonts w:ascii="Arial" w:eastAsiaTheme="minorHAnsi" w:hAnsi="Arial" w:cs="Arial"/>
                    <w:sz w:val="22"/>
                    <w:szCs w:val="22"/>
                    <w:lang w:val="en-GB" w:eastAsia="en-US"/>
                  </w:rPr>
                </w:pPr>
                <w:r w:rsidRPr="00FF027F">
                  <w:rPr>
                    <w:rFonts w:ascii="Arial" w:eastAsiaTheme="minorHAnsi" w:hAnsi="Arial" w:cs="Arial"/>
                    <w:sz w:val="22"/>
                    <w:szCs w:val="22"/>
                    <w:lang w:val="en-GB" w:eastAsia="en-US"/>
                  </w:rPr>
                  <w:t>The aim is to keep a large number of interested people and multipliers regularly informed on AC</w:t>
                </w:r>
                <w:r w:rsidR="00E32940" w:rsidRPr="00FF027F">
                  <w:rPr>
                    <w:rFonts w:ascii="Arial" w:eastAsiaTheme="minorHAnsi" w:hAnsi="Arial" w:cs="Arial"/>
                    <w:sz w:val="22"/>
                    <w:szCs w:val="22"/>
                    <w:lang w:val="en-GB" w:eastAsia="en-US"/>
                  </w:rPr>
                  <w:t xml:space="preserve">ER’s activities and initiatives, through press releases, </w:t>
                </w:r>
                <w:r w:rsidR="00C80806" w:rsidRPr="00FF027F">
                  <w:rPr>
                    <w:rFonts w:ascii="Arial" w:eastAsiaTheme="minorHAnsi" w:hAnsi="Arial" w:cs="Arial"/>
                    <w:sz w:val="22"/>
                    <w:szCs w:val="22"/>
                    <w:lang w:val="en-GB" w:eastAsia="en-US"/>
                  </w:rPr>
                  <w:t>I</w:t>
                </w:r>
                <w:r w:rsidR="00E32940" w:rsidRPr="00FF027F">
                  <w:rPr>
                    <w:rFonts w:ascii="Arial" w:eastAsiaTheme="minorHAnsi" w:hAnsi="Arial" w:cs="Arial"/>
                    <w:sz w:val="22"/>
                    <w:szCs w:val="22"/>
                    <w:lang w:val="en-GB" w:eastAsia="en-US"/>
                  </w:rPr>
                  <w:t>nfoflashes and briefings.</w:t>
                </w:r>
              </w:p>
              <w:p w14:paraId="785CF328" w14:textId="3120B385" w:rsidR="00427647" w:rsidRPr="00FF027F" w:rsidRDefault="00427647" w:rsidP="00E32940">
                <w:pPr>
                  <w:spacing w:line="240" w:lineRule="auto"/>
                  <w:ind w:left="202"/>
                  <w:jc w:val="left"/>
                  <w:rPr>
                    <w:rFonts w:ascii="Arial" w:hAnsi="Arial" w:cs="Arial"/>
                    <w:sz w:val="22"/>
                    <w:szCs w:val="22"/>
                    <w:lang w:val="en-GB"/>
                  </w:rPr>
                </w:pPr>
                <w:r w:rsidRPr="00FF027F">
                  <w:rPr>
                    <w:rFonts w:ascii="Arial" w:hAnsi="Arial" w:cs="Arial"/>
                    <w:sz w:val="22"/>
                    <w:szCs w:val="22"/>
                    <w:lang w:val="en-GB"/>
                  </w:rPr>
                  <w:t>ACER aims to further engage not only with specialised media but also with national media in Member States, as gateways to policy-makers, national experts and the general public.</w:t>
                </w:r>
              </w:p>
            </w:tc>
          </w:tr>
          <w:tr w:rsidR="00DC646D" w:rsidRPr="00FF027F" w14:paraId="643FA15A" w14:textId="77777777" w:rsidTr="002715BC">
            <w:tc>
              <w:tcPr>
                <w:tcW w:w="2552" w:type="dxa"/>
              </w:tcPr>
              <w:p w14:paraId="30198F90" w14:textId="77777777" w:rsidR="00DC646D" w:rsidRPr="00FF027F" w:rsidRDefault="00DC646D" w:rsidP="00655254">
                <w:pPr>
                  <w:spacing w:line="240" w:lineRule="auto"/>
                  <w:ind w:left="216"/>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422" w:type="dxa"/>
              </w:tcPr>
              <w:p w14:paraId="0E99F6FE" w14:textId="77777777" w:rsidR="00E32940" w:rsidRPr="00FF027F" w:rsidRDefault="00E32940" w:rsidP="00435AD1">
                <w:pPr>
                  <w:keepLines w:val="0"/>
                  <w:tabs>
                    <w:tab w:val="clear" w:pos="1985"/>
                    <w:tab w:val="clear" w:pos="5103"/>
                  </w:tabs>
                  <w:spacing w:line="240" w:lineRule="auto"/>
                  <w:ind w:left="202"/>
                  <w:jc w:val="left"/>
                  <w:rPr>
                    <w:rFonts w:ascii="Arial" w:eastAsiaTheme="minorHAnsi" w:hAnsi="Arial" w:cs="Arial"/>
                    <w:sz w:val="22"/>
                    <w:szCs w:val="22"/>
                    <w:lang w:val="en-GB" w:eastAsia="en-US"/>
                  </w:rPr>
                </w:pPr>
                <w:r w:rsidRPr="00FF027F">
                  <w:rPr>
                    <w:rFonts w:ascii="Arial" w:eastAsiaTheme="minorHAnsi" w:hAnsi="Arial" w:cs="Arial"/>
                    <w:sz w:val="22"/>
                    <w:szCs w:val="22"/>
                    <w:lang w:val="en-GB" w:eastAsia="en-US"/>
                  </w:rPr>
                  <w:t>Urgent requests from journalists are to be answered on a timely basis (within 3 working days, unless otherwise specified).</w:t>
                </w:r>
              </w:p>
              <w:p w14:paraId="16AE3DB8" w14:textId="1796AD1C" w:rsidR="00435AD1" w:rsidRPr="00FF027F" w:rsidRDefault="00435AD1" w:rsidP="00435AD1">
                <w:pPr>
                  <w:keepLines w:val="0"/>
                  <w:tabs>
                    <w:tab w:val="clear" w:pos="1985"/>
                    <w:tab w:val="clear" w:pos="5103"/>
                  </w:tabs>
                  <w:spacing w:line="240" w:lineRule="auto"/>
                  <w:ind w:left="202"/>
                  <w:jc w:val="left"/>
                  <w:rPr>
                    <w:rFonts w:ascii="Arial" w:eastAsiaTheme="minorHAnsi" w:hAnsi="Arial" w:cs="Arial"/>
                    <w:sz w:val="22"/>
                    <w:szCs w:val="22"/>
                    <w:lang w:val="en-GB" w:eastAsia="en-US"/>
                  </w:rPr>
                </w:pPr>
                <w:r w:rsidRPr="00FF027F">
                  <w:rPr>
                    <w:rFonts w:ascii="Arial" w:eastAsiaTheme="minorHAnsi" w:hAnsi="Arial" w:cs="Arial"/>
                    <w:sz w:val="22"/>
                    <w:szCs w:val="22"/>
                    <w:lang w:val="en-GB" w:eastAsia="en-US"/>
                  </w:rPr>
                  <w:t>Number of news items within Infoflashes: &gt;</w:t>
                </w:r>
                <w:r w:rsidR="00C80806" w:rsidRPr="00FF027F">
                  <w:rPr>
                    <w:rFonts w:ascii="Arial" w:eastAsiaTheme="minorHAnsi" w:hAnsi="Arial" w:cs="Arial"/>
                    <w:sz w:val="22"/>
                    <w:szCs w:val="22"/>
                    <w:lang w:val="en-GB" w:eastAsia="en-US"/>
                  </w:rPr>
                  <w:t>40</w:t>
                </w:r>
                <w:r w:rsidRPr="00FF027F">
                  <w:rPr>
                    <w:rFonts w:ascii="Arial" w:eastAsiaTheme="minorHAnsi" w:hAnsi="Arial" w:cs="Arial"/>
                    <w:sz w:val="22"/>
                    <w:szCs w:val="22"/>
                    <w:lang w:val="en-GB" w:eastAsia="en-US"/>
                  </w:rPr>
                  <w:t>.</w:t>
                </w:r>
              </w:p>
              <w:p w14:paraId="5FA551CA" w14:textId="0A7BC518" w:rsidR="00DC646D" w:rsidRPr="00FF027F" w:rsidRDefault="00435AD1" w:rsidP="00435AD1">
                <w:pPr>
                  <w:spacing w:line="240" w:lineRule="auto"/>
                  <w:ind w:left="202"/>
                  <w:jc w:val="left"/>
                  <w:rPr>
                    <w:rFonts w:ascii="Arial" w:hAnsi="Arial" w:cs="Arial"/>
                    <w:sz w:val="22"/>
                    <w:szCs w:val="22"/>
                    <w:lang w:val="en-GB"/>
                  </w:rPr>
                </w:pPr>
                <w:r w:rsidRPr="00FF027F">
                  <w:rPr>
                    <w:rFonts w:ascii="Arial" w:eastAsiaTheme="minorHAnsi" w:hAnsi="Arial" w:cs="Arial"/>
                    <w:sz w:val="22"/>
                    <w:szCs w:val="22"/>
                    <w:lang w:val="en-GB" w:eastAsia="en-US"/>
                  </w:rPr>
                  <w:t>Number of references to ACER in selected media included in the Agency’s media monitoring (proxy for impact)</w:t>
                </w:r>
                <w:r w:rsidR="00C80806" w:rsidRPr="00FF027F">
                  <w:rPr>
                    <w:rFonts w:ascii="Arial" w:eastAsiaTheme="minorHAnsi" w:hAnsi="Arial" w:cs="Arial"/>
                    <w:sz w:val="22"/>
                    <w:szCs w:val="22"/>
                    <w:lang w:val="en-GB" w:eastAsia="en-US"/>
                  </w:rPr>
                  <w:t>: 200</w:t>
                </w:r>
              </w:p>
            </w:tc>
          </w:tr>
          <w:tr w:rsidR="00DC646D" w:rsidRPr="00FF027F" w14:paraId="5202D9F8" w14:textId="77777777" w:rsidTr="002715BC">
            <w:tc>
              <w:tcPr>
                <w:tcW w:w="2552" w:type="dxa"/>
              </w:tcPr>
              <w:p w14:paraId="781DD3E8" w14:textId="77777777" w:rsidR="00DC646D" w:rsidRPr="00FF027F" w:rsidRDefault="00DC646D" w:rsidP="00655254">
                <w:pPr>
                  <w:ind w:left="216"/>
                  <w:rPr>
                    <w:rFonts w:ascii="Arial" w:hAnsi="Arial" w:cs="Arial"/>
                    <w:sz w:val="22"/>
                    <w:szCs w:val="22"/>
                    <w:lang w:val="en-GB"/>
                  </w:rPr>
                </w:pPr>
                <w:r w:rsidRPr="00FF027F">
                  <w:rPr>
                    <w:rFonts w:ascii="Arial" w:hAnsi="Arial" w:cs="Arial"/>
                    <w:sz w:val="22"/>
                    <w:szCs w:val="22"/>
                    <w:lang w:val="en-GB"/>
                  </w:rPr>
                  <w:t>Staff</w:t>
                </w:r>
              </w:p>
            </w:tc>
            <w:tc>
              <w:tcPr>
                <w:tcW w:w="6422" w:type="dxa"/>
              </w:tcPr>
              <w:p w14:paraId="2B575FCC" w14:textId="48DAA848" w:rsidR="00DC646D" w:rsidRPr="00FF027F" w:rsidRDefault="00435AD1" w:rsidP="00435AD1">
                <w:pPr>
                  <w:spacing w:line="240" w:lineRule="auto"/>
                  <w:ind w:left="202"/>
                  <w:rPr>
                    <w:rFonts w:ascii="Arial" w:hAnsi="Arial" w:cs="Arial"/>
                    <w:sz w:val="22"/>
                    <w:szCs w:val="22"/>
                    <w:lang w:val="en-GB"/>
                  </w:rPr>
                </w:pPr>
                <w:r w:rsidRPr="00FF027F">
                  <w:rPr>
                    <w:rFonts w:ascii="Arial" w:hAnsi="Arial" w:cs="Arial"/>
                    <w:sz w:val="22"/>
                    <w:szCs w:val="22"/>
                    <w:lang w:val="en-GB"/>
                  </w:rPr>
                  <w:t>0.2 FTE</w:t>
                </w:r>
              </w:p>
            </w:tc>
          </w:tr>
          <w:tr w:rsidR="00DC646D" w:rsidRPr="00FF027F" w14:paraId="75BB0592" w14:textId="77777777" w:rsidTr="002715BC">
            <w:tc>
              <w:tcPr>
                <w:tcW w:w="2552" w:type="dxa"/>
              </w:tcPr>
              <w:p w14:paraId="5270D629" w14:textId="77777777" w:rsidR="00DC646D" w:rsidRPr="00FF027F" w:rsidRDefault="00DC646D" w:rsidP="00655254">
                <w:pPr>
                  <w:ind w:left="216"/>
                  <w:rPr>
                    <w:rFonts w:ascii="Arial" w:hAnsi="Arial" w:cs="Arial"/>
                    <w:sz w:val="22"/>
                    <w:szCs w:val="22"/>
                    <w:lang w:val="en-GB"/>
                  </w:rPr>
                </w:pPr>
                <w:r w:rsidRPr="00FF027F">
                  <w:rPr>
                    <w:rFonts w:ascii="Arial" w:hAnsi="Arial" w:cs="Arial"/>
                    <w:sz w:val="22"/>
                    <w:szCs w:val="22"/>
                    <w:lang w:val="en-GB"/>
                  </w:rPr>
                  <w:t>Risks</w:t>
                </w:r>
              </w:p>
            </w:tc>
            <w:tc>
              <w:tcPr>
                <w:tcW w:w="6422" w:type="dxa"/>
              </w:tcPr>
              <w:p w14:paraId="4DD4BF48" w14:textId="151AC417" w:rsidR="00DC646D" w:rsidRPr="00FF027F" w:rsidRDefault="00435AD1" w:rsidP="00655254">
                <w:pPr>
                  <w:spacing w:line="240" w:lineRule="auto"/>
                  <w:ind w:left="216"/>
                  <w:rPr>
                    <w:rFonts w:ascii="Arial" w:hAnsi="Arial" w:cs="Arial"/>
                    <w:sz w:val="22"/>
                    <w:szCs w:val="22"/>
                    <w:lang w:val="en-GB"/>
                  </w:rPr>
                </w:pPr>
                <w:r w:rsidRPr="00FF027F">
                  <w:rPr>
                    <w:rFonts w:ascii="Arial" w:hAnsi="Arial" w:cs="Arial"/>
                    <w:sz w:val="22"/>
                    <w:szCs w:val="22"/>
                    <w:lang w:val="en-GB"/>
                  </w:rPr>
                  <w:t>No appreciable risk.</w:t>
                </w:r>
              </w:p>
            </w:tc>
          </w:tr>
        </w:tbl>
        <w:p w14:paraId="22D198C5" w14:textId="77777777" w:rsidR="00DC646D" w:rsidRPr="00FF027F" w:rsidRDefault="00DC646D" w:rsidP="00DC646D">
          <w:pPr>
            <w:spacing w:before="120" w:after="120" w:line="240" w:lineRule="auto"/>
            <w:jc w:val="both"/>
            <w:rPr>
              <w:rFonts w:ascii="Arial" w:hAnsi="Arial" w:cs="Arial"/>
              <w:lang w:val="en-GB"/>
            </w:rPr>
          </w:pPr>
        </w:p>
        <w:tbl>
          <w:tblPr>
            <w:tblStyle w:val="TableGrid82"/>
            <w:tblW w:w="0" w:type="auto"/>
            <w:tblInd w:w="108" w:type="dxa"/>
            <w:tblLook w:val="04A0" w:firstRow="1" w:lastRow="0" w:firstColumn="1" w:lastColumn="0" w:noHBand="0" w:noVBand="1"/>
          </w:tblPr>
          <w:tblGrid>
            <w:gridCol w:w="2526"/>
            <w:gridCol w:w="6377"/>
          </w:tblGrid>
          <w:tr w:rsidR="0042740D" w:rsidRPr="00FF027F" w14:paraId="42FC4021" w14:textId="77777777" w:rsidTr="00655254">
            <w:trPr>
              <w:cnfStyle w:val="100000000000" w:firstRow="1" w:lastRow="0" w:firstColumn="0" w:lastColumn="0" w:oddVBand="0" w:evenVBand="0" w:oddHBand="0" w:evenHBand="0" w:firstRowFirstColumn="0" w:firstRowLastColumn="0" w:lastRowFirstColumn="0" w:lastRowLastColumn="0"/>
            </w:trPr>
            <w:tc>
              <w:tcPr>
                <w:tcW w:w="2552" w:type="dxa"/>
              </w:tcPr>
              <w:p w14:paraId="37B1A0FD" w14:textId="6FA2E86F" w:rsidR="0042740D" w:rsidRPr="00FF027F" w:rsidRDefault="006E721A" w:rsidP="00655254">
                <w:pPr>
                  <w:spacing w:line="240" w:lineRule="auto"/>
                  <w:ind w:left="216"/>
                  <w:jc w:val="left"/>
                  <w:rPr>
                    <w:rFonts w:ascii="Arial" w:hAnsi="Arial" w:cs="Arial"/>
                    <w:bCs w:val="0"/>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Activity</w:t>
                </w:r>
              </w:p>
            </w:tc>
            <w:tc>
              <w:tcPr>
                <w:tcW w:w="6520" w:type="dxa"/>
              </w:tcPr>
              <w:p w14:paraId="3479E2BD" w14:textId="77777777" w:rsidR="0042740D" w:rsidRPr="00FF027F" w:rsidRDefault="0042740D" w:rsidP="00655254">
                <w:pPr>
                  <w:spacing w:line="240" w:lineRule="auto"/>
                  <w:ind w:left="202"/>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Events: Annual Conference</w:t>
                </w:r>
              </w:p>
            </w:tc>
          </w:tr>
          <w:tr w:rsidR="0042740D" w:rsidRPr="00FF027F" w14:paraId="3F57FADE" w14:textId="77777777" w:rsidTr="00655254">
            <w:tc>
              <w:tcPr>
                <w:tcW w:w="2552" w:type="dxa"/>
              </w:tcPr>
              <w:p w14:paraId="6235192A" w14:textId="77777777" w:rsidR="0042740D" w:rsidRPr="00FF027F" w:rsidRDefault="0042740D" w:rsidP="00655254">
                <w:pPr>
                  <w:ind w:left="216"/>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2A133EAB" w14:textId="210DFABB" w:rsidR="0042740D" w:rsidRPr="00FF027F" w:rsidRDefault="00257D34" w:rsidP="00257D34">
                <w:pPr>
                  <w:keepLines w:val="0"/>
                  <w:tabs>
                    <w:tab w:val="clear" w:pos="1985"/>
                    <w:tab w:val="clear" w:pos="5103"/>
                  </w:tabs>
                  <w:spacing w:line="240" w:lineRule="auto"/>
                  <w:ind w:left="202"/>
                  <w:jc w:val="left"/>
                  <w:rPr>
                    <w:rFonts w:ascii="Arial" w:hAnsi="Arial" w:cs="Arial"/>
                    <w:sz w:val="22"/>
                    <w:szCs w:val="22"/>
                    <w:lang w:val="en-GB"/>
                  </w:rPr>
                </w:pPr>
                <w:r w:rsidRPr="00FF027F">
                  <w:rPr>
                    <w:rFonts w:ascii="Arial" w:hAnsi="Arial" w:cs="Arial"/>
                    <w:sz w:val="22"/>
                    <w:szCs w:val="22"/>
                    <w:lang w:val="en-GB"/>
                  </w:rPr>
                  <w:t>The Agency organises an Annual Conference for all stakeholders. The event typically focuses on one of the Agency’s major areas of work.</w:t>
                </w:r>
              </w:p>
            </w:tc>
          </w:tr>
          <w:tr w:rsidR="0042740D" w:rsidRPr="00FF027F" w14:paraId="725A1D9D" w14:textId="77777777" w:rsidTr="00655254">
            <w:tc>
              <w:tcPr>
                <w:tcW w:w="2552" w:type="dxa"/>
              </w:tcPr>
              <w:p w14:paraId="2D3FDAD6" w14:textId="77777777" w:rsidR="0042740D" w:rsidRPr="00FF027F" w:rsidRDefault="0042740D" w:rsidP="00655254">
                <w:pPr>
                  <w:spacing w:line="240" w:lineRule="auto"/>
                  <w:ind w:left="216"/>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05BB0276" w14:textId="1B16293E" w:rsidR="0042740D" w:rsidRPr="00FF027F" w:rsidRDefault="00257D34" w:rsidP="00257D34">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The conference provides a platform for a high-level exchange of views among stakeholders and an outlook for a more strategic overview of the Agency’s tasks. </w:t>
                </w:r>
              </w:p>
            </w:tc>
          </w:tr>
          <w:tr w:rsidR="0042740D" w:rsidRPr="00FF027F" w14:paraId="2CB0BCA3" w14:textId="77777777" w:rsidTr="00655254">
            <w:tc>
              <w:tcPr>
                <w:tcW w:w="2552" w:type="dxa"/>
              </w:tcPr>
              <w:p w14:paraId="062F0B72" w14:textId="77777777" w:rsidR="0042740D" w:rsidRPr="00FF027F" w:rsidRDefault="0042740D" w:rsidP="00655254">
                <w:pPr>
                  <w:spacing w:line="240" w:lineRule="auto"/>
                  <w:ind w:left="216"/>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7A7B0F50" w14:textId="77777777" w:rsidR="00257D34" w:rsidRPr="00FF027F" w:rsidRDefault="00257D34" w:rsidP="00257D34">
                <w:pPr>
                  <w:spacing w:line="240" w:lineRule="auto"/>
                  <w:ind w:left="202"/>
                  <w:jc w:val="left"/>
                  <w:rPr>
                    <w:rFonts w:ascii="Arial" w:hAnsi="Arial" w:cs="Arial"/>
                    <w:sz w:val="22"/>
                    <w:szCs w:val="22"/>
                    <w:lang w:val="en-GB"/>
                  </w:rPr>
                </w:pPr>
                <w:r w:rsidRPr="00FF027F">
                  <w:rPr>
                    <w:rFonts w:ascii="Arial" w:hAnsi="Arial" w:cs="Arial"/>
                    <w:sz w:val="22"/>
                    <w:szCs w:val="22"/>
                    <w:lang w:val="en-GB"/>
                  </w:rPr>
                  <w:t>Number of participants: &gt; 150.</w:t>
                </w:r>
              </w:p>
              <w:p w14:paraId="55D6CE2F" w14:textId="5E076CD1" w:rsidR="0042740D" w:rsidRPr="00FF027F" w:rsidRDefault="00257D34" w:rsidP="00257D34">
                <w:pPr>
                  <w:spacing w:line="240" w:lineRule="auto"/>
                  <w:ind w:left="202"/>
                  <w:jc w:val="left"/>
                  <w:rPr>
                    <w:rFonts w:ascii="Arial" w:hAnsi="Arial" w:cs="Arial"/>
                    <w:lang w:val="en-GB"/>
                  </w:rPr>
                </w:pPr>
                <w:r w:rsidRPr="00FF027F">
                  <w:rPr>
                    <w:rFonts w:ascii="Arial" w:hAnsi="Arial" w:cs="Arial"/>
                    <w:sz w:val="22"/>
                    <w:szCs w:val="22"/>
                    <w:lang w:val="en-GB"/>
                  </w:rPr>
                  <w:t>Participants satisfaction survey: 2/3 majority satisfied or highly satisfied.</w:t>
                </w:r>
              </w:p>
            </w:tc>
          </w:tr>
          <w:tr w:rsidR="0042740D" w:rsidRPr="00FF027F" w14:paraId="1A60E6D6" w14:textId="77777777" w:rsidTr="00655254">
            <w:tc>
              <w:tcPr>
                <w:tcW w:w="2552" w:type="dxa"/>
              </w:tcPr>
              <w:p w14:paraId="134191B5" w14:textId="77777777" w:rsidR="0042740D" w:rsidRPr="00FF027F" w:rsidRDefault="0042740D" w:rsidP="00655254">
                <w:pPr>
                  <w:ind w:left="216"/>
                  <w:rPr>
                    <w:rFonts w:ascii="Arial" w:hAnsi="Arial" w:cs="Arial"/>
                    <w:sz w:val="22"/>
                    <w:szCs w:val="22"/>
                    <w:lang w:val="en-GB"/>
                  </w:rPr>
                </w:pPr>
                <w:r w:rsidRPr="00FF027F">
                  <w:rPr>
                    <w:rFonts w:ascii="Arial" w:hAnsi="Arial" w:cs="Arial"/>
                    <w:sz w:val="22"/>
                    <w:szCs w:val="22"/>
                    <w:lang w:val="en-GB"/>
                  </w:rPr>
                  <w:t>Staff</w:t>
                </w:r>
              </w:p>
            </w:tc>
            <w:tc>
              <w:tcPr>
                <w:tcW w:w="6520" w:type="dxa"/>
              </w:tcPr>
              <w:p w14:paraId="557F9416" w14:textId="67242D4B" w:rsidR="0042740D" w:rsidRPr="00FF027F" w:rsidRDefault="00257D34" w:rsidP="00655254">
                <w:pPr>
                  <w:spacing w:line="240" w:lineRule="auto"/>
                  <w:ind w:left="197"/>
                  <w:rPr>
                    <w:rFonts w:ascii="Arial" w:hAnsi="Arial" w:cs="Arial"/>
                    <w:sz w:val="22"/>
                    <w:szCs w:val="22"/>
                    <w:lang w:val="en-GB"/>
                  </w:rPr>
                </w:pPr>
                <w:r w:rsidRPr="00FF027F">
                  <w:rPr>
                    <w:rFonts w:ascii="Arial" w:hAnsi="Arial" w:cs="Arial"/>
                    <w:sz w:val="22"/>
                    <w:szCs w:val="22"/>
                    <w:lang w:val="en-GB"/>
                  </w:rPr>
                  <w:t>0.2 FTE</w:t>
                </w:r>
              </w:p>
            </w:tc>
          </w:tr>
          <w:tr w:rsidR="0042740D" w:rsidRPr="00FF027F" w14:paraId="4362ACA6" w14:textId="77777777" w:rsidTr="00655254">
            <w:tc>
              <w:tcPr>
                <w:tcW w:w="2552" w:type="dxa"/>
              </w:tcPr>
              <w:p w14:paraId="1284673A" w14:textId="77777777" w:rsidR="0042740D" w:rsidRPr="00FF027F" w:rsidRDefault="0042740D" w:rsidP="00655254">
                <w:pPr>
                  <w:ind w:left="216"/>
                  <w:rPr>
                    <w:rFonts w:ascii="Arial" w:hAnsi="Arial" w:cs="Arial"/>
                    <w:sz w:val="22"/>
                    <w:szCs w:val="22"/>
                    <w:lang w:val="en-GB"/>
                  </w:rPr>
                </w:pPr>
                <w:r w:rsidRPr="00FF027F">
                  <w:rPr>
                    <w:rFonts w:ascii="Arial" w:hAnsi="Arial" w:cs="Arial"/>
                    <w:sz w:val="22"/>
                    <w:szCs w:val="22"/>
                    <w:lang w:val="en-GB"/>
                  </w:rPr>
                  <w:t>Risks</w:t>
                </w:r>
              </w:p>
            </w:tc>
            <w:tc>
              <w:tcPr>
                <w:tcW w:w="6520" w:type="dxa"/>
              </w:tcPr>
              <w:p w14:paraId="7C78DA7B" w14:textId="3FC3E738" w:rsidR="0042740D" w:rsidRPr="00FF027F" w:rsidRDefault="00257D34" w:rsidP="00655254">
                <w:pPr>
                  <w:spacing w:line="240" w:lineRule="auto"/>
                  <w:ind w:left="197"/>
                  <w:rPr>
                    <w:rFonts w:ascii="Arial" w:hAnsi="Arial" w:cs="Arial"/>
                    <w:sz w:val="22"/>
                    <w:szCs w:val="22"/>
                    <w:lang w:val="en-GB"/>
                  </w:rPr>
                </w:pPr>
                <w:r w:rsidRPr="00FF027F">
                  <w:rPr>
                    <w:rFonts w:ascii="Arial" w:hAnsi="Arial" w:cs="Arial"/>
                    <w:sz w:val="22"/>
                    <w:szCs w:val="22"/>
                    <w:lang w:val="en-GB"/>
                  </w:rPr>
                  <w:t>Potential difficulties in attracting quality speakers, which may reduce the interest of the event and the level of participation.</w:t>
                </w:r>
              </w:p>
            </w:tc>
          </w:tr>
        </w:tbl>
        <w:p w14:paraId="3B8641D5" w14:textId="77777777" w:rsidR="0042740D" w:rsidRPr="00FF027F" w:rsidRDefault="0042740D" w:rsidP="0042740D">
          <w:pPr>
            <w:spacing w:before="120" w:after="120" w:line="240" w:lineRule="auto"/>
            <w:rPr>
              <w:rFonts w:ascii="Arial" w:hAnsi="Arial" w:cs="Arial"/>
              <w:lang w:val="en-GB"/>
            </w:rPr>
          </w:pPr>
        </w:p>
        <w:tbl>
          <w:tblPr>
            <w:tblStyle w:val="TableGrid8"/>
            <w:tblW w:w="0" w:type="auto"/>
            <w:tblInd w:w="108" w:type="dxa"/>
            <w:tblLook w:val="04A0" w:firstRow="1" w:lastRow="0" w:firstColumn="1" w:lastColumn="0" w:noHBand="0" w:noVBand="1"/>
          </w:tblPr>
          <w:tblGrid>
            <w:gridCol w:w="2526"/>
            <w:gridCol w:w="6377"/>
          </w:tblGrid>
          <w:tr w:rsidR="0042740D" w:rsidRPr="00FF027F" w14:paraId="391911F5" w14:textId="77777777" w:rsidTr="00655254">
            <w:trPr>
              <w:cnfStyle w:val="100000000000" w:firstRow="1" w:lastRow="0" w:firstColumn="0" w:lastColumn="0" w:oddVBand="0" w:evenVBand="0" w:oddHBand="0" w:evenHBand="0" w:firstRowFirstColumn="0" w:firstRowLastColumn="0" w:lastRowFirstColumn="0" w:lastRowLastColumn="0"/>
            </w:trPr>
            <w:tc>
              <w:tcPr>
                <w:tcW w:w="2552" w:type="dxa"/>
              </w:tcPr>
              <w:p w14:paraId="289866F1" w14:textId="3202DD12" w:rsidR="0042740D" w:rsidRPr="00FF027F" w:rsidRDefault="006E721A" w:rsidP="00655254">
                <w:pPr>
                  <w:spacing w:line="240" w:lineRule="auto"/>
                  <w:ind w:left="216"/>
                  <w:jc w:val="left"/>
                  <w:rPr>
                    <w:rFonts w:ascii="Arial" w:eastAsiaTheme="minorHAnsi" w:hAnsi="Arial" w:cs="Arial"/>
                    <w:b w:val="0"/>
                    <w:bCs w:val="0"/>
                    <w:color w:val="auto"/>
                    <w:sz w:val="22"/>
                    <w:szCs w:val="22"/>
                    <w:lang w:val="en-GB" w:eastAsia="en-US"/>
                  </w:rPr>
                </w:pPr>
                <w:r w:rsidRPr="00FF027F">
                  <w:rPr>
                    <w:rFonts w:ascii="Arial" w:hAnsi="Arial" w:cs="Arial"/>
                    <w:color w:val="FFFFFF" w:themeColor="background1"/>
                    <w:sz w:val="22"/>
                    <w:szCs w:val="22"/>
                    <w:lang w:val="en-GB"/>
                  </w:rPr>
                  <w:t>Activity</w:t>
                </w:r>
              </w:p>
            </w:tc>
            <w:tc>
              <w:tcPr>
                <w:tcW w:w="6520" w:type="dxa"/>
              </w:tcPr>
              <w:p w14:paraId="79B1E7DD" w14:textId="77777777" w:rsidR="0042740D" w:rsidRPr="00FF027F" w:rsidRDefault="0042740D" w:rsidP="00655254">
                <w:pPr>
                  <w:pStyle w:val="ListParagraph"/>
                  <w:keepLines w:val="0"/>
                  <w:tabs>
                    <w:tab w:val="clear" w:pos="1985"/>
                    <w:tab w:val="clear" w:pos="5103"/>
                  </w:tabs>
                  <w:spacing w:after="120"/>
                  <w:ind w:left="202"/>
                  <w:contextualSpacing w:val="0"/>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highlight w:val="darkBlue"/>
                    <w:lang w:val="en-GB"/>
                  </w:rPr>
                  <w:t>Events: Workshop on the Outline of the 2015 Work Programme</w:t>
                </w:r>
              </w:p>
            </w:tc>
          </w:tr>
          <w:tr w:rsidR="0042740D" w:rsidRPr="00FF027F" w14:paraId="25CA79F5" w14:textId="77777777" w:rsidTr="00655254">
            <w:tc>
              <w:tcPr>
                <w:tcW w:w="2552" w:type="dxa"/>
              </w:tcPr>
              <w:p w14:paraId="11D2A379" w14:textId="77777777" w:rsidR="0042740D" w:rsidRPr="00FF027F" w:rsidRDefault="0042740D" w:rsidP="00655254">
                <w:pPr>
                  <w:ind w:left="216"/>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58D606A9" w14:textId="2D80DF4B" w:rsidR="0042740D" w:rsidRPr="00FF027F" w:rsidRDefault="00257D34" w:rsidP="00655254">
                <w:pPr>
                  <w:keepLines w:val="0"/>
                  <w:tabs>
                    <w:tab w:val="clear" w:pos="1985"/>
                    <w:tab w:val="clear" w:pos="5103"/>
                  </w:tabs>
                  <w:spacing w:line="240" w:lineRule="auto"/>
                  <w:ind w:left="202"/>
                  <w:jc w:val="left"/>
                  <w:rPr>
                    <w:rFonts w:ascii="Arial" w:hAnsi="Arial" w:cs="Arial"/>
                    <w:sz w:val="22"/>
                    <w:szCs w:val="22"/>
                    <w:lang w:val="en-GB"/>
                  </w:rPr>
                </w:pPr>
                <w:r w:rsidRPr="00FF027F">
                  <w:rPr>
                    <w:rFonts w:ascii="Arial" w:hAnsi="Arial" w:cs="Arial"/>
                    <w:sz w:val="22"/>
                    <w:szCs w:val="22"/>
                    <w:lang w:val="en-GB"/>
                  </w:rPr>
                  <w:t>June 2015</w:t>
                </w:r>
              </w:p>
            </w:tc>
          </w:tr>
          <w:tr w:rsidR="0042740D" w:rsidRPr="00FF027F" w14:paraId="751456E7" w14:textId="77777777" w:rsidTr="00655254">
            <w:tc>
              <w:tcPr>
                <w:tcW w:w="2552" w:type="dxa"/>
              </w:tcPr>
              <w:p w14:paraId="63B56971" w14:textId="77777777" w:rsidR="0042740D" w:rsidRPr="00FF027F" w:rsidRDefault="0042740D" w:rsidP="00655254">
                <w:pPr>
                  <w:spacing w:line="240" w:lineRule="auto"/>
                  <w:ind w:left="216"/>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419B1228" w14:textId="5BD58622" w:rsidR="0042740D" w:rsidRPr="00FF027F" w:rsidRDefault="00257D34" w:rsidP="00916AA8">
                <w:pPr>
                  <w:spacing w:line="240" w:lineRule="auto"/>
                  <w:ind w:left="197"/>
                  <w:jc w:val="left"/>
                  <w:rPr>
                    <w:rFonts w:ascii="Arial" w:hAnsi="Arial" w:cs="Arial"/>
                    <w:sz w:val="22"/>
                    <w:szCs w:val="22"/>
                    <w:lang w:val="en-GB"/>
                  </w:rPr>
                </w:pPr>
                <w:r w:rsidRPr="00FF027F">
                  <w:rPr>
                    <w:rFonts w:ascii="Arial" w:hAnsi="Arial" w:cs="Arial"/>
                    <w:sz w:val="22"/>
                    <w:szCs w:val="22"/>
                    <w:lang w:val="en-GB"/>
                  </w:rPr>
                  <w:t xml:space="preserve">The aim is to receive feedback on the Outline of the Agency’s </w:t>
                </w:r>
                <w:r w:rsidR="00916AA8" w:rsidRPr="00FF027F">
                  <w:rPr>
                    <w:rFonts w:ascii="Arial" w:hAnsi="Arial" w:cs="Arial"/>
                    <w:sz w:val="22"/>
                    <w:szCs w:val="22"/>
                    <w:lang w:val="en-GB"/>
                  </w:rPr>
                  <w:t>Annual Work P</w:t>
                </w:r>
                <w:r w:rsidRPr="00FF027F">
                  <w:rPr>
                    <w:rFonts w:ascii="Arial" w:hAnsi="Arial" w:cs="Arial"/>
                    <w:sz w:val="22"/>
                    <w:szCs w:val="22"/>
                    <w:lang w:val="en-GB"/>
                  </w:rPr>
                  <w:t xml:space="preserve">rogramme for the following year from interested parties and to open the consultation period in which the Agency is </w:t>
                </w:r>
                <w:r w:rsidR="00916AA8" w:rsidRPr="00FF027F">
                  <w:rPr>
                    <w:rFonts w:ascii="Arial" w:hAnsi="Arial" w:cs="Arial"/>
                    <w:sz w:val="22"/>
                    <w:szCs w:val="22"/>
                    <w:lang w:val="en-GB"/>
                  </w:rPr>
                  <w:t>open for suggestions on its AWP.</w:t>
                </w:r>
              </w:p>
            </w:tc>
          </w:tr>
          <w:tr w:rsidR="0042740D" w:rsidRPr="00FF027F" w14:paraId="1C21504E" w14:textId="77777777" w:rsidTr="00655254">
            <w:tc>
              <w:tcPr>
                <w:tcW w:w="2552" w:type="dxa"/>
              </w:tcPr>
              <w:p w14:paraId="2856DBF9" w14:textId="77777777" w:rsidR="0042740D" w:rsidRPr="00FF027F" w:rsidRDefault="0042740D" w:rsidP="00655254">
                <w:pPr>
                  <w:spacing w:line="240" w:lineRule="auto"/>
                  <w:ind w:left="216"/>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2741A345" w14:textId="609BA782" w:rsidR="0042740D" w:rsidRPr="00FF027F" w:rsidRDefault="00916AA8" w:rsidP="005018B5">
                <w:pPr>
                  <w:spacing w:line="240" w:lineRule="auto"/>
                  <w:ind w:left="197"/>
                  <w:jc w:val="left"/>
                  <w:rPr>
                    <w:rFonts w:ascii="Arial" w:hAnsi="Arial" w:cs="Arial"/>
                    <w:sz w:val="22"/>
                    <w:szCs w:val="22"/>
                    <w:lang w:val="en-GB"/>
                  </w:rPr>
                </w:pPr>
                <w:r w:rsidRPr="00FF027F">
                  <w:rPr>
                    <w:rFonts w:ascii="Arial" w:hAnsi="Arial" w:cs="Arial"/>
                    <w:sz w:val="22"/>
                    <w:szCs w:val="22"/>
                    <w:lang w:val="en-GB"/>
                  </w:rPr>
                  <w:t xml:space="preserve">Over </w:t>
                </w:r>
                <w:r w:rsidR="005018B5" w:rsidRPr="00FF027F">
                  <w:rPr>
                    <w:rFonts w:ascii="Arial" w:hAnsi="Arial" w:cs="Arial"/>
                    <w:sz w:val="22"/>
                    <w:szCs w:val="22"/>
                    <w:lang w:val="en-GB"/>
                  </w:rPr>
                  <w:t>20</w:t>
                </w:r>
                <w:r w:rsidRPr="00FF027F">
                  <w:rPr>
                    <w:rFonts w:ascii="Arial" w:hAnsi="Arial" w:cs="Arial"/>
                    <w:sz w:val="22"/>
                    <w:szCs w:val="22"/>
                    <w:lang w:val="en-GB"/>
                  </w:rPr>
                  <w:t xml:space="preserve"> participants (either present at the event or through </w:t>
                </w:r>
                <w:r w:rsidR="00933E07" w:rsidRPr="00FF027F">
                  <w:rPr>
                    <w:rFonts w:ascii="Arial" w:hAnsi="Arial" w:cs="Arial"/>
                    <w:sz w:val="22"/>
                    <w:szCs w:val="22"/>
                    <w:lang w:val="en-GB"/>
                  </w:rPr>
                  <w:t>interactive web streaming</w:t>
                </w:r>
                <w:r w:rsidRPr="00FF027F">
                  <w:rPr>
                    <w:rFonts w:ascii="Arial" w:hAnsi="Arial" w:cs="Arial"/>
                    <w:sz w:val="22"/>
                    <w:szCs w:val="22"/>
                    <w:lang w:val="en-GB"/>
                  </w:rPr>
                  <w:t>)</w:t>
                </w:r>
                <w:r w:rsidR="00CC3A9F" w:rsidRPr="00FF027F">
                  <w:rPr>
                    <w:rFonts w:ascii="Arial" w:hAnsi="Arial" w:cs="Arial"/>
                    <w:sz w:val="22"/>
                    <w:szCs w:val="22"/>
                    <w:lang w:val="en-GB"/>
                  </w:rPr>
                  <w:t>.</w:t>
                </w:r>
              </w:p>
            </w:tc>
          </w:tr>
          <w:tr w:rsidR="0042740D" w:rsidRPr="00FF027F" w14:paraId="7152D342" w14:textId="77777777" w:rsidTr="00655254">
            <w:tc>
              <w:tcPr>
                <w:tcW w:w="2552" w:type="dxa"/>
              </w:tcPr>
              <w:p w14:paraId="451289B1" w14:textId="77777777" w:rsidR="0042740D" w:rsidRPr="00FF027F" w:rsidRDefault="0042740D" w:rsidP="00655254">
                <w:pPr>
                  <w:ind w:left="216"/>
                  <w:rPr>
                    <w:rFonts w:ascii="Arial" w:hAnsi="Arial" w:cs="Arial"/>
                    <w:sz w:val="22"/>
                    <w:szCs w:val="22"/>
                    <w:lang w:val="en-GB"/>
                  </w:rPr>
                </w:pPr>
                <w:r w:rsidRPr="00FF027F">
                  <w:rPr>
                    <w:rFonts w:ascii="Arial" w:hAnsi="Arial" w:cs="Arial"/>
                    <w:sz w:val="22"/>
                    <w:szCs w:val="22"/>
                    <w:lang w:val="en-GB"/>
                  </w:rPr>
                  <w:t>Staff</w:t>
                </w:r>
              </w:p>
            </w:tc>
            <w:tc>
              <w:tcPr>
                <w:tcW w:w="6520" w:type="dxa"/>
              </w:tcPr>
              <w:p w14:paraId="73391E78" w14:textId="34D891AA" w:rsidR="0042740D" w:rsidRPr="00FF027F" w:rsidRDefault="00916AA8" w:rsidP="00655254">
                <w:pPr>
                  <w:spacing w:line="240" w:lineRule="auto"/>
                  <w:ind w:left="197"/>
                  <w:rPr>
                    <w:rFonts w:ascii="Arial" w:hAnsi="Arial" w:cs="Arial"/>
                    <w:sz w:val="22"/>
                    <w:szCs w:val="22"/>
                    <w:lang w:val="en-GB"/>
                  </w:rPr>
                </w:pPr>
                <w:r w:rsidRPr="00FF027F">
                  <w:rPr>
                    <w:rFonts w:ascii="Arial" w:hAnsi="Arial" w:cs="Arial"/>
                    <w:sz w:val="22"/>
                    <w:szCs w:val="22"/>
                    <w:lang w:val="en-GB"/>
                  </w:rPr>
                  <w:t>0.1 FTE</w:t>
                </w:r>
              </w:p>
            </w:tc>
          </w:tr>
          <w:tr w:rsidR="0042740D" w:rsidRPr="00FF027F" w14:paraId="66CB8702" w14:textId="77777777" w:rsidTr="00655254">
            <w:tc>
              <w:tcPr>
                <w:tcW w:w="2552" w:type="dxa"/>
              </w:tcPr>
              <w:p w14:paraId="117F79F3" w14:textId="77777777" w:rsidR="0042740D" w:rsidRPr="00FF027F" w:rsidRDefault="0042740D" w:rsidP="00655254">
                <w:pPr>
                  <w:ind w:left="216"/>
                  <w:rPr>
                    <w:rFonts w:ascii="Arial" w:hAnsi="Arial" w:cs="Arial"/>
                    <w:sz w:val="22"/>
                    <w:szCs w:val="22"/>
                    <w:lang w:val="en-GB"/>
                  </w:rPr>
                </w:pPr>
                <w:r w:rsidRPr="00FF027F">
                  <w:rPr>
                    <w:rFonts w:ascii="Arial" w:hAnsi="Arial" w:cs="Arial"/>
                    <w:sz w:val="22"/>
                    <w:szCs w:val="22"/>
                    <w:lang w:val="en-GB"/>
                  </w:rPr>
                  <w:t>Risks</w:t>
                </w:r>
              </w:p>
            </w:tc>
            <w:tc>
              <w:tcPr>
                <w:tcW w:w="6520" w:type="dxa"/>
              </w:tcPr>
              <w:p w14:paraId="62761333" w14:textId="2C820561" w:rsidR="0042740D" w:rsidRPr="00FF027F" w:rsidRDefault="00916AA8" w:rsidP="00655254">
                <w:pPr>
                  <w:spacing w:line="240" w:lineRule="auto"/>
                  <w:ind w:left="197"/>
                  <w:rPr>
                    <w:rFonts w:ascii="Arial" w:hAnsi="Arial" w:cs="Arial"/>
                    <w:sz w:val="22"/>
                    <w:szCs w:val="22"/>
                    <w:lang w:val="en-GB"/>
                  </w:rPr>
                </w:pPr>
                <w:r w:rsidRPr="00FF027F">
                  <w:rPr>
                    <w:rFonts w:ascii="Arial" w:hAnsi="Arial" w:cs="Arial"/>
                    <w:sz w:val="22"/>
                    <w:szCs w:val="22"/>
                    <w:lang w:val="en-GB"/>
                  </w:rPr>
                  <w:t>Limited inputs from stakeholders, as most of ACER’s AWP is set by legal requirements.</w:t>
                </w:r>
              </w:p>
            </w:tc>
          </w:tr>
        </w:tbl>
        <w:p w14:paraId="2AF954F7" w14:textId="15FF4297" w:rsidR="00465652" w:rsidRPr="00FF027F" w:rsidRDefault="00465652" w:rsidP="0042740D">
          <w:pPr>
            <w:spacing w:before="120" w:after="120" w:line="360" w:lineRule="auto"/>
            <w:jc w:val="both"/>
            <w:rPr>
              <w:rFonts w:ascii="Arial" w:hAnsi="Arial" w:cs="Arial"/>
              <w:lang w:val="en-GB"/>
            </w:rPr>
          </w:pPr>
        </w:p>
        <w:tbl>
          <w:tblPr>
            <w:tblStyle w:val="TableGrid8"/>
            <w:tblW w:w="8884" w:type="dxa"/>
            <w:tblInd w:w="108" w:type="dxa"/>
            <w:tblLook w:val="04A0" w:firstRow="1" w:lastRow="0" w:firstColumn="1" w:lastColumn="0" w:noHBand="0" w:noVBand="1"/>
          </w:tblPr>
          <w:tblGrid>
            <w:gridCol w:w="2552"/>
            <w:gridCol w:w="6332"/>
          </w:tblGrid>
          <w:tr w:rsidR="00A221D7" w:rsidRPr="00FF027F" w14:paraId="28312BCD" w14:textId="77777777" w:rsidTr="002715BC">
            <w:trPr>
              <w:cnfStyle w:val="100000000000" w:firstRow="1" w:lastRow="0" w:firstColumn="0" w:lastColumn="0" w:oddVBand="0" w:evenVBand="0" w:oddHBand="0" w:evenHBand="0" w:firstRowFirstColumn="0" w:firstRowLastColumn="0" w:lastRowFirstColumn="0" w:lastRowLastColumn="0"/>
              <w:trHeight w:val="387"/>
            </w:trPr>
            <w:tc>
              <w:tcPr>
                <w:tcW w:w="2552" w:type="dxa"/>
              </w:tcPr>
              <w:p w14:paraId="5A69ADA6" w14:textId="77777777" w:rsidR="00A221D7" w:rsidRPr="00FF027F" w:rsidRDefault="00A221D7" w:rsidP="00D73C47">
                <w:pPr>
                  <w:spacing w:line="240" w:lineRule="auto"/>
                  <w:ind w:left="202"/>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Deliverable</w:t>
                </w:r>
              </w:p>
            </w:tc>
            <w:tc>
              <w:tcPr>
                <w:tcW w:w="6332" w:type="dxa"/>
              </w:tcPr>
              <w:p w14:paraId="2337A13B" w14:textId="77777777" w:rsidR="006A3756" w:rsidRPr="00FF027F" w:rsidRDefault="00A221D7" w:rsidP="00D73C47">
                <w:pPr>
                  <w:spacing w:line="240" w:lineRule="auto"/>
                  <w:ind w:left="202"/>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Print publications:</w:t>
                </w:r>
                <w:r w:rsidR="00EA3B30" w:rsidRPr="00FF027F">
                  <w:rPr>
                    <w:rFonts w:ascii="Arial" w:hAnsi="Arial" w:cs="Arial"/>
                    <w:color w:val="FFFFFF" w:themeColor="background1"/>
                    <w:sz w:val="22"/>
                    <w:szCs w:val="22"/>
                    <w:highlight w:val="darkBlue"/>
                    <w:lang w:val="en-GB"/>
                  </w:rPr>
                  <w:t xml:space="preserve"> </w:t>
                </w:r>
                <w:r w:rsidR="00D74E42" w:rsidRPr="00FF027F">
                  <w:rPr>
                    <w:rFonts w:ascii="Arial" w:hAnsi="Arial" w:cs="Arial"/>
                    <w:color w:val="FFFFFF" w:themeColor="background1"/>
                    <w:sz w:val="22"/>
                    <w:szCs w:val="22"/>
                    <w:highlight w:val="darkBlue"/>
                    <w:lang w:val="en-GB"/>
                  </w:rPr>
                  <w:t xml:space="preserve">Annual </w:t>
                </w:r>
                <w:r w:rsidR="00B12EAA" w:rsidRPr="00FF027F">
                  <w:rPr>
                    <w:rFonts w:ascii="Arial" w:hAnsi="Arial" w:cs="Arial"/>
                    <w:color w:val="FFFFFF" w:themeColor="background1"/>
                    <w:sz w:val="22"/>
                    <w:szCs w:val="22"/>
                    <w:highlight w:val="darkBlue"/>
                    <w:lang w:val="en-GB"/>
                  </w:rPr>
                  <w:t xml:space="preserve">Activity </w:t>
                </w:r>
                <w:r w:rsidR="00981273" w:rsidRPr="00FF027F">
                  <w:rPr>
                    <w:rFonts w:ascii="Arial" w:hAnsi="Arial" w:cs="Arial"/>
                    <w:color w:val="FFFFFF" w:themeColor="background1"/>
                    <w:sz w:val="22"/>
                    <w:szCs w:val="22"/>
                    <w:highlight w:val="darkBlue"/>
                    <w:lang w:val="en-GB"/>
                  </w:rPr>
                  <w:t xml:space="preserve">Report </w:t>
                </w:r>
              </w:p>
            </w:tc>
          </w:tr>
          <w:tr w:rsidR="00897435" w:rsidRPr="00FF027F" w14:paraId="0A257C48" w14:textId="77777777" w:rsidTr="002715BC">
            <w:tc>
              <w:tcPr>
                <w:tcW w:w="2552" w:type="dxa"/>
              </w:tcPr>
              <w:p w14:paraId="016A2960" w14:textId="77777777" w:rsidR="00897435" w:rsidRPr="00FF027F" w:rsidRDefault="00897435" w:rsidP="00D73C47">
                <w:pPr>
                  <w:ind w:left="202"/>
                  <w:rPr>
                    <w:rFonts w:ascii="Arial" w:hAnsi="Arial" w:cs="Arial"/>
                    <w:sz w:val="22"/>
                    <w:szCs w:val="22"/>
                    <w:lang w:val="en-GB"/>
                  </w:rPr>
                </w:pPr>
                <w:r w:rsidRPr="00FF027F">
                  <w:rPr>
                    <w:rFonts w:ascii="Arial" w:hAnsi="Arial" w:cs="Arial"/>
                    <w:sz w:val="22"/>
                    <w:szCs w:val="22"/>
                    <w:lang w:val="en-GB"/>
                  </w:rPr>
                  <w:t>Overview (status)</w:t>
                </w:r>
              </w:p>
            </w:tc>
            <w:tc>
              <w:tcPr>
                <w:tcW w:w="6332" w:type="dxa"/>
              </w:tcPr>
              <w:p w14:paraId="60C1E971" w14:textId="155CC80C" w:rsidR="00897435" w:rsidRPr="00FF027F" w:rsidRDefault="00BC5876" w:rsidP="00CC3A9F">
                <w:pPr>
                  <w:spacing w:line="240" w:lineRule="auto"/>
                  <w:ind w:left="202"/>
                  <w:rPr>
                    <w:rFonts w:ascii="Arial" w:hAnsi="Arial" w:cs="Arial"/>
                    <w:sz w:val="22"/>
                    <w:szCs w:val="22"/>
                    <w:lang w:val="en-GB"/>
                  </w:rPr>
                </w:pPr>
                <w:r w:rsidRPr="00FF027F">
                  <w:rPr>
                    <w:rFonts w:ascii="Arial" w:hAnsi="Arial" w:cs="Arial"/>
                    <w:sz w:val="22"/>
                    <w:szCs w:val="22"/>
                    <w:lang w:val="en-GB"/>
                  </w:rPr>
                  <w:t xml:space="preserve">The Agency reports yearly on its activities and achievements in relation to the tasks assigned to it in a specific year.  </w:t>
                </w:r>
              </w:p>
            </w:tc>
          </w:tr>
          <w:tr w:rsidR="00897435" w:rsidRPr="00FF027F" w14:paraId="6AFFF141" w14:textId="77777777" w:rsidTr="002715BC">
            <w:tc>
              <w:tcPr>
                <w:tcW w:w="2552" w:type="dxa"/>
              </w:tcPr>
              <w:p w14:paraId="5B1D8822" w14:textId="77777777" w:rsidR="00897435" w:rsidRPr="00FF027F" w:rsidRDefault="00897435" w:rsidP="00D73C47">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332" w:type="dxa"/>
              </w:tcPr>
              <w:p w14:paraId="16FC601D" w14:textId="03F334A8" w:rsidR="00897435" w:rsidRPr="00FF027F" w:rsidRDefault="00CC3A9F" w:rsidP="00D73C47">
                <w:pPr>
                  <w:spacing w:line="240" w:lineRule="auto"/>
                  <w:ind w:left="202"/>
                  <w:jc w:val="left"/>
                  <w:rPr>
                    <w:rFonts w:ascii="Arial" w:hAnsi="Arial" w:cs="Arial"/>
                    <w:sz w:val="22"/>
                    <w:szCs w:val="22"/>
                    <w:lang w:val="en-GB"/>
                  </w:rPr>
                </w:pPr>
                <w:r w:rsidRPr="00FF027F">
                  <w:rPr>
                    <w:rFonts w:ascii="Arial" w:hAnsi="Arial" w:cs="Arial"/>
                    <w:sz w:val="22"/>
                    <w:szCs w:val="22"/>
                    <w:lang w:val="en-GB"/>
                  </w:rPr>
                  <w:t>To provide a succinct but complete overview of the Agency’s achievements, in line with the Agency’s reporting requirements.</w:t>
                </w:r>
              </w:p>
            </w:tc>
          </w:tr>
          <w:tr w:rsidR="00897435" w:rsidRPr="00FF027F" w14:paraId="6EE61DED" w14:textId="77777777" w:rsidTr="002715BC">
            <w:tc>
              <w:tcPr>
                <w:tcW w:w="2552" w:type="dxa"/>
              </w:tcPr>
              <w:p w14:paraId="77D737B5" w14:textId="77777777" w:rsidR="00897435" w:rsidRPr="00FF027F" w:rsidRDefault="00897435" w:rsidP="00D73C47">
                <w:pPr>
                  <w:spacing w:line="240" w:lineRule="auto"/>
                  <w:ind w:left="202"/>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332" w:type="dxa"/>
              </w:tcPr>
              <w:p w14:paraId="3097B756" w14:textId="7039A430" w:rsidR="00CC3A9F" w:rsidRPr="00FF027F" w:rsidRDefault="00834192" w:rsidP="00D73C47">
                <w:pPr>
                  <w:spacing w:line="240" w:lineRule="auto"/>
                  <w:ind w:left="202"/>
                  <w:jc w:val="left"/>
                  <w:rPr>
                    <w:rFonts w:ascii="Arial" w:hAnsi="Arial" w:cs="Arial"/>
                    <w:sz w:val="22"/>
                    <w:szCs w:val="22"/>
                    <w:lang w:val="en-GB"/>
                  </w:rPr>
                </w:pPr>
                <w:r w:rsidRPr="00FF027F">
                  <w:rPr>
                    <w:rFonts w:ascii="Arial" w:hAnsi="Arial" w:cs="Arial"/>
                    <w:sz w:val="22"/>
                    <w:szCs w:val="22"/>
                    <w:lang w:val="en-GB"/>
                  </w:rPr>
                  <w:t>By 15 July 2015</w:t>
                </w:r>
              </w:p>
              <w:p w14:paraId="16810694" w14:textId="3751CA11" w:rsidR="00CC3A9F" w:rsidRPr="00FF027F" w:rsidRDefault="006E1C13" w:rsidP="00196477">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Over </w:t>
                </w:r>
                <w:r w:rsidR="00933E07" w:rsidRPr="00FF027F">
                  <w:rPr>
                    <w:rFonts w:ascii="Arial" w:hAnsi="Arial" w:cs="Arial"/>
                    <w:sz w:val="22"/>
                    <w:szCs w:val="22"/>
                    <w:lang w:val="en-GB"/>
                  </w:rPr>
                  <w:t xml:space="preserve">10 </w:t>
                </w:r>
                <w:r w:rsidR="00530BBF" w:rsidRPr="00FF027F">
                  <w:rPr>
                    <w:rFonts w:ascii="Arial" w:hAnsi="Arial" w:cs="Arial"/>
                    <w:sz w:val="22"/>
                    <w:szCs w:val="22"/>
                    <w:lang w:val="en-GB"/>
                  </w:rPr>
                  <w:t xml:space="preserve">website hits within one month of </w:t>
                </w:r>
                <w:r w:rsidR="00593B9B" w:rsidRPr="00FF027F">
                  <w:rPr>
                    <w:rFonts w:ascii="Arial" w:hAnsi="Arial" w:cs="Arial"/>
                    <w:sz w:val="22"/>
                    <w:szCs w:val="22"/>
                    <w:lang w:val="en-GB"/>
                  </w:rPr>
                  <w:t>publication.</w:t>
                </w:r>
              </w:p>
            </w:tc>
          </w:tr>
          <w:tr w:rsidR="00897435" w:rsidRPr="00FF027F" w14:paraId="3B211F4C" w14:textId="77777777" w:rsidTr="00196477">
            <w:trPr>
              <w:trHeight w:val="435"/>
            </w:trPr>
            <w:tc>
              <w:tcPr>
                <w:tcW w:w="2552" w:type="dxa"/>
              </w:tcPr>
              <w:p w14:paraId="0D16F5DA" w14:textId="77777777" w:rsidR="00897435" w:rsidRPr="00FF027F" w:rsidRDefault="00897435" w:rsidP="00D73C47">
                <w:pPr>
                  <w:ind w:left="202"/>
                  <w:rPr>
                    <w:rFonts w:ascii="Arial" w:hAnsi="Arial" w:cs="Arial"/>
                    <w:sz w:val="22"/>
                    <w:szCs w:val="22"/>
                    <w:lang w:val="en-GB"/>
                  </w:rPr>
                </w:pPr>
                <w:r w:rsidRPr="00FF027F">
                  <w:rPr>
                    <w:rFonts w:ascii="Arial" w:hAnsi="Arial" w:cs="Arial"/>
                    <w:sz w:val="22"/>
                    <w:szCs w:val="22"/>
                    <w:lang w:val="en-GB"/>
                  </w:rPr>
                  <w:t>Staff</w:t>
                </w:r>
              </w:p>
            </w:tc>
            <w:tc>
              <w:tcPr>
                <w:tcW w:w="6332" w:type="dxa"/>
              </w:tcPr>
              <w:p w14:paraId="44E25D46" w14:textId="03CD383E" w:rsidR="00897435" w:rsidRPr="00FF027F" w:rsidRDefault="00CC3A9F" w:rsidP="00D73C47">
                <w:pPr>
                  <w:spacing w:line="240" w:lineRule="auto"/>
                  <w:ind w:left="202"/>
                  <w:rPr>
                    <w:rFonts w:ascii="Arial" w:hAnsi="Arial" w:cs="Arial"/>
                    <w:sz w:val="22"/>
                    <w:szCs w:val="22"/>
                    <w:lang w:val="en-GB"/>
                  </w:rPr>
                </w:pPr>
                <w:r w:rsidRPr="00FF027F">
                  <w:rPr>
                    <w:rFonts w:ascii="Arial" w:hAnsi="Arial" w:cs="Arial"/>
                    <w:sz w:val="22"/>
                    <w:szCs w:val="22"/>
                    <w:lang w:val="en-GB"/>
                  </w:rPr>
                  <w:t>0.1 FTE</w:t>
                </w:r>
              </w:p>
            </w:tc>
          </w:tr>
          <w:tr w:rsidR="00897435" w:rsidRPr="00FF027F" w14:paraId="0907B251" w14:textId="77777777" w:rsidTr="00196477">
            <w:trPr>
              <w:trHeight w:val="525"/>
            </w:trPr>
            <w:tc>
              <w:tcPr>
                <w:tcW w:w="2552" w:type="dxa"/>
              </w:tcPr>
              <w:p w14:paraId="00BA6A6C" w14:textId="77777777" w:rsidR="00897435" w:rsidRPr="00FF027F" w:rsidRDefault="001013B8" w:rsidP="00D73C47">
                <w:pPr>
                  <w:ind w:left="202"/>
                  <w:rPr>
                    <w:rFonts w:ascii="Arial" w:hAnsi="Arial" w:cs="Arial"/>
                    <w:sz w:val="22"/>
                    <w:szCs w:val="22"/>
                    <w:lang w:val="en-GB"/>
                  </w:rPr>
                </w:pPr>
                <w:r w:rsidRPr="00FF027F">
                  <w:rPr>
                    <w:rFonts w:ascii="Arial" w:hAnsi="Arial" w:cs="Arial"/>
                    <w:sz w:val="22"/>
                    <w:szCs w:val="22"/>
                    <w:lang w:val="en-GB"/>
                  </w:rPr>
                  <w:t>Risks</w:t>
                </w:r>
              </w:p>
            </w:tc>
            <w:tc>
              <w:tcPr>
                <w:tcW w:w="6332" w:type="dxa"/>
              </w:tcPr>
              <w:p w14:paraId="0A917379" w14:textId="7D3107B1" w:rsidR="00897435" w:rsidRPr="00FF027F" w:rsidRDefault="00CC3A9F" w:rsidP="00D73C47">
                <w:pPr>
                  <w:spacing w:line="240" w:lineRule="auto"/>
                  <w:ind w:left="202"/>
                  <w:rPr>
                    <w:rFonts w:ascii="Arial" w:hAnsi="Arial" w:cs="Arial"/>
                    <w:sz w:val="22"/>
                    <w:szCs w:val="22"/>
                    <w:lang w:val="en-GB"/>
                  </w:rPr>
                </w:pPr>
                <w:r w:rsidRPr="00FF027F">
                  <w:rPr>
                    <w:rFonts w:ascii="Arial" w:hAnsi="Arial" w:cs="Arial"/>
                    <w:sz w:val="22"/>
                    <w:szCs w:val="22"/>
                    <w:lang w:val="en-GB"/>
                  </w:rPr>
                  <w:t>No appreciable risk.</w:t>
                </w:r>
              </w:p>
            </w:tc>
          </w:tr>
        </w:tbl>
        <w:p w14:paraId="075085BD" w14:textId="77777777" w:rsidR="00A221D7" w:rsidRPr="00FF027F" w:rsidRDefault="00A221D7" w:rsidP="0060640B">
          <w:pPr>
            <w:spacing w:before="120" w:after="120" w:line="360" w:lineRule="auto"/>
            <w:rPr>
              <w:rFonts w:ascii="Arial" w:hAnsi="Arial" w:cs="Arial"/>
              <w:lang w:val="en-GB"/>
            </w:rPr>
          </w:pPr>
        </w:p>
        <w:tbl>
          <w:tblPr>
            <w:tblStyle w:val="TableGrid8"/>
            <w:tblW w:w="0" w:type="auto"/>
            <w:tblInd w:w="108" w:type="dxa"/>
            <w:tblLook w:val="04A0" w:firstRow="1" w:lastRow="0" w:firstColumn="1" w:lastColumn="0" w:noHBand="0" w:noVBand="1"/>
          </w:tblPr>
          <w:tblGrid>
            <w:gridCol w:w="2525"/>
            <w:gridCol w:w="6378"/>
          </w:tblGrid>
          <w:tr w:rsidR="00A221D7" w:rsidRPr="00FF027F" w14:paraId="06936D28" w14:textId="77777777" w:rsidTr="00FE0C2A">
            <w:trPr>
              <w:cnfStyle w:val="100000000000" w:firstRow="1" w:lastRow="0" w:firstColumn="0" w:lastColumn="0" w:oddVBand="0" w:evenVBand="0" w:oddHBand="0" w:evenHBand="0" w:firstRowFirstColumn="0" w:firstRowLastColumn="0" w:lastRowFirstColumn="0" w:lastRowLastColumn="0"/>
              <w:trHeight w:val="480"/>
            </w:trPr>
            <w:tc>
              <w:tcPr>
                <w:tcW w:w="2552" w:type="dxa"/>
              </w:tcPr>
              <w:p w14:paraId="37275740" w14:textId="77777777" w:rsidR="00A221D7" w:rsidRPr="00FF027F" w:rsidRDefault="00A221D7" w:rsidP="00D73C47">
                <w:pPr>
                  <w:spacing w:line="240" w:lineRule="auto"/>
                  <w:ind w:left="202"/>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Deliverable</w:t>
                </w:r>
              </w:p>
            </w:tc>
            <w:tc>
              <w:tcPr>
                <w:tcW w:w="6520" w:type="dxa"/>
              </w:tcPr>
              <w:p w14:paraId="7B4AFB30" w14:textId="77777777" w:rsidR="006A3756" w:rsidRPr="00FF027F" w:rsidRDefault="004225D0" w:rsidP="00D73C47">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highlight w:val="darkBlue"/>
                    <w:lang w:val="en-GB"/>
                  </w:rPr>
                  <w:t xml:space="preserve">Print publications: </w:t>
                </w:r>
                <w:r w:rsidR="00A221D7" w:rsidRPr="00FF027F">
                  <w:rPr>
                    <w:rFonts w:ascii="Arial" w:hAnsi="Arial" w:cs="Arial"/>
                    <w:color w:val="FFFFFF" w:themeColor="background1"/>
                    <w:sz w:val="22"/>
                    <w:szCs w:val="22"/>
                    <w:highlight w:val="darkBlue"/>
                    <w:lang w:val="en-GB"/>
                  </w:rPr>
                  <w:t>Regional Initiatives Status Review Report</w:t>
                </w:r>
              </w:p>
            </w:tc>
          </w:tr>
          <w:tr w:rsidR="00897435" w:rsidRPr="00FF027F" w14:paraId="750F6472" w14:textId="77777777" w:rsidTr="00897435">
            <w:tc>
              <w:tcPr>
                <w:tcW w:w="2552" w:type="dxa"/>
              </w:tcPr>
              <w:p w14:paraId="60CF4FCD" w14:textId="77777777" w:rsidR="00897435" w:rsidRPr="00FF027F" w:rsidRDefault="00897435" w:rsidP="00D73C47">
                <w:pPr>
                  <w:ind w:left="202"/>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0C355520" w14:textId="36915F7F" w:rsidR="00897435" w:rsidRPr="00FF027F" w:rsidRDefault="00CC3A9F" w:rsidP="00CC3A9F">
                <w:pPr>
                  <w:spacing w:line="240" w:lineRule="auto"/>
                  <w:ind w:left="202"/>
                  <w:jc w:val="left"/>
                  <w:rPr>
                    <w:rFonts w:ascii="Arial" w:hAnsi="Arial" w:cs="Arial"/>
                    <w:sz w:val="22"/>
                    <w:szCs w:val="22"/>
                    <w:lang w:val="en-GB"/>
                  </w:rPr>
                </w:pPr>
                <w:r w:rsidRPr="00FF027F">
                  <w:rPr>
                    <w:rFonts w:ascii="Arial" w:hAnsi="Arial" w:cs="Arial"/>
                    <w:sz w:val="22"/>
                    <w:szCs w:val="22"/>
                    <w:lang w:val="en-GB"/>
                  </w:rPr>
                  <w:t>T</w:t>
                </w:r>
                <w:r w:rsidR="00BC5876" w:rsidRPr="00FF027F">
                  <w:rPr>
                    <w:rFonts w:ascii="Arial" w:hAnsi="Arial" w:cs="Arial"/>
                    <w:sz w:val="22"/>
                    <w:szCs w:val="22"/>
                    <w:lang w:val="en-GB"/>
                  </w:rPr>
                  <w:t>he Agency reports yearly (also quarterly per sector) on the progress of the regional initiatives</w:t>
                </w:r>
                <w:r w:rsidRPr="00FF027F">
                  <w:rPr>
                    <w:rFonts w:ascii="Arial" w:hAnsi="Arial" w:cs="Arial"/>
                    <w:sz w:val="22"/>
                    <w:szCs w:val="22"/>
                    <w:lang w:val="en-GB"/>
                  </w:rPr>
                  <w:t>.</w:t>
                </w:r>
                <w:r w:rsidR="00BC5876" w:rsidRPr="00FF027F">
                  <w:rPr>
                    <w:rFonts w:ascii="Arial" w:hAnsi="Arial" w:cs="Arial"/>
                    <w:sz w:val="22"/>
                    <w:szCs w:val="22"/>
                    <w:lang w:val="en-GB"/>
                  </w:rPr>
                  <w:t xml:space="preserve"> </w:t>
                </w:r>
              </w:p>
            </w:tc>
          </w:tr>
          <w:tr w:rsidR="00897435" w:rsidRPr="00FF027F" w14:paraId="4F4697DE" w14:textId="77777777" w:rsidTr="00897435">
            <w:tc>
              <w:tcPr>
                <w:tcW w:w="2552" w:type="dxa"/>
              </w:tcPr>
              <w:p w14:paraId="6A8D4F9D" w14:textId="77777777" w:rsidR="00897435" w:rsidRPr="00FF027F" w:rsidRDefault="00897435" w:rsidP="00D73C47">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086068C8" w14:textId="22E0761C" w:rsidR="00897435" w:rsidRPr="00FF027F" w:rsidRDefault="002A7B7E" w:rsidP="002A7B7E">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To </w:t>
                </w:r>
                <w:r w:rsidR="00CC3A9F" w:rsidRPr="00FF027F">
                  <w:rPr>
                    <w:rFonts w:ascii="Arial" w:hAnsi="Arial" w:cs="Arial"/>
                    <w:sz w:val="22"/>
                    <w:szCs w:val="22"/>
                    <w:lang w:val="en-GB"/>
                  </w:rPr>
                  <w:t>promote the early implementation of some of the most critical rules for the integration of the electricity and gas markets.</w:t>
                </w:r>
              </w:p>
              <w:p w14:paraId="3BDAC8CB" w14:textId="77777777" w:rsidR="002A7B7E" w:rsidRPr="00FF027F" w:rsidRDefault="002A7B7E" w:rsidP="002A7B7E">
                <w:pPr>
                  <w:autoSpaceDE w:val="0"/>
                  <w:autoSpaceDN w:val="0"/>
                  <w:snapToGrid w:val="0"/>
                  <w:spacing w:line="240" w:lineRule="auto"/>
                  <w:ind w:left="202"/>
                  <w:contextualSpacing/>
                  <w:rPr>
                    <w:rFonts w:ascii="Arial" w:hAnsi="Arial" w:cs="Arial"/>
                    <w:sz w:val="22"/>
                    <w:szCs w:val="22"/>
                    <w:lang w:val="en-GB" w:eastAsia="sl-SI"/>
                  </w:rPr>
                </w:pPr>
                <w:r w:rsidRPr="00FF027F">
                  <w:rPr>
                    <w:rFonts w:ascii="Arial" w:hAnsi="Arial" w:cs="Arial"/>
                    <w:sz w:val="22"/>
                    <w:szCs w:val="22"/>
                    <w:lang w:val="en-GB" w:eastAsia="sl-SI"/>
                  </w:rPr>
                  <w:t>To promote transparency towards stakeholders, informing them on progress achieved in RIs, obstacles faced during the year and indicate the way forward.</w:t>
                </w:r>
              </w:p>
              <w:p w14:paraId="4A3430F2" w14:textId="521B2318" w:rsidR="002A7B7E" w:rsidRPr="00FF027F" w:rsidRDefault="002A7B7E" w:rsidP="002A7B7E">
                <w:pPr>
                  <w:autoSpaceDE w:val="0"/>
                  <w:autoSpaceDN w:val="0"/>
                  <w:snapToGrid w:val="0"/>
                  <w:spacing w:line="240" w:lineRule="auto"/>
                  <w:ind w:left="202"/>
                  <w:contextualSpacing/>
                  <w:rPr>
                    <w:rFonts w:ascii="Arial" w:hAnsi="Arial" w:cs="Arial"/>
                    <w:lang w:val="en-GB" w:eastAsia="sl-SI"/>
                  </w:rPr>
                </w:pPr>
              </w:p>
            </w:tc>
          </w:tr>
          <w:tr w:rsidR="00897435" w:rsidRPr="00FF027F" w14:paraId="209E13BF" w14:textId="77777777" w:rsidTr="00897435">
            <w:tc>
              <w:tcPr>
                <w:tcW w:w="2552" w:type="dxa"/>
              </w:tcPr>
              <w:p w14:paraId="623D0553" w14:textId="77777777" w:rsidR="00897435" w:rsidRPr="00FF027F" w:rsidRDefault="00897435" w:rsidP="00D73C47">
                <w:pPr>
                  <w:spacing w:line="240" w:lineRule="auto"/>
                  <w:ind w:left="202"/>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6CE02D64" w14:textId="2CB8FFCF" w:rsidR="00834192" w:rsidRPr="00FF027F" w:rsidRDefault="00834192" w:rsidP="00CC3A9F">
                <w:pPr>
                  <w:spacing w:line="240" w:lineRule="auto"/>
                  <w:ind w:left="202"/>
                  <w:jc w:val="left"/>
                  <w:rPr>
                    <w:rFonts w:ascii="Arial" w:hAnsi="Arial" w:cs="Arial"/>
                    <w:sz w:val="22"/>
                    <w:szCs w:val="22"/>
                    <w:lang w:val="en-GB"/>
                  </w:rPr>
                </w:pPr>
                <w:r w:rsidRPr="00FF027F">
                  <w:rPr>
                    <w:rFonts w:ascii="Arial" w:hAnsi="Arial" w:cs="Arial"/>
                    <w:sz w:val="22"/>
                    <w:szCs w:val="22"/>
                    <w:lang w:val="en-GB"/>
                  </w:rPr>
                  <w:t>By February 2015</w:t>
                </w:r>
              </w:p>
              <w:p w14:paraId="3C2300F4" w14:textId="79CD2DBC" w:rsidR="00897435" w:rsidRPr="00FF027F" w:rsidRDefault="006E1C13" w:rsidP="00CC3A9F">
                <w:pPr>
                  <w:spacing w:line="240" w:lineRule="auto"/>
                  <w:ind w:left="202"/>
                  <w:jc w:val="left"/>
                  <w:rPr>
                    <w:rFonts w:ascii="Arial" w:hAnsi="Arial" w:cs="Arial"/>
                    <w:sz w:val="22"/>
                    <w:szCs w:val="22"/>
                    <w:lang w:val="en-GB"/>
                  </w:rPr>
                </w:pPr>
                <w:r w:rsidRPr="00FF027F">
                  <w:rPr>
                    <w:rFonts w:ascii="Arial" w:hAnsi="Arial" w:cs="Arial"/>
                    <w:sz w:val="22"/>
                    <w:szCs w:val="22"/>
                    <w:lang w:val="en-GB"/>
                  </w:rPr>
                  <w:t>Over 15</w:t>
                </w:r>
                <w:r w:rsidR="00593B9B" w:rsidRPr="00FF027F">
                  <w:rPr>
                    <w:rFonts w:ascii="Arial" w:hAnsi="Arial" w:cs="Arial"/>
                    <w:sz w:val="22"/>
                    <w:szCs w:val="22"/>
                    <w:lang w:val="en-GB"/>
                  </w:rPr>
                  <w:t xml:space="preserve"> we</w:t>
                </w:r>
                <w:r w:rsidR="00196477">
                  <w:rPr>
                    <w:rFonts w:ascii="Arial" w:hAnsi="Arial" w:cs="Arial"/>
                    <w:sz w:val="22"/>
                    <w:szCs w:val="22"/>
                    <w:lang w:val="en-GB"/>
                  </w:rPr>
                  <w:t xml:space="preserve">bsite hits within one month of </w:t>
                </w:r>
                <w:r w:rsidR="00593B9B" w:rsidRPr="00FF027F">
                  <w:rPr>
                    <w:rFonts w:ascii="Arial" w:hAnsi="Arial" w:cs="Arial"/>
                    <w:sz w:val="22"/>
                    <w:szCs w:val="22"/>
                    <w:lang w:val="en-GB"/>
                  </w:rPr>
                  <w:t>publication.</w:t>
                </w:r>
              </w:p>
              <w:p w14:paraId="5A022DA6" w14:textId="079C46E7" w:rsidR="00CC3A9F" w:rsidRPr="00FF027F" w:rsidRDefault="00CC3A9F" w:rsidP="00CC3A9F">
                <w:pPr>
                  <w:spacing w:line="240" w:lineRule="auto"/>
                  <w:ind w:left="202"/>
                  <w:jc w:val="left"/>
                  <w:rPr>
                    <w:rFonts w:ascii="Arial" w:hAnsi="Arial" w:cs="Arial"/>
                    <w:sz w:val="22"/>
                    <w:szCs w:val="22"/>
                    <w:lang w:val="en-GB"/>
                  </w:rPr>
                </w:pPr>
                <w:r w:rsidRPr="00FF027F">
                  <w:rPr>
                    <w:rFonts w:ascii="Arial" w:hAnsi="Arial" w:cs="Arial"/>
                    <w:sz w:val="22"/>
                    <w:szCs w:val="22"/>
                    <w:lang w:val="en-GB"/>
                  </w:rPr>
                  <w:t>Reader survey: 2/3 majority of respondents satisfied or highly satisfied.</w:t>
                </w:r>
              </w:p>
            </w:tc>
          </w:tr>
          <w:tr w:rsidR="00897435" w:rsidRPr="00FF027F" w14:paraId="161A0506" w14:textId="77777777" w:rsidTr="00897435">
            <w:tc>
              <w:tcPr>
                <w:tcW w:w="2552" w:type="dxa"/>
              </w:tcPr>
              <w:p w14:paraId="6B684314" w14:textId="77777777" w:rsidR="00897435" w:rsidRPr="00FF027F" w:rsidRDefault="00897435" w:rsidP="00D73C47">
                <w:pPr>
                  <w:ind w:left="202"/>
                  <w:rPr>
                    <w:rFonts w:ascii="Arial" w:hAnsi="Arial" w:cs="Arial"/>
                    <w:sz w:val="22"/>
                    <w:szCs w:val="22"/>
                    <w:lang w:val="en-GB"/>
                  </w:rPr>
                </w:pPr>
                <w:r w:rsidRPr="00FF027F">
                  <w:rPr>
                    <w:rFonts w:ascii="Arial" w:hAnsi="Arial" w:cs="Arial"/>
                    <w:sz w:val="22"/>
                    <w:szCs w:val="22"/>
                    <w:lang w:val="en-GB"/>
                  </w:rPr>
                  <w:t>Staff</w:t>
                </w:r>
              </w:p>
            </w:tc>
            <w:tc>
              <w:tcPr>
                <w:tcW w:w="6520" w:type="dxa"/>
              </w:tcPr>
              <w:p w14:paraId="19E2350D" w14:textId="12F5038C" w:rsidR="00897435" w:rsidRPr="00FF027F" w:rsidRDefault="00CC3A9F" w:rsidP="00CC3A9F">
                <w:pPr>
                  <w:spacing w:line="240" w:lineRule="auto"/>
                  <w:ind w:left="202"/>
                  <w:rPr>
                    <w:rFonts w:ascii="Arial" w:hAnsi="Arial" w:cs="Arial"/>
                    <w:sz w:val="22"/>
                    <w:szCs w:val="22"/>
                    <w:lang w:val="en-GB"/>
                  </w:rPr>
                </w:pPr>
                <w:r w:rsidRPr="00FF027F">
                  <w:rPr>
                    <w:rFonts w:ascii="Arial" w:hAnsi="Arial" w:cs="Arial"/>
                    <w:sz w:val="22"/>
                    <w:szCs w:val="22"/>
                    <w:lang w:val="en-GB"/>
                  </w:rPr>
                  <w:t>0.1 FTE</w:t>
                </w:r>
              </w:p>
            </w:tc>
          </w:tr>
          <w:tr w:rsidR="00897435" w:rsidRPr="00FF027F" w14:paraId="14FC4860" w14:textId="77777777" w:rsidTr="00196477">
            <w:trPr>
              <w:trHeight w:val="471"/>
            </w:trPr>
            <w:tc>
              <w:tcPr>
                <w:tcW w:w="2552" w:type="dxa"/>
              </w:tcPr>
              <w:p w14:paraId="7F3F6DB9" w14:textId="77777777" w:rsidR="00897435" w:rsidRPr="00FF027F" w:rsidRDefault="001013B8" w:rsidP="00D73C47">
                <w:pPr>
                  <w:ind w:left="202"/>
                  <w:rPr>
                    <w:rFonts w:ascii="Arial" w:hAnsi="Arial" w:cs="Arial"/>
                    <w:sz w:val="22"/>
                    <w:szCs w:val="22"/>
                    <w:lang w:val="en-GB"/>
                  </w:rPr>
                </w:pPr>
                <w:r w:rsidRPr="00FF027F">
                  <w:rPr>
                    <w:rFonts w:ascii="Arial" w:hAnsi="Arial" w:cs="Arial"/>
                    <w:sz w:val="22"/>
                    <w:szCs w:val="22"/>
                    <w:lang w:val="en-GB"/>
                  </w:rPr>
                  <w:t>Risks</w:t>
                </w:r>
              </w:p>
            </w:tc>
            <w:tc>
              <w:tcPr>
                <w:tcW w:w="6520" w:type="dxa"/>
              </w:tcPr>
              <w:p w14:paraId="3F615B67" w14:textId="5495ECC3" w:rsidR="00897435" w:rsidRPr="00FF027F" w:rsidRDefault="00CC3A9F" w:rsidP="00CC3A9F">
                <w:pPr>
                  <w:spacing w:line="240" w:lineRule="auto"/>
                  <w:ind w:left="202"/>
                  <w:rPr>
                    <w:rFonts w:ascii="Arial" w:hAnsi="Arial" w:cs="Arial"/>
                    <w:sz w:val="22"/>
                    <w:szCs w:val="22"/>
                    <w:lang w:val="en-GB"/>
                  </w:rPr>
                </w:pPr>
                <w:r w:rsidRPr="00FF027F">
                  <w:rPr>
                    <w:rFonts w:ascii="Arial" w:hAnsi="Arial" w:cs="Arial"/>
                    <w:sz w:val="22"/>
                    <w:szCs w:val="22"/>
                    <w:lang w:val="en-GB"/>
                  </w:rPr>
                  <w:t>No appreciable risk.</w:t>
                </w:r>
              </w:p>
            </w:tc>
          </w:tr>
        </w:tbl>
        <w:p w14:paraId="2D714911" w14:textId="77777777" w:rsidR="00A221D7" w:rsidRPr="00FF027F" w:rsidRDefault="00A221D7" w:rsidP="006D0720">
          <w:pPr>
            <w:spacing w:before="120" w:after="120" w:line="240" w:lineRule="auto"/>
            <w:rPr>
              <w:rFonts w:ascii="Arial" w:hAnsi="Arial" w:cs="Arial"/>
              <w:lang w:val="en-GB"/>
            </w:rPr>
          </w:pPr>
        </w:p>
        <w:tbl>
          <w:tblPr>
            <w:tblStyle w:val="TableGrid8"/>
            <w:tblW w:w="0" w:type="auto"/>
            <w:tblInd w:w="108" w:type="dxa"/>
            <w:tblLook w:val="04A0" w:firstRow="1" w:lastRow="0" w:firstColumn="1" w:lastColumn="0" w:noHBand="0" w:noVBand="1"/>
          </w:tblPr>
          <w:tblGrid>
            <w:gridCol w:w="2524"/>
            <w:gridCol w:w="6379"/>
          </w:tblGrid>
          <w:tr w:rsidR="00A221D7" w:rsidRPr="00FF027F" w14:paraId="25E8905B" w14:textId="77777777" w:rsidTr="00897435">
            <w:trPr>
              <w:cnfStyle w:val="100000000000" w:firstRow="1" w:lastRow="0" w:firstColumn="0" w:lastColumn="0" w:oddVBand="0" w:evenVBand="0" w:oddHBand="0" w:evenHBand="0" w:firstRowFirstColumn="0" w:firstRowLastColumn="0" w:lastRowFirstColumn="0" w:lastRowLastColumn="0"/>
            </w:trPr>
            <w:tc>
              <w:tcPr>
                <w:tcW w:w="2552" w:type="dxa"/>
              </w:tcPr>
              <w:p w14:paraId="6E0CE1DF" w14:textId="77777777" w:rsidR="00A221D7" w:rsidRPr="00FF027F" w:rsidRDefault="00A221D7" w:rsidP="00133C49">
                <w:pPr>
                  <w:spacing w:line="240" w:lineRule="auto"/>
                  <w:ind w:left="216"/>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Deliverable</w:t>
                </w:r>
              </w:p>
            </w:tc>
            <w:tc>
              <w:tcPr>
                <w:tcW w:w="6520" w:type="dxa"/>
              </w:tcPr>
              <w:p w14:paraId="7F4219E6" w14:textId="77777777" w:rsidR="006A3756" w:rsidRPr="00FF027F" w:rsidRDefault="00A24CD8" w:rsidP="00114C79">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 xml:space="preserve">Print publications: </w:t>
                </w:r>
                <w:r w:rsidR="006A3756" w:rsidRPr="00FF027F">
                  <w:rPr>
                    <w:rFonts w:ascii="Arial" w:hAnsi="Arial" w:cs="Arial"/>
                    <w:color w:val="FFFFFF" w:themeColor="background1"/>
                    <w:sz w:val="22"/>
                    <w:szCs w:val="22"/>
                    <w:lang w:val="en-GB"/>
                  </w:rPr>
                  <w:t xml:space="preserve">Market Monitoring Report </w:t>
                </w:r>
              </w:p>
            </w:tc>
          </w:tr>
          <w:tr w:rsidR="00897435" w:rsidRPr="00FF027F" w14:paraId="6A2AFF03" w14:textId="77777777" w:rsidTr="00897435">
            <w:tc>
              <w:tcPr>
                <w:tcW w:w="2552" w:type="dxa"/>
              </w:tcPr>
              <w:p w14:paraId="65F6BA04" w14:textId="77777777" w:rsidR="00897435" w:rsidRPr="00FF027F" w:rsidRDefault="00897435" w:rsidP="00D73C47">
                <w:pPr>
                  <w:ind w:left="216"/>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454B05D1" w14:textId="75ED1E7F" w:rsidR="00897435" w:rsidRPr="00FF027F" w:rsidRDefault="00BC5876" w:rsidP="002A7B7E">
                <w:pPr>
                  <w:spacing w:line="240" w:lineRule="auto"/>
                  <w:ind w:left="202"/>
                  <w:jc w:val="left"/>
                  <w:rPr>
                    <w:rFonts w:ascii="Arial" w:hAnsi="Arial" w:cs="Arial"/>
                    <w:sz w:val="22"/>
                    <w:szCs w:val="22"/>
                    <w:lang w:val="en-GB"/>
                  </w:rPr>
                </w:pPr>
                <w:r w:rsidRPr="00FF027F">
                  <w:rPr>
                    <w:rFonts w:ascii="Arial" w:hAnsi="Arial" w:cs="Arial"/>
                    <w:sz w:val="22"/>
                    <w:szCs w:val="22"/>
                    <w:lang w:val="en-GB"/>
                  </w:rPr>
                  <w:t>The Agency provides an assessment of the progress made towards the implementation of the Third Energy Legislative Package (‘the 3</w:t>
                </w:r>
                <w:r w:rsidRPr="00FF027F">
                  <w:rPr>
                    <w:rFonts w:ascii="Arial" w:hAnsi="Arial" w:cs="Arial"/>
                    <w:sz w:val="22"/>
                    <w:szCs w:val="22"/>
                    <w:vertAlign w:val="superscript"/>
                    <w:lang w:val="en-GB"/>
                  </w:rPr>
                  <w:t>rd</w:t>
                </w:r>
                <w:r w:rsidRPr="00FF027F">
                  <w:rPr>
                    <w:rFonts w:ascii="Arial" w:hAnsi="Arial" w:cs="Arial"/>
                    <w:sz w:val="22"/>
                    <w:szCs w:val="22"/>
                    <w:lang w:val="en-GB"/>
                  </w:rPr>
                  <w:t xml:space="preserve"> Package’) and the completion of the internal energy market. This report is issued together with the Council of European Energy Regulators (CEER).</w:t>
                </w:r>
                <w:r w:rsidR="00834192" w:rsidRPr="00FF027F">
                  <w:rPr>
                    <w:rFonts w:ascii="Arial" w:hAnsi="Arial" w:cs="Arial"/>
                    <w:sz w:val="22"/>
                    <w:szCs w:val="22"/>
                    <w:lang w:val="en-GB"/>
                  </w:rPr>
                  <w:t xml:space="preserve"> </w:t>
                </w:r>
              </w:p>
            </w:tc>
          </w:tr>
          <w:tr w:rsidR="00897435" w:rsidRPr="00FF027F" w14:paraId="66FAB182" w14:textId="77777777" w:rsidTr="00897435">
            <w:tc>
              <w:tcPr>
                <w:tcW w:w="2552" w:type="dxa"/>
              </w:tcPr>
              <w:p w14:paraId="0E85F900" w14:textId="77777777" w:rsidR="00897435" w:rsidRPr="00FF027F" w:rsidRDefault="00897435" w:rsidP="00A92B42">
                <w:pPr>
                  <w:spacing w:line="240" w:lineRule="auto"/>
                  <w:ind w:left="216"/>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7DB8FE44" w14:textId="77777777" w:rsidR="00834192" w:rsidRPr="00FF027F" w:rsidRDefault="00834192" w:rsidP="002A7B7E">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By November 2015 </w:t>
                </w:r>
              </w:p>
              <w:p w14:paraId="44AE1F7C" w14:textId="4B7FD466" w:rsidR="00897435" w:rsidRPr="00FF027F" w:rsidRDefault="00834192" w:rsidP="002A7B7E">
                <w:pPr>
                  <w:spacing w:line="240" w:lineRule="auto"/>
                  <w:ind w:left="202"/>
                  <w:jc w:val="left"/>
                  <w:rPr>
                    <w:rFonts w:ascii="Arial" w:hAnsi="Arial" w:cs="Arial"/>
                    <w:sz w:val="22"/>
                    <w:szCs w:val="22"/>
                    <w:lang w:val="en-GB"/>
                  </w:rPr>
                </w:pPr>
                <w:r w:rsidRPr="00FF027F">
                  <w:rPr>
                    <w:rFonts w:ascii="Arial" w:hAnsi="Arial" w:cs="Arial"/>
                    <w:sz w:val="22"/>
                    <w:szCs w:val="22"/>
                    <w:lang w:val="en-GB"/>
                  </w:rPr>
                  <w:t>P</w:t>
                </w:r>
                <w:r w:rsidRPr="00FF027F">
                  <w:rPr>
                    <w:rFonts w:ascii="Arial" w:hAnsi="Arial" w:cs="Arial"/>
                    <w:sz w:val="22"/>
                    <w:szCs w:val="22"/>
                    <w:lang w:val="en-GB" w:eastAsia="sl-SI"/>
                  </w:rPr>
                  <w:t>rovides in-depth analysis of barriers to integration and give recommendations to the European Parliament and Commission on how to remove them.</w:t>
                </w:r>
              </w:p>
            </w:tc>
          </w:tr>
          <w:tr w:rsidR="00897435" w:rsidRPr="00FF027F" w14:paraId="65A77C05" w14:textId="77777777" w:rsidTr="00897435">
            <w:tc>
              <w:tcPr>
                <w:tcW w:w="2552" w:type="dxa"/>
              </w:tcPr>
              <w:p w14:paraId="3A78C3C9" w14:textId="77777777" w:rsidR="00897435" w:rsidRPr="00FF027F" w:rsidRDefault="00897435" w:rsidP="00D73C47">
                <w:pPr>
                  <w:spacing w:line="240" w:lineRule="auto"/>
                  <w:ind w:left="216"/>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12D62CD6" w14:textId="45500CDA" w:rsidR="00897435" w:rsidRPr="00FF027F" w:rsidRDefault="006E1C13" w:rsidP="002A7B7E">
                <w:pPr>
                  <w:spacing w:line="240" w:lineRule="auto"/>
                  <w:ind w:left="202"/>
                  <w:jc w:val="left"/>
                  <w:rPr>
                    <w:rFonts w:ascii="Arial" w:hAnsi="Arial" w:cs="Arial"/>
                    <w:sz w:val="22"/>
                    <w:szCs w:val="22"/>
                    <w:lang w:val="en-GB"/>
                  </w:rPr>
                </w:pPr>
                <w:r w:rsidRPr="00FF027F">
                  <w:rPr>
                    <w:rFonts w:ascii="Arial" w:hAnsi="Arial" w:cs="Arial"/>
                    <w:sz w:val="22"/>
                    <w:szCs w:val="22"/>
                    <w:lang w:val="en-GB"/>
                  </w:rPr>
                  <w:t>Over 75</w:t>
                </w:r>
                <w:r w:rsidR="00593B9B" w:rsidRPr="00FF027F">
                  <w:rPr>
                    <w:rFonts w:ascii="Arial" w:hAnsi="Arial" w:cs="Arial"/>
                    <w:sz w:val="22"/>
                    <w:szCs w:val="22"/>
                    <w:lang w:val="en-GB"/>
                  </w:rPr>
                  <w:t xml:space="preserve"> website hits within one month of publication.</w:t>
                </w:r>
              </w:p>
              <w:p w14:paraId="45FBBDA7" w14:textId="59A82A13" w:rsidR="00CC3A9F" w:rsidRPr="00FF027F" w:rsidRDefault="00CC3A9F" w:rsidP="002A7B7E">
                <w:pPr>
                  <w:spacing w:line="240" w:lineRule="auto"/>
                  <w:ind w:left="202"/>
                  <w:jc w:val="left"/>
                  <w:rPr>
                    <w:rFonts w:ascii="Arial" w:hAnsi="Arial" w:cs="Arial"/>
                    <w:sz w:val="22"/>
                    <w:szCs w:val="22"/>
                    <w:lang w:val="en-GB"/>
                  </w:rPr>
                </w:pPr>
                <w:r w:rsidRPr="00FF027F">
                  <w:rPr>
                    <w:rFonts w:ascii="Arial" w:hAnsi="Arial" w:cs="Arial"/>
                    <w:sz w:val="22"/>
                    <w:szCs w:val="22"/>
                    <w:lang w:val="en-GB"/>
                  </w:rPr>
                  <w:t>Reader survey: 2/3 majority of respondents satisfied or highly satisfied.</w:t>
                </w:r>
              </w:p>
            </w:tc>
          </w:tr>
          <w:tr w:rsidR="00897435" w:rsidRPr="00FF027F" w14:paraId="525E16A4" w14:textId="77777777" w:rsidTr="00897435">
            <w:tc>
              <w:tcPr>
                <w:tcW w:w="2552" w:type="dxa"/>
              </w:tcPr>
              <w:p w14:paraId="654DA92D" w14:textId="77777777" w:rsidR="00897435" w:rsidRPr="00FF027F" w:rsidRDefault="00897435" w:rsidP="00D73C47">
                <w:pPr>
                  <w:ind w:left="216"/>
                  <w:rPr>
                    <w:rFonts w:ascii="Arial" w:hAnsi="Arial" w:cs="Arial"/>
                    <w:sz w:val="22"/>
                    <w:szCs w:val="22"/>
                    <w:lang w:val="en-GB"/>
                  </w:rPr>
                </w:pPr>
                <w:r w:rsidRPr="00FF027F">
                  <w:rPr>
                    <w:rFonts w:ascii="Arial" w:hAnsi="Arial" w:cs="Arial"/>
                    <w:sz w:val="22"/>
                    <w:szCs w:val="22"/>
                    <w:lang w:val="en-GB"/>
                  </w:rPr>
                  <w:t>Staff</w:t>
                </w:r>
              </w:p>
            </w:tc>
            <w:tc>
              <w:tcPr>
                <w:tcW w:w="6520" w:type="dxa"/>
              </w:tcPr>
              <w:p w14:paraId="6F60099F" w14:textId="2E82677E" w:rsidR="00897435" w:rsidRPr="00FF027F" w:rsidRDefault="00834192" w:rsidP="002A7B7E">
                <w:pPr>
                  <w:spacing w:line="240" w:lineRule="auto"/>
                  <w:ind w:left="202"/>
                  <w:rPr>
                    <w:rFonts w:ascii="Arial" w:hAnsi="Arial" w:cs="Arial"/>
                    <w:sz w:val="22"/>
                    <w:szCs w:val="22"/>
                    <w:lang w:val="en-GB"/>
                  </w:rPr>
                </w:pPr>
                <w:r w:rsidRPr="00FF027F">
                  <w:rPr>
                    <w:rFonts w:ascii="Arial" w:hAnsi="Arial" w:cs="Arial"/>
                    <w:sz w:val="22"/>
                    <w:szCs w:val="22"/>
                    <w:lang w:val="en-GB"/>
                  </w:rPr>
                  <w:t>0.1 FTE</w:t>
                </w:r>
              </w:p>
            </w:tc>
          </w:tr>
          <w:tr w:rsidR="00897435" w:rsidRPr="00FF027F" w14:paraId="36DBFA4A" w14:textId="77777777" w:rsidTr="00897435">
            <w:tc>
              <w:tcPr>
                <w:tcW w:w="2552" w:type="dxa"/>
              </w:tcPr>
              <w:p w14:paraId="7E977168" w14:textId="77777777" w:rsidR="00897435" w:rsidRPr="00FF027F" w:rsidRDefault="001013B8" w:rsidP="00D73C47">
                <w:pPr>
                  <w:ind w:left="216"/>
                  <w:rPr>
                    <w:rFonts w:ascii="Arial" w:hAnsi="Arial" w:cs="Arial"/>
                    <w:sz w:val="22"/>
                    <w:szCs w:val="22"/>
                    <w:lang w:val="en-GB"/>
                  </w:rPr>
                </w:pPr>
                <w:r w:rsidRPr="00FF027F">
                  <w:rPr>
                    <w:rFonts w:ascii="Arial" w:hAnsi="Arial" w:cs="Arial"/>
                    <w:sz w:val="22"/>
                    <w:szCs w:val="22"/>
                    <w:lang w:val="en-GB"/>
                  </w:rPr>
                  <w:t>Risks</w:t>
                </w:r>
              </w:p>
            </w:tc>
            <w:tc>
              <w:tcPr>
                <w:tcW w:w="6520" w:type="dxa"/>
              </w:tcPr>
              <w:p w14:paraId="12E6AF33" w14:textId="0B0598FE" w:rsidR="00897435" w:rsidRPr="00FF027F" w:rsidRDefault="00834192" w:rsidP="002A7B7E">
                <w:pPr>
                  <w:spacing w:line="240" w:lineRule="auto"/>
                  <w:ind w:left="202"/>
                  <w:rPr>
                    <w:rFonts w:ascii="Arial" w:hAnsi="Arial" w:cs="Arial"/>
                    <w:sz w:val="22"/>
                    <w:szCs w:val="22"/>
                    <w:lang w:val="en-GB"/>
                  </w:rPr>
                </w:pPr>
                <w:r w:rsidRPr="00FF027F">
                  <w:rPr>
                    <w:rFonts w:ascii="Arial" w:hAnsi="Arial" w:cs="Arial"/>
                    <w:sz w:val="22"/>
                    <w:szCs w:val="22"/>
                    <w:lang w:val="en-GB"/>
                  </w:rPr>
                  <w:t>No appreciable risk.</w:t>
                </w:r>
              </w:p>
            </w:tc>
          </w:tr>
        </w:tbl>
        <w:p w14:paraId="301DBCA7" w14:textId="77777777" w:rsidR="00A24CD8" w:rsidRPr="00FF027F" w:rsidRDefault="00A24CD8" w:rsidP="006D0720">
          <w:pPr>
            <w:spacing w:before="120" w:after="120" w:line="240" w:lineRule="auto"/>
            <w:rPr>
              <w:rFonts w:ascii="Arial" w:hAnsi="Arial" w:cs="Arial"/>
              <w:lang w:val="en-GB"/>
            </w:rPr>
          </w:pPr>
        </w:p>
        <w:p w14:paraId="699F44A4" w14:textId="77777777" w:rsidR="00196477" w:rsidRDefault="00196477">
          <w:r>
            <w:rPr>
              <w:b/>
              <w:bCs/>
            </w:rPr>
            <w:br w:type="page"/>
          </w:r>
        </w:p>
        <w:tbl>
          <w:tblPr>
            <w:tblStyle w:val="TableGrid82"/>
            <w:tblW w:w="0" w:type="auto"/>
            <w:tblInd w:w="108" w:type="dxa"/>
            <w:tblLook w:val="04A0" w:firstRow="1" w:lastRow="0" w:firstColumn="1" w:lastColumn="0" w:noHBand="0" w:noVBand="1"/>
          </w:tblPr>
          <w:tblGrid>
            <w:gridCol w:w="2524"/>
            <w:gridCol w:w="6379"/>
          </w:tblGrid>
          <w:tr w:rsidR="00D74E42" w:rsidRPr="00FF027F" w14:paraId="263830CB" w14:textId="77777777" w:rsidTr="00196477">
            <w:trPr>
              <w:cnfStyle w:val="100000000000" w:firstRow="1" w:lastRow="0" w:firstColumn="0" w:lastColumn="0" w:oddVBand="0" w:evenVBand="0" w:oddHBand="0" w:evenHBand="0" w:firstRowFirstColumn="0" w:firstRowLastColumn="0" w:lastRowFirstColumn="0" w:lastRowLastColumn="0"/>
            </w:trPr>
            <w:tc>
              <w:tcPr>
                <w:tcW w:w="2524" w:type="dxa"/>
              </w:tcPr>
              <w:p w14:paraId="7FDB2F5A" w14:textId="26A02B06" w:rsidR="00D74E42" w:rsidRPr="00FF027F" w:rsidRDefault="00D74E42" w:rsidP="00133C49">
                <w:pPr>
                  <w:spacing w:line="240" w:lineRule="auto"/>
                  <w:ind w:left="216"/>
                  <w:jc w:val="left"/>
                  <w:rPr>
                    <w:rFonts w:ascii="Arial" w:hAnsi="Arial" w:cs="Arial"/>
                    <w:bCs w:val="0"/>
                    <w:color w:val="FFFFFF" w:themeColor="background1"/>
                    <w:sz w:val="22"/>
                    <w:szCs w:val="22"/>
                    <w:lang w:val="en-GB"/>
                  </w:rPr>
                </w:pPr>
                <w:r w:rsidRPr="00FF027F">
                  <w:rPr>
                    <w:rFonts w:ascii="Arial" w:hAnsi="Arial" w:cs="Arial"/>
                    <w:color w:val="FFFFFF" w:themeColor="background1"/>
                    <w:sz w:val="22"/>
                    <w:szCs w:val="22"/>
                    <w:lang w:val="en-GB"/>
                  </w:rPr>
                  <w:t>Deliverable</w:t>
                </w:r>
              </w:p>
            </w:tc>
            <w:tc>
              <w:tcPr>
                <w:tcW w:w="6379" w:type="dxa"/>
              </w:tcPr>
              <w:p w14:paraId="16B483FD" w14:textId="77777777" w:rsidR="00CD66B7" w:rsidRPr="00FF027F" w:rsidRDefault="00671320" w:rsidP="00114C79">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Print publications: REMIT Report 2013</w:t>
                </w:r>
              </w:p>
            </w:tc>
          </w:tr>
          <w:tr w:rsidR="00897435" w:rsidRPr="00FF027F" w14:paraId="317D8FCD" w14:textId="77777777" w:rsidTr="00196477">
            <w:tc>
              <w:tcPr>
                <w:tcW w:w="2524" w:type="dxa"/>
              </w:tcPr>
              <w:p w14:paraId="54B491D8" w14:textId="77777777" w:rsidR="00897435" w:rsidRPr="00FF027F" w:rsidRDefault="00897435" w:rsidP="00F1432D">
                <w:pPr>
                  <w:spacing w:line="240" w:lineRule="auto"/>
                  <w:ind w:left="202"/>
                  <w:rPr>
                    <w:rFonts w:ascii="Arial" w:hAnsi="Arial" w:cs="Arial"/>
                    <w:sz w:val="22"/>
                    <w:szCs w:val="22"/>
                    <w:lang w:val="en-GB"/>
                  </w:rPr>
                </w:pPr>
                <w:r w:rsidRPr="00FF027F">
                  <w:rPr>
                    <w:rFonts w:ascii="Arial" w:hAnsi="Arial" w:cs="Arial"/>
                    <w:sz w:val="22"/>
                    <w:szCs w:val="22"/>
                    <w:lang w:val="en-GB"/>
                  </w:rPr>
                  <w:t>Overview (status)</w:t>
                </w:r>
              </w:p>
            </w:tc>
            <w:tc>
              <w:tcPr>
                <w:tcW w:w="6379" w:type="dxa"/>
              </w:tcPr>
              <w:p w14:paraId="2E4BEADB" w14:textId="44B16356" w:rsidR="00897435" w:rsidRPr="00FF027F" w:rsidRDefault="00BC5876" w:rsidP="00417F8A">
                <w:pPr>
                  <w:spacing w:line="240" w:lineRule="auto"/>
                  <w:ind w:left="202"/>
                  <w:jc w:val="left"/>
                  <w:rPr>
                    <w:rFonts w:ascii="Arial" w:hAnsi="Arial" w:cs="Arial"/>
                    <w:sz w:val="22"/>
                    <w:szCs w:val="22"/>
                    <w:lang w:val="en-GB"/>
                  </w:rPr>
                </w:pPr>
                <w:r w:rsidRPr="00FF027F">
                  <w:rPr>
                    <w:rFonts w:ascii="Arial" w:hAnsi="Arial" w:cs="Arial"/>
                    <w:sz w:val="22"/>
                    <w:szCs w:val="22"/>
                    <w:lang w:val="en-GB"/>
                  </w:rPr>
                  <w:t>The Agency reports on its activities under the Regulation on wholesale energy market integrity and transparency (REMIT).</w:t>
                </w:r>
              </w:p>
            </w:tc>
          </w:tr>
          <w:tr w:rsidR="00897435" w:rsidRPr="00FF027F" w14:paraId="196B8E81" w14:textId="77777777" w:rsidTr="00196477">
            <w:tc>
              <w:tcPr>
                <w:tcW w:w="2524" w:type="dxa"/>
              </w:tcPr>
              <w:p w14:paraId="390286D0" w14:textId="65BC53FD" w:rsidR="00897435" w:rsidRPr="00FF027F" w:rsidRDefault="00897435" w:rsidP="00F1432D">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379" w:type="dxa"/>
              </w:tcPr>
              <w:p w14:paraId="30FA9D26" w14:textId="0CD12367" w:rsidR="00897435" w:rsidRPr="00FF027F" w:rsidRDefault="002A7B7E" w:rsidP="00417F8A">
                <w:pPr>
                  <w:spacing w:line="240" w:lineRule="auto"/>
                  <w:ind w:left="197"/>
                  <w:jc w:val="left"/>
                  <w:rPr>
                    <w:rFonts w:ascii="Arial" w:hAnsi="Arial" w:cs="Arial"/>
                    <w:sz w:val="22"/>
                    <w:szCs w:val="22"/>
                    <w:lang w:val="en-GB"/>
                  </w:rPr>
                </w:pPr>
                <w:r w:rsidRPr="00FF027F">
                  <w:rPr>
                    <w:rFonts w:ascii="Arial" w:hAnsi="Arial" w:cs="Arial"/>
                    <w:sz w:val="22"/>
                    <w:szCs w:val="22"/>
                    <w:lang w:val="en-GB"/>
                  </w:rPr>
                  <w:t xml:space="preserve">To assess the operation and transparency of different categories of market places and ways of trading and may make recommendations to the Commission as regards market rules, standards, and procedures which could improve market integrity and the functioning of the internal market. </w:t>
                </w:r>
              </w:p>
            </w:tc>
          </w:tr>
          <w:tr w:rsidR="00897435" w:rsidRPr="00FF027F" w14:paraId="12F55A33" w14:textId="77777777" w:rsidTr="00196477">
            <w:tc>
              <w:tcPr>
                <w:tcW w:w="2524" w:type="dxa"/>
              </w:tcPr>
              <w:p w14:paraId="4E469A38" w14:textId="77777777" w:rsidR="00897435" w:rsidRPr="00FF027F" w:rsidRDefault="00897435" w:rsidP="00F1432D">
                <w:pPr>
                  <w:spacing w:line="240" w:lineRule="auto"/>
                  <w:ind w:left="202"/>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379" w:type="dxa"/>
              </w:tcPr>
              <w:p w14:paraId="6BA4321A" w14:textId="2AE502D5" w:rsidR="002A7B7E" w:rsidRPr="00FF027F" w:rsidRDefault="002A7B7E" w:rsidP="00417F8A">
                <w:pPr>
                  <w:spacing w:line="240" w:lineRule="auto"/>
                  <w:ind w:left="197"/>
                  <w:jc w:val="left"/>
                  <w:rPr>
                    <w:rFonts w:ascii="Arial" w:hAnsi="Arial" w:cs="Arial"/>
                    <w:sz w:val="22"/>
                    <w:szCs w:val="22"/>
                    <w:lang w:val="en-GB"/>
                  </w:rPr>
                </w:pPr>
                <w:r w:rsidRPr="00FF027F">
                  <w:rPr>
                    <w:rFonts w:ascii="Arial" w:hAnsi="Arial" w:cs="Arial"/>
                    <w:sz w:val="22"/>
                    <w:szCs w:val="22"/>
                    <w:lang w:val="en-GB"/>
                  </w:rPr>
                  <w:t>Expected submission of the 2nd Annual Report of REMIT: Q2 2015.</w:t>
                </w:r>
              </w:p>
              <w:p w14:paraId="05972865" w14:textId="473B542D" w:rsidR="00897435" w:rsidRPr="00FF027F" w:rsidRDefault="006E1C13" w:rsidP="00417F8A">
                <w:pPr>
                  <w:spacing w:line="240" w:lineRule="auto"/>
                  <w:ind w:left="197"/>
                  <w:jc w:val="left"/>
                  <w:rPr>
                    <w:rFonts w:ascii="Arial" w:hAnsi="Arial" w:cs="Arial"/>
                    <w:sz w:val="22"/>
                    <w:szCs w:val="22"/>
                    <w:lang w:val="en-GB"/>
                  </w:rPr>
                </w:pPr>
                <w:r w:rsidRPr="00FF027F">
                  <w:rPr>
                    <w:rFonts w:ascii="Arial" w:hAnsi="Arial" w:cs="Arial"/>
                    <w:sz w:val="22"/>
                    <w:szCs w:val="22"/>
                    <w:lang w:val="en-GB"/>
                  </w:rPr>
                  <w:t>Over 30</w:t>
                </w:r>
                <w:r w:rsidR="00593B9B" w:rsidRPr="00FF027F">
                  <w:rPr>
                    <w:rFonts w:ascii="Arial" w:hAnsi="Arial" w:cs="Arial"/>
                    <w:sz w:val="22"/>
                    <w:szCs w:val="22"/>
                    <w:lang w:val="en-GB"/>
                  </w:rPr>
                  <w:t xml:space="preserve"> website hits within one month of the publication of the report.</w:t>
                </w:r>
              </w:p>
            </w:tc>
          </w:tr>
          <w:tr w:rsidR="00897435" w:rsidRPr="00FF027F" w14:paraId="592E0FB1" w14:textId="77777777" w:rsidTr="00196477">
            <w:tc>
              <w:tcPr>
                <w:tcW w:w="2524" w:type="dxa"/>
              </w:tcPr>
              <w:p w14:paraId="69921025" w14:textId="77777777" w:rsidR="00897435" w:rsidRPr="00FF027F" w:rsidRDefault="00897435" w:rsidP="00F1432D">
                <w:pPr>
                  <w:ind w:left="202"/>
                  <w:rPr>
                    <w:rFonts w:ascii="Arial" w:hAnsi="Arial" w:cs="Arial"/>
                    <w:sz w:val="22"/>
                    <w:szCs w:val="22"/>
                    <w:lang w:val="en-GB"/>
                  </w:rPr>
                </w:pPr>
                <w:r w:rsidRPr="00FF027F">
                  <w:rPr>
                    <w:rFonts w:ascii="Arial" w:hAnsi="Arial" w:cs="Arial"/>
                    <w:sz w:val="22"/>
                    <w:szCs w:val="22"/>
                    <w:lang w:val="en-GB"/>
                  </w:rPr>
                  <w:t>Staff</w:t>
                </w:r>
              </w:p>
            </w:tc>
            <w:tc>
              <w:tcPr>
                <w:tcW w:w="6379" w:type="dxa"/>
              </w:tcPr>
              <w:p w14:paraId="23824F6F" w14:textId="2133457B" w:rsidR="00897435" w:rsidRPr="00FF027F" w:rsidRDefault="002A7B7E" w:rsidP="00417F8A">
                <w:pPr>
                  <w:spacing w:line="240" w:lineRule="auto"/>
                  <w:ind w:left="197"/>
                  <w:jc w:val="left"/>
                  <w:rPr>
                    <w:rFonts w:ascii="Arial" w:hAnsi="Arial" w:cs="Arial"/>
                    <w:sz w:val="22"/>
                    <w:szCs w:val="22"/>
                    <w:lang w:val="en-GB"/>
                  </w:rPr>
                </w:pPr>
                <w:r w:rsidRPr="00FF027F">
                  <w:rPr>
                    <w:rFonts w:ascii="Arial" w:hAnsi="Arial" w:cs="Arial"/>
                    <w:sz w:val="22"/>
                    <w:szCs w:val="22"/>
                    <w:lang w:val="en-GB"/>
                  </w:rPr>
                  <w:t>0.2 FTE</w:t>
                </w:r>
              </w:p>
            </w:tc>
          </w:tr>
          <w:tr w:rsidR="00897435" w:rsidRPr="00FF027F" w14:paraId="17576243" w14:textId="77777777" w:rsidTr="00196477">
            <w:tc>
              <w:tcPr>
                <w:tcW w:w="2524" w:type="dxa"/>
              </w:tcPr>
              <w:p w14:paraId="571CE63F" w14:textId="77777777" w:rsidR="00897435" w:rsidRPr="00FF027F" w:rsidRDefault="001013B8" w:rsidP="00F1432D">
                <w:pPr>
                  <w:ind w:left="202"/>
                  <w:rPr>
                    <w:rFonts w:ascii="Arial" w:hAnsi="Arial" w:cs="Arial"/>
                    <w:sz w:val="22"/>
                    <w:szCs w:val="22"/>
                    <w:lang w:val="en-GB"/>
                  </w:rPr>
                </w:pPr>
                <w:r w:rsidRPr="00FF027F">
                  <w:rPr>
                    <w:rFonts w:ascii="Arial" w:hAnsi="Arial" w:cs="Arial"/>
                    <w:sz w:val="22"/>
                    <w:szCs w:val="22"/>
                    <w:lang w:val="en-GB"/>
                  </w:rPr>
                  <w:t>Risks</w:t>
                </w:r>
              </w:p>
            </w:tc>
            <w:tc>
              <w:tcPr>
                <w:tcW w:w="6379" w:type="dxa"/>
              </w:tcPr>
              <w:p w14:paraId="0AB9DCC7" w14:textId="5663455B" w:rsidR="00897435" w:rsidRPr="00FF027F" w:rsidRDefault="002A7B7E" w:rsidP="00417F8A">
                <w:pPr>
                  <w:spacing w:line="240" w:lineRule="auto"/>
                  <w:ind w:left="197"/>
                  <w:jc w:val="left"/>
                  <w:rPr>
                    <w:rFonts w:ascii="Arial" w:hAnsi="Arial" w:cs="Arial"/>
                    <w:sz w:val="22"/>
                    <w:szCs w:val="22"/>
                    <w:lang w:val="en-GB"/>
                  </w:rPr>
                </w:pPr>
                <w:r w:rsidRPr="00FF027F">
                  <w:rPr>
                    <w:rFonts w:ascii="Arial" w:hAnsi="Arial" w:cs="Arial"/>
                    <w:sz w:val="22"/>
                    <w:szCs w:val="22"/>
                    <w:lang w:val="en-GB"/>
                  </w:rPr>
                  <w:t>No appreciable risk.</w:t>
                </w:r>
              </w:p>
            </w:tc>
          </w:tr>
        </w:tbl>
        <w:p w14:paraId="625C5A5B" w14:textId="77777777" w:rsidR="0042740D" w:rsidRPr="00FF027F" w:rsidRDefault="0042740D">
          <w:pPr>
            <w:rPr>
              <w:lang w:val="en-GB"/>
            </w:rPr>
          </w:pPr>
        </w:p>
        <w:tbl>
          <w:tblPr>
            <w:tblStyle w:val="TableGrid82"/>
            <w:tblW w:w="8884" w:type="dxa"/>
            <w:tblInd w:w="108" w:type="dxa"/>
            <w:tblLook w:val="04A0" w:firstRow="1" w:lastRow="0" w:firstColumn="1" w:lastColumn="0" w:noHBand="0" w:noVBand="1"/>
          </w:tblPr>
          <w:tblGrid>
            <w:gridCol w:w="2552"/>
            <w:gridCol w:w="6332"/>
          </w:tblGrid>
          <w:tr w:rsidR="005E700F" w:rsidRPr="00FF027F" w14:paraId="3955662C" w14:textId="77777777" w:rsidTr="002715BC">
            <w:trPr>
              <w:cnfStyle w:val="100000000000" w:firstRow="1" w:lastRow="0" w:firstColumn="0" w:lastColumn="0" w:oddVBand="0" w:evenVBand="0" w:oddHBand="0" w:evenHBand="0" w:firstRowFirstColumn="0" w:firstRowLastColumn="0" w:lastRowFirstColumn="0" w:lastRowLastColumn="0"/>
            </w:trPr>
            <w:tc>
              <w:tcPr>
                <w:tcW w:w="2552" w:type="dxa"/>
              </w:tcPr>
              <w:p w14:paraId="0D2A177E" w14:textId="2FEF24C9" w:rsidR="005E700F" w:rsidRPr="00FF027F" w:rsidRDefault="005E700F" w:rsidP="00133C49">
                <w:pPr>
                  <w:spacing w:line="240" w:lineRule="auto"/>
                  <w:ind w:left="216"/>
                  <w:jc w:val="left"/>
                  <w:rPr>
                    <w:rFonts w:ascii="Arial" w:hAnsi="Arial" w:cs="Arial"/>
                    <w:bCs w:val="0"/>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Deliverables</w:t>
                </w:r>
              </w:p>
            </w:tc>
            <w:tc>
              <w:tcPr>
                <w:tcW w:w="6332" w:type="dxa"/>
              </w:tcPr>
              <w:p w14:paraId="22D3FB1E" w14:textId="77777777" w:rsidR="006A3756" w:rsidRPr="00FF027F" w:rsidRDefault="005E700F" w:rsidP="00133C49">
                <w:pPr>
                  <w:spacing w:line="240" w:lineRule="auto"/>
                  <w:ind w:left="216"/>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Oth</w:t>
                </w:r>
                <w:r w:rsidR="00FE0C2A" w:rsidRPr="00FF027F">
                  <w:rPr>
                    <w:rFonts w:ascii="Arial" w:hAnsi="Arial" w:cs="Arial"/>
                    <w:color w:val="FFFFFF" w:themeColor="background1"/>
                    <w:sz w:val="22"/>
                    <w:szCs w:val="22"/>
                    <w:highlight w:val="darkBlue"/>
                    <w:lang w:val="en-GB"/>
                  </w:rPr>
                  <w:t>er Publications</w:t>
                </w:r>
              </w:p>
            </w:tc>
          </w:tr>
          <w:tr w:rsidR="00897435" w:rsidRPr="00FF027F" w14:paraId="3E1F2F74" w14:textId="77777777" w:rsidTr="002715BC">
            <w:tc>
              <w:tcPr>
                <w:tcW w:w="2552" w:type="dxa"/>
              </w:tcPr>
              <w:p w14:paraId="1C3D6946" w14:textId="77777777" w:rsidR="00897435" w:rsidRPr="00FF027F" w:rsidRDefault="00897435" w:rsidP="00133C49">
                <w:pPr>
                  <w:ind w:left="216"/>
                  <w:rPr>
                    <w:rFonts w:ascii="Arial" w:hAnsi="Arial" w:cs="Arial"/>
                    <w:sz w:val="22"/>
                    <w:szCs w:val="22"/>
                    <w:lang w:val="en-GB"/>
                  </w:rPr>
                </w:pPr>
                <w:r w:rsidRPr="00FF027F">
                  <w:rPr>
                    <w:rFonts w:ascii="Arial" w:hAnsi="Arial" w:cs="Arial"/>
                    <w:sz w:val="22"/>
                    <w:szCs w:val="22"/>
                    <w:lang w:val="en-GB"/>
                  </w:rPr>
                  <w:t>Overview (status)</w:t>
                </w:r>
              </w:p>
            </w:tc>
            <w:tc>
              <w:tcPr>
                <w:tcW w:w="6332" w:type="dxa"/>
              </w:tcPr>
              <w:p w14:paraId="7AFC5A3F" w14:textId="10E6AD0E" w:rsidR="00A862BD" w:rsidRPr="00FF027F" w:rsidRDefault="00A862BD" w:rsidP="00417F8A">
                <w:pPr>
                  <w:spacing w:line="240" w:lineRule="auto"/>
                  <w:ind w:left="202"/>
                  <w:jc w:val="left"/>
                  <w:rPr>
                    <w:rFonts w:ascii="Verdana" w:hAnsi="Verdana"/>
                    <w:lang w:val="en-GB"/>
                  </w:rPr>
                </w:pPr>
                <w:r w:rsidRPr="00FF027F">
                  <w:rPr>
                    <w:rFonts w:ascii="Arial" w:hAnsi="Arial" w:cs="Arial"/>
                    <w:sz w:val="22"/>
                    <w:szCs w:val="22"/>
                    <w:lang w:val="en-GB"/>
                  </w:rPr>
                  <w:t>Besides its major publications, the Agency also prepares</w:t>
                </w:r>
                <w:r w:rsidR="006E1C13" w:rsidRPr="00FF027F">
                  <w:rPr>
                    <w:rFonts w:ascii="Arial" w:hAnsi="Arial" w:cs="Arial"/>
                    <w:sz w:val="22"/>
                    <w:szCs w:val="22"/>
                    <w:lang w:val="en-GB"/>
                  </w:rPr>
                  <w:t xml:space="preserve"> brochures and</w:t>
                </w:r>
                <w:r w:rsidRPr="00FF027F">
                  <w:rPr>
                    <w:rFonts w:ascii="Arial" w:hAnsi="Arial" w:cs="Arial"/>
                    <w:sz w:val="22"/>
                    <w:szCs w:val="22"/>
                    <w:lang w:val="en-GB"/>
                  </w:rPr>
                  <w:t xml:space="preserve"> specific leaflets</w:t>
                </w:r>
                <w:r w:rsidR="006E1C13" w:rsidRPr="00FF027F">
                  <w:rPr>
                    <w:rFonts w:ascii="Arial" w:hAnsi="Arial" w:cs="Arial"/>
                    <w:sz w:val="22"/>
                    <w:szCs w:val="22"/>
                    <w:lang w:val="en-GB"/>
                  </w:rPr>
                  <w:t xml:space="preserve"> in all 24 EU official languages for events and visits. These leaflets in all EU languages are also accessible digitally from ACER</w:t>
                </w:r>
                <w:r w:rsidR="00184279" w:rsidRPr="00FF027F">
                  <w:rPr>
                    <w:rFonts w:ascii="Arial" w:hAnsi="Arial" w:cs="Arial"/>
                    <w:sz w:val="22"/>
                    <w:szCs w:val="22"/>
                    <w:lang w:val="en-GB"/>
                  </w:rPr>
                  <w:t>’s</w:t>
                </w:r>
                <w:r w:rsidR="006E1C13" w:rsidRPr="00FF027F">
                  <w:rPr>
                    <w:rFonts w:ascii="Arial" w:hAnsi="Arial" w:cs="Arial"/>
                    <w:sz w:val="22"/>
                    <w:szCs w:val="22"/>
                    <w:lang w:val="en-GB"/>
                  </w:rPr>
                  <w:t xml:space="preserve"> web homepage. </w:t>
                </w:r>
                <w:r w:rsidR="00184279" w:rsidRPr="00FF027F">
                  <w:rPr>
                    <w:rFonts w:ascii="Arial" w:hAnsi="Arial" w:cs="Arial"/>
                    <w:sz w:val="22"/>
                    <w:szCs w:val="22"/>
                    <w:lang w:val="en-GB"/>
                  </w:rPr>
                  <w:t>The Agency</w:t>
                </w:r>
                <w:r w:rsidRPr="00FF027F">
                  <w:rPr>
                    <w:rFonts w:ascii="Arial" w:hAnsi="Arial" w:cs="Arial"/>
                    <w:sz w:val="22"/>
                    <w:szCs w:val="22"/>
                    <w:lang w:val="en-GB"/>
                  </w:rPr>
                  <w:t xml:space="preserve"> also publishes many other sectorial reports on specific issues related to gas and electricity.</w:t>
                </w:r>
                <w:r w:rsidRPr="00FF027F">
                  <w:rPr>
                    <w:rFonts w:ascii="Verdana" w:hAnsi="Verdana"/>
                    <w:lang w:val="en-GB"/>
                  </w:rPr>
                  <w:t xml:space="preserve"> </w:t>
                </w:r>
              </w:p>
            </w:tc>
          </w:tr>
          <w:tr w:rsidR="00897435" w:rsidRPr="00FF027F" w14:paraId="00579483" w14:textId="77777777" w:rsidTr="002715BC">
            <w:tc>
              <w:tcPr>
                <w:tcW w:w="2552" w:type="dxa"/>
              </w:tcPr>
              <w:p w14:paraId="4D6C45B0" w14:textId="77777777" w:rsidR="00897435" w:rsidRPr="00FF027F" w:rsidRDefault="00897435" w:rsidP="00133C49">
                <w:pPr>
                  <w:spacing w:line="240" w:lineRule="auto"/>
                  <w:ind w:left="216"/>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332" w:type="dxa"/>
              </w:tcPr>
              <w:p w14:paraId="70278DBB" w14:textId="77777777" w:rsidR="00897435" w:rsidRPr="00FF027F" w:rsidRDefault="001548F5" w:rsidP="00417F8A">
                <w:pPr>
                  <w:spacing w:line="240" w:lineRule="auto"/>
                  <w:ind w:left="216"/>
                  <w:jc w:val="left"/>
                  <w:rPr>
                    <w:rFonts w:ascii="Arial" w:hAnsi="Arial" w:cs="Arial"/>
                    <w:sz w:val="22"/>
                    <w:szCs w:val="22"/>
                    <w:lang w:val="en-GB"/>
                  </w:rPr>
                </w:pPr>
                <w:r w:rsidRPr="00FF027F">
                  <w:rPr>
                    <w:rFonts w:ascii="Arial" w:hAnsi="Arial" w:cs="Arial"/>
                    <w:sz w:val="22"/>
                    <w:szCs w:val="22"/>
                    <w:lang w:val="en-GB"/>
                  </w:rPr>
                  <w:t>Informing the general public and stakeholders on the Agency’s activities, both general and more specific ones.</w:t>
                </w:r>
              </w:p>
              <w:p w14:paraId="4DBA54E4" w14:textId="4944ECDB" w:rsidR="001548F5" w:rsidRPr="00FF027F" w:rsidRDefault="001548F5" w:rsidP="00417F8A">
                <w:pPr>
                  <w:spacing w:line="240" w:lineRule="auto"/>
                  <w:ind w:left="216"/>
                  <w:jc w:val="left"/>
                  <w:rPr>
                    <w:rFonts w:ascii="Arial" w:hAnsi="Arial" w:cs="Arial"/>
                    <w:sz w:val="22"/>
                    <w:szCs w:val="22"/>
                    <w:lang w:val="en-GB"/>
                  </w:rPr>
                </w:pPr>
                <w:r w:rsidRPr="00FF027F">
                  <w:rPr>
                    <w:rFonts w:ascii="Arial" w:hAnsi="Arial" w:cs="Arial"/>
                    <w:sz w:val="22"/>
                    <w:szCs w:val="22"/>
                    <w:lang w:val="en-GB"/>
                  </w:rPr>
                  <w:t>The material is regularly updated to reflect new tasks assigned to the Agency</w:t>
                </w:r>
                <w:r w:rsidR="00C80806" w:rsidRPr="00FF027F">
                  <w:rPr>
                    <w:rFonts w:ascii="Arial" w:hAnsi="Arial" w:cs="Arial"/>
                    <w:sz w:val="22"/>
                    <w:szCs w:val="22"/>
                    <w:lang w:val="en-GB"/>
                  </w:rPr>
                  <w:t>.</w:t>
                </w:r>
              </w:p>
            </w:tc>
          </w:tr>
          <w:tr w:rsidR="00897435" w:rsidRPr="00FF027F" w14:paraId="6CB30D5C" w14:textId="77777777" w:rsidTr="002715BC">
            <w:tc>
              <w:tcPr>
                <w:tcW w:w="2552" w:type="dxa"/>
              </w:tcPr>
              <w:p w14:paraId="3AE9055C" w14:textId="77777777" w:rsidR="00897435" w:rsidRPr="00FF027F" w:rsidRDefault="00897435" w:rsidP="00133C49">
                <w:pPr>
                  <w:spacing w:line="240" w:lineRule="auto"/>
                  <w:ind w:left="216"/>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332" w:type="dxa"/>
              </w:tcPr>
              <w:p w14:paraId="187F74DD" w14:textId="02109746" w:rsidR="00897435" w:rsidRPr="00FF027F" w:rsidRDefault="006E1C13" w:rsidP="00417F8A">
                <w:pPr>
                  <w:spacing w:line="240" w:lineRule="auto"/>
                  <w:ind w:left="216"/>
                  <w:jc w:val="left"/>
                  <w:rPr>
                    <w:rFonts w:ascii="Arial" w:hAnsi="Arial" w:cs="Arial"/>
                    <w:sz w:val="22"/>
                    <w:szCs w:val="22"/>
                    <w:lang w:val="en-GB"/>
                  </w:rPr>
                </w:pPr>
                <w:r w:rsidRPr="00FF027F">
                  <w:rPr>
                    <w:rFonts w:ascii="Arial" w:hAnsi="Arial" w:cs="Arial"/>
                    <w:sz w:val="22"/>
                    <w:szCs w:val="22"/>
                    <w:lang w:val="en-GB"/>
                  </w:rPr>
                  <w:t>Revision of</w:t>
                </w:r>
                <w:r w:rsidR="001548F5" w:rsidRPr="00FF027F">
                  <w:rPr>
                    <w:rFonts w:ascii="Arial" w:hAnsi="Arial" w:cs="Arial"/>
                    <w:sz w:val="22"/>
                    <w:szCs w:val="22"/>
                    <w:lang w:val="en-GB"/>
                  </w:rPr>
                  <w:t xml:space="preserve"> </w:t>
                </w:r>
                <w:r w:rsidRPr="00FF027F">
                  <w:rPr>
                    <w:rFonts w:ascii="Arial" w:hAnsi="Arial" w:cs="Arial"/>
                    <w:sz w:val="22"/>
                    <w:szCs w:val="22"/>
                    <w:lang w:val="en-GB"/>
                  </w:rPr>
                  <w:t>leaflets’ texts and republication if necessary by December 2015.</w:t>
                </w:r>
              </w:p>
            </w:tc>
          </w:tr>
          <w:tr w:rsidR="00897435" w:rsidRPr="00FF027F" w14:paraId="084EF028" w14:textId="77777777" w:rsidTr="002715BC">
            <w:tc>
              <w:tcPr>
                <w:tcW w:w="2552" w:type="dxa"/>
              </w:tcPr>
              <w:p w14:paraId="2C1482C7" w14:textId="77777777" w:rsidR="00897435" w:rsidRPr="00FF027F" w:rsidRDefault="00897435" w:rsidP="00133C49">
                <w:pPr>
                  <w:ind w:left="216"/>
                  <w:rPr>
                    <w:rFonts w:ascii="Arial" w:hAnsi="Arial" w:cs="Arial"/>
                    <w:sz w:val="22"/>
                    <w:szCs w:val="22"/>
                    <w:lang w:val="en-GB"/>
                  </w:rPr>
                </w:pPr>
                <w:r w:rsidRPr="00FF027F">
                  <w:rPr>
                    <w:rFonts w:ascii="Arial" w:hAnsi="Arial" w:cs="Arial"/>
                    <w:sz w:val="22"/>
                    <w:szCs w:val="22"/>
                    <w:lang w:val="en-GB"/>
                  </w:rPr>
                  <w:t>Staff</w:t>
                </w:r>
              </w:p>
            </w:tc>
            <w:tc>
              <w:tcPr>
                <w:tcW w:w="6332" w:type="dxa"/>
              </w:tcPr>
              <w:p w14:paraId="29E9C59D" w14:textId="3F5481C8" w:rsidR="00897435" w:rsidRPr="00FF027F" w:rsidRDefault="00E608DC" w:rsidP="00417F8A">
                <w:pPr>
                  <w:spacing w:line="240" w:lineRule="auto"/>
                  <w:ind w:left="216"/>
                  <w:jc w:val="left"/>
                  <w:rPr>
                    <w:rFonts w:ascii="Arial" w:hAnsi="Arial" w:cs="Arial"/>
                    <w:sz w:val="22"/>
                    <w:szCs w:val="22"/>
                    <w:lang w:val="en-GB"/>
                  </w:rPr>
                </w:pPr>
                <w:r w:rsidRPr="00FF027F">
                  <w:rPr>
                    <w:rFonts w:ascii="Arial" w:hAnsi="Arial" w:cs="Arial"/>
                    <w:sz w:val="22"/>
                    <w:szCs w:val="22"/>
                    <w:lang w:val="en-GB"/>
                  </w:rPr>
                  <w:t>0.1 FTE</w:t>
                </w:r>
              </w:p>
            </w:tc>
          </w:tr>
          <w:tr w:rsidR="00897435" w:rsidRPr="00FF027F" w14:paraId="3C73C050" w14:textId="77777777" w:rsidTr="002715BC">
            <w:tc>
              <w:tcPr>
                <w:tcW w:w="2552" w:type="dxa"/>
              </w:tcPr>
              <w:p w14:paraId="575FD305" w14:textId="77777777" w:rsidR="00897435" w:rsidRPr="00FF027F" w:rsidRDefault="001013B8" w:rsidP="00133C49">
                <w:pPr>
                  <w:ind w:left="216"/>
                  <w:rPr>
                    <w:rFonts w:ascii="Arial" w:hAnsi="Arial" w:cs="Arial"/>
                    <w:sz w:val="22"/>
                    <w:szCs w:val="22"/>
                    <w:lang w:val="en-GB"/>
                  </w:rPr>
                </w:pPr>
                <w:r w:rsidRPr="00FF027F">
                  <w:rPr>
                    <w:rFonts w:ascii="Arial" w:hAnsi="Arial" w:cs="Arial"/>
                    <w:sz w:val="22"/>
                    <w:szCs w:val="22"/>
                    <w:lang w:val="en-GB"/>
                  </w:rPr>
                  <w:t>Risks</w:t>
                </w:r>
              </w:p>
            </w:tc>
            <w:tc>
              <w:tcPr>
                <w:tcW w:w="6332" w:type="dxa"/>
              </w:tcPr>
              <w:p w14:paraId="122F5244" w14:textId="4B62ACBA" w:rsidR="00897435" w:rsidRPr="00FF027F" w:rsidRDefault="001548F5" w:rsidP="00417F8A">
                <w:pPr>
                  <w:spacing w:line="240" w:lineRule="auto"/>
                  <w:ind w:left="216"/>
                  <w:jc w:val="left"/>
                  <w:rPr>
                    <w:rFonts w:ascii="Arial" w:hAnsi="Arial" w:cs="Arial"/>
                    <w:sz w:val="22"/>
                    <w:szCs w:val="22"/>
                    <w:lang w:val="en-GB"/>
                  </w:rPr>
                </w:pPr>
                <w:r w:rsidRPr="00FF027F">
                  <w:rPr>
                    <w:rFonts w:ascii="Arial" w:hAnsi="Arial" w:cs="Arial"/>
                    <w:sz w:val="22"/>
                    <w:szCs w:val="22"/>
                    <w:lang w:val="en-GB"/>
                  </w:rPr>
                  <w:t>No appreciable risk.</w:t>
                </w:r>
              </w:p>
            </w:tc>
          </w:tr>
        </w:tbl>
        <w:p w14:paraId="3FA58D16" w14:textId="77777777" w:rsidR="005E700F" w:rsidRPr="00FF027F" w:rsidRDefault="005E700F" w:rsidP="006D0720">
          <w:pPr>
            <w:spacing w:before="120" w:after="120" w:line="240" w:lineRule="auto"/>
            <w:jc w:val="both"/>
            <w:rPr>
              <w:rFonts w:ascii="Arial" w:hAnsi="Arial" w:cs="Arial"/>
              <w:lang w:val="en-GB"/>
            </w:rPr>
          </w:pPr>
        </w:p>
        <w:p w14:paraId="4D225E88" w14:textId="77777777" w:rsidR="00FB36B3" w:rsidRPr="00FF027F" w:rsidRDefault="00FB36B3" w:rsidP="004A3311">
          <w:pPr>
            <w:pStyle w:val="Heading3"/>
            <w:numPr>
              <w:ilvl w:val="0"/>
              <w:numId w:val="0"/>
            </w:numPr>
            <w:ind w:left="90" w:firstLine="630"/>
            <w:rPr>
              <w:color w:val="4F81BD" w:themeColor="accent1"/>
            </w:rPr>
          </w:pPr>
          <w:bookmarkStart w:id="104" w:name="_Toc396913801"/>
          <w:bookmarkStart w:id="105" w:name="_Toc358640716"/>
          <w:bookmarkStart w:id="106" w:name="_Toc358640929"/>
          <w:r w:rsidRPr="00FF027F">
            <w:rPr>
              <w:color w:val="4F81BD" w:themeColor="accent1"/>
            </w:rPr>
            <w:t>3.9</w:t>
          </w:r>
          <w:r w:rsidR="00630564" w:rsidRPr="00FF027F">
            <w:rPr>
              <w:color w:val="4F81BD" w:themeColor="accent1"/>
            </w:rPr>
            <w:t>.2.2 Internal Communication</w:t>
          </w:r>
          <w:bookmarkEnd w:id="104"/>
          <w:r w:rsidR="00630564" w:rsidRPr="00FF027F">
            <w:rPr>
              <w:color w:val="4F81BD" w:themeColor="accent1"/>
            </w:rPr>
            <w:t xml:space="preserve"> </w:t>
          </w:r>
        </w:p>
        <w:p w14:paraId="62CD70D1" w14:textId="5168ECF7" w:rsidR="00BC5876" w:rsidRPr="00FF027F" w:rsidRDefault="00BC5876" w:rsidP="00154D7B">
          <w:pPr>
            <w:spacing w:before="360" w:after="240" w:line="360" w:lineRule="auto"/>
            <w:jc w:val="both"/>
            <w:rPr>
              <w:rFonts w:ascii="Arial" w:hAnsi="Arial" w:cs="Arial"/>
              <w:lang w:val="en-GB"/>
            </w:rPr>
          </w:pPr>
          <w:r w:rsidRPr="00FF027F">
            <w:rPr>
              <w:rFonts w:ascii="Arial" w:hAnsi="Arial" w:cs="Arial"/>
              <w:lang w:val="en-GB"/>
            </w:rPr>
            <w:t xml:space="preserve">Internal communication </w:t>
          </w:r>
          <w:r w:rsidR="001E1526" w:rsidRPr="00FF027F">
            <w:rPr>
              <w:rFonts w:ascii="Arial" w:hAnsi="Arial" w:cs="Arial"/>
              <w:lang w:val="en-GB"/>
            </w:rPr>
            <w:t xml:space="preserve">is geared towards </w:t>
          </w:r>
          <w:r w:rsidR="00A57637" w:rsidRPr="00FF027F">
            <w:rPr>
              <w:rFonts w:ascii="Arial" w:hAnsi="Arial" w:cs="Arial"/>
              <w:lang w:val="en-GB"/>
            </w:rPr>
            <w:t xml:space="preserve">the </w:t>
          </w:r>
          <w:r w:rsidR="001E1526" w:rsidRPr="00FF027F">
            <w:rPr>
              <w:rFonts w:ascii="Arial" w:hAnsi="Arial" w:cs="Arial"/>
              <w:lang w:val="en-GB"/>
            </w:rPr>
            <w:t>A</w:t>
          </w:r>
          <w:r w:rsidR="00A57637" w:rsidRPr="00FF027F">
            <w:rPr>
              <w:rFonts w:ascii="Arial" w:hAnsi="Arial" w:cs="Arial"/>
              <w:lang w:val="en-GB"/>
            </w:rPr>
            <w:t>gency’s</w:t>
          </w:r>
          <w:r w:rsidR="001E1526" w:rsidRPr="00FF027F">
            <w:rPr>
              <w:rFonts w:ascii="Arial" w:hAnsi="Arial" w:cs="Arial"/>
              <w:lang w:val="en-GB"/>
            </w:rPr>
            <w:t xml:space="preserve"> staff, seconded national experts, locally contracted employees and trainees. It </w:t>
          </w:r>
          <w:r w:rsidRPr="00FF027F">
            <w:rPr>
              <w:rFonts w:ascii="Arial" w:hAnsi="Arial" w:cs="Arial"/>
              <w:lang w:val="en-GB"/>
            </w:rPr>
            <w:t xml:space="preserve">should enable both management and staff to fulfil their responsibilities effectively and efficiently. The overall objective is to increase the level of awareness of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 xml:space="preserve">’s work and recent developments </w:t>
          </w:r>
          <w:r w:rsidR="00154D7B" w:rsidRPr="00FF027F">
            <w:rPr>
              <w:rFonts w:ascii="Arial" w:hAnsi="Arial" w:cs="Arial"/>
              <w:lang w:val="en-GB"/>
            </w:rPr>
            <w:t xml:space="preserve">related to </w:t>
          </w:r>
          <w:r w:rsidRPr="00FF027F">
            <w:rPr>
              <w:rFonts w:ascii="Arial" w:hAnsi="Arial" w:cs="Arial"/>
              <w:lang w:val="en-GB"/>
            </w:rPr>
            <w:t>the Agency in order to contribute to the staff engagement and job satisfaction</w:t>
          </w:r>
          <w:r w:rsidR="001548F5" w:rsidRPr="00FF027F">
            <w:rPr>
              <w:rFonts w:ascii="Arial" w:hAnsi="Arial" w:cs="Arial"/>
              <w:lang w:val="en-GB"/>
            </w:rPr>
            <w:t xml:space="preserve">, which in turn </w:t>
          </w:r>
          <w:r w:rsidRPr="00FF027F">
            <w:rPr>
              <w:rFonts w:ascii="Arial" w:hAnsi="Arial" w:cs="Arial"/>
              <w:lang w:val="en-GB"/>
            </w:rPr>
            <w:t>contribute</w:t>
          </w:r>
          <w:r w:rsidR="001548F5" w:rsidRPr="00FF027F">
            <w:rPr>
              <w:rFonts w:ascii="Arial" w:hAnsi="Arial" w:cs="Arial"/>
              <w:lang w:val="en-GB"/>
            </w:rPr>
            <w:t>s</w:t>
          </w:r>
          <w:r w:rsidRPr="00FF027F">
            <w:rPr>
              <w:rFonts w:ascii="Arial" w:hAnsi="Arial" w:cs="Arial"/>
              <w:lang w:val="en-GB"/>
            </w:rPr>
            <w:t xml:space="preserve"> to the positive reputation </w:t>
          </w:r>
          <w:r w:rsidR="00B331B8" w:rsidRPr="00FF027F">
            <w:rPr>
              <w:rFonts w:ascii="Arial" w:hAnsi="Arial" w:cs="Arial"/>
              <w:lang w:val="en-GB"/>
            </w:rPr>
            <w:t xml:space="preserve">and performance </w:t>
          </w:r>
          <w:r w:rsidRPr="00FF027F">
            <w:rPr>
              <w:rFonts w:ascii="Arial" w:hAnsi="Arial" w:cs="Arial"/>
              <w:lang w:val="en-GB"/>
            </w:rPr>
            <w:t xml:space="preserve">of the Agency. </w:t>
          </w:r>
          <w:r w:rsidR="001548F5" w:rsidRPr="00FF027F">
            <w:rPr>
              <w:rFonts w:ascii="Arial" w:hAnsi="Arial" w:cs="Arial"/>
              <w:lang w:val="en-GB"/>
            </w:rPr>
            <w:t>S</w:t>
          </w:r>
          <w:r w:rsidRPr="00FF027F">
            <w:rPr>
              <w:rFonts w:ascii="Arial" w:hAnsi="Arial" w:cs="Arial"/>
              <w:lang w:val="en-GB"/>
            </w:rPr>
            <w:t xml:space="preserve">taff members </w:t>
          </w:r>
          <w:r w:rsidR="001548F5" w:rsidRPr="00FF027F">
            <w:rPr>
              <w:rFonts w:ascii="Arial" w:hAnsi="Arial" w:cs="Arial"/>
              <w:lang w:val="en-GB"/>
            </w:rPr>
            <w:t xml:space="preserve">must be </w:t>
          </w:r>
          <w:r w:rsidRPr="00FF027F">
            <w:rPr>
              <w:rFonts w:ascii="Arial" w:hAnsi="Arial" w:cs="Arial"/>
              <w:lang w:val="en-GB"/>
            </w:rPr>
            <w:t xml:space="preserve">regularly informed of policy decisions taken by the Boards and the Director, enabling them to better understand their role and to </w:t>
          </w:r>
          <w:r w:rsidR="001548F5" w:rsidRPr="00FF027F">
            <w:rPr>
              <w:rFonts w:ascii="Arial" w:hAnsi="Arial" w:cs="Arial"/>
              <w:lang w:val="en-GB"/>
            </w:rPr>
            <w:t>acquire</w:t>
          </w:r>
          <w:r w:rsidRPr="00FF027F">
            <w:rPr>
              <w:rFonts w:ascii="Arial" w:hAnsi="Arial" w:cs="Arial"/>
              <w:lang w:val="en-GB"/>
            </w:rPr>
            <w:t xml:space="preserve"> broader knowledge of the Agency’s activities. This should </w:t>
          </w:r>
          <w:r w:rsidR="001548F5" w:rsidRPr="00FF027F">
            <w:rPr>
              <w:rFonts w:ascii="Arial" w:hAnsi="Arial" w:cs="Arial"/>
              <w:lang w:val="en-GB"/>
            </w:rPr>
            <w:t xml:space="preserve">contribute to a common corporate culture and </w:t>
          </w:r>
          <w:r w:rsidRPr="00FF027F">
            <w:rPr>
              <w:rFonts w:ascii="Arial" w:hAnsi="Arial" w:cs="Arial"/>
              <w:lang w:val="en-GB"/>
            </w:rPr>
            <w:t xml:space="preserve">ultimately also improve external communication. </w:t>
          </w:r>
        </w:p>
        <w:p w14:paraId="7E6DF982" w14:textId="7DB77343" w:rsidR="00BC5876" w:rsidRPr="00FF027F" w:rsidRDefault="00BC5876" w:rsidP="00154D7B">
          <w:pPr>
            <w:spacing w:before="360" w:after="240" w:line="360" w:lineRule="auto"/>
            <w:jc w:val="both"/>
            <w:rPr>
              <w:rFonts w:ascii="Arial" w:hAnsi="Arial" w:cs="Arial"/>
              <w:lang w:val="en-GB"/>
            </w:rPr>
          </w:pPr>
          <w:r w:rsidRPr="00FF027F">
            <w:rPr>
              <w:rFonts w:ascii="Arial" w:hAnsi="Arial" w:cs="Arial"/>
              <w:lang w:val="en-GB"/>
            </w:rPr>
            <w:t xml:space="preserve">Effective communication from ACER management and Human Resources should provide staff with the tools to speak positively and consistently about </w:t>
          </w:r>
          <w:r w:rsidR="00A57637" w:rsidRPr="00FF027F">
            <w:rPr>
              <w:rFonts w:ascii="Arial" w:hAnsi="Arial" w:cs="Arial"/>
              <w:lang w:val="en-GB"/>
            </w:rPr>
            <w:t>the Agency</w:t>
          </w:r>
          <w:r w:rsidRPr="00FF027F">
            <w:rPr>
              <w:rFonts w:ascii="Arial" w:hAnsi="Arial" w:cs="Arial"/>
              <w:lang w:val="en-GB"/>
            </w:rPr>
            <w:t xml:space="preserve">. An effective internal communication </w:t>
          </w:r>
          <w:r w:rsidR="001548F5" w:rsidRPr="00FF027F">
            <w:rPr>
              <w:rFonts w:ascii="Arial" w:hAnsi="Arial" w:cs="Arial"/>
              <w:lang w:val="en-GB"/>
            </w:rPr>
            <w:t xml:space="preserve">should </w:t>
          </w:r>
          <w:r w:rsidRPr="00FF027F">
            <w:rPr>
              <w:rFonts w:ascii="Arial" w:hAnsi="Arial" w:cs="Arial"/>
              <w:lang w:val="en-GB"/>
            </w:rPr>
            <w:t xml:space="preserve">ensure that </w:t>
          </w:r>
          <w:r w:rsidR="00B331B8" w:rsidRPr="00FF027F">
            <w:rPr>
              <w:rFonts w:ascii="Arial" w:hAnsi="Arial" w:cs="Arial"/>
              <w:lang w:val="en-GB"/>
            </w:rPr>
            <w:t>the Agency’s</w:t>
          </w:r>
          <w:r w:rsidRPr="00FF027F">
            <w:rPr>
              <w:rFonts w:ascii="Arial" w:hAnsi="Arial" w:cs="Arial"/>
              <w:lang w:val="en-GB"/>
            </w:rPr>
            <w:t xml:space="preserve"> staff is engaged with the organisation’s </w:t>
          </w:r>
          <w:r w:rsidR="001548F5" w:rsidRPr="00FF027F">
            <w:rPr>
              <w:rFonts w:ascii="Arial" w:hAnsi="Arial" w:cs="Arial"/>
              <w:lang w:val="en-GB"/>
            </w:rPr>
            <w:t xml:space="preserve">mission and </w:t>
          </w:r>
          <w:r w:rsidRPr="00FF027F">
            <w:rPr>
              <w:rFonts w:ascii="Arial" w:hAnsi="Arial" w:cs="Arial"/>
              <w:lang w:val="en-GB"/>
            </w:rPr>
            <w:t xml:space="preserve">goals and fully </w:t>
          </w:r>
          <w:r w:rsidR="001548F5" w:rsidRPr="00FF027F">
            <w:rPr>
              <w:rFonts w:ascii="Arial" w:hAnsi="Arial" w:cs="Arial"/>
              <w:lang w:val="en-GB"/>
            </w:rPr>
            <w:t xml:space="preserve">aware </w:t>
          </w:r>
          <w:r w:rsidRPr="00FF027F">
            <w:rPr>
              <w:rFonts w:ascii="Arial" w:hAnsi="Arial" w:cs="Arial"/>
              <w:lang w:val="en-GB"/>
            </w:rPr>
            <w:t>of its role in achieving the</w:t>
          </w:r>
          <w:r w:rsidR="001E1526" w:rsidRPr="00FF027F">
            <w:rPr>
              <w:rFonts w:ascii="Arial" w:hAnsi="Arial" w:cs="Arial"/>
              <w:lang w:val="en-GB"/>
            </w:rPr>
            <w:t>m, while providing timely feedback to address potential issues</w:t>
          </w:r>
          <w:r w:rsidRPr="00FF027F">
            <w:rPr>
              <w:rFonts w:ascii="Arial" w:hAnsi="Arial" w:cs="Arial"/>
              <w:lang w:val="en-GB"/>
            </w:rPr>
            <w:t>.</w:t>
          </w:r>
        </w:p>
        <w:p w14:paraId="4B4D179D" w14:textId="026BF6B2" w:rsidR="00331536" w:rsidRPr="00FF027F" w:rsidRDefault="00331536" w:rsidP="00331536">
          <w:pPr>
            <w:spacing w:before="360" w:after="240" w:line="360" w:lineRule="auto"/>
            <w:jc w:val="both"/>
            <w:rPr>
              <w:rFonts w:ascii="Arial" w:hAnsi="Arial" w:cs="Arial"/>
              <w:lang w:val="en-GB"/>
            </w:rPr>
          </w:pPr>
          <w:r w:rsidRPr="00FF027F">
            <w:rPr>
              <w:rFonts w:ascii="Arial" w:hAnsi="Arial" w:cs="Arial"/>
              <w:lang w:val="en-GB"/>
            </w:rPr>
            <w:t>To achieve these goals the main internal communication channels are:</w:t>
          </w:r>
        </w:p>
        <w:p w14:paraId="678FC790" w14:textId="77777777" w:rsidR="00331536" w:rsidRPr="00FF027F" w:rsidRDefault="00331536" w:rsidP="006D214F">
          <w:pPr>
            <w:numPr>
              <w:ilvl w:val="0"/>
              <w:numId w:val="47"/>
            </w:numPr>
            <w:spacing w:before="360" w:after="240" w:line="360" w:lineRule="auto"/>
            <w:ind w:left="709" w:hanging="425"/>
            <w:contextualSpacing/>
            <w:jc w:val="both"/>
            <w:rPr>
              <w:rFonts w:ascii="Arial" w:hAnsi="Arial" w:cs="Arial"/>
              <w:lang w:val="en-GB"/>
            </w:rPr>
          </w:pPr>
          <w:r w:rsidRPr="00FF027F">
            <w:rPr>
              <w:rFonts w:ascii="Arial" w:hAnsi="Arial" w:cs="Arial"/>
              <w:lang w:val="en-GB"/>
            </w:rPr>
            <w:t>Digital communication: website, newsletters, newsfeeds</w:t>
          </w:r>
        </w:p>
        <w:p w14:paraId="11E7BDE0" w14:textId="3F5CEDFD" w:rsidR="00331536" w:rsidRPr="00FF027F" w:rsidRDefault="00331536" w:rsidP="006D214F">
          <w:pPr>
            <w:numPr>
              <w:ilvl w:val="0"/>
              <w:numId w:val="47"/>
            </w:numPr>
            <w:spacing w:before="360" w:after="240" w:line="360" w:lineRule="auto"/>
            <w:ind w:left="709" w:hanging="425"/>
            <w:contextualSpacing/>
            <w:jc w:val="both"/>
            <w:rPr>
              <w:rFonts w:ascii="Arial" w:hAnsi="Arial" w:cs="Arial"/>
              <w:lang w:val="en-GB"/>
            </w:rPr>
          </w:pPr>
          <w:r w:rsidRPr="00FF027F">
            <w:rPr>
              <w:rFonts w:ascii="Arial" w:hAnsi="Arial" w:cs="Arial"/>
              <w:lang w:val="en-GB"/>
            </w:rPr>
            <w:t>Events/internal conferences</w:t>
          </w:r>
          <w:r w:rsidR="00EF7A9A" w:rsidRPr="00FF027F">
            <w:rPr>
              <w:rFonts w:ascii="Arial" w:hAnsi="Arial" w:cs="Arial"/>
              <w:lang w:val="en-GB"/>
            </w:rPr>
            <w:t xml:space="preserve"> (presentations)</w:t>
          </w:r>
        </w:p>
        <w:p w14:paraId="6B22C9DD" w14:textId="77777777" w:rsidR="00EF7A9A" w:rsidRPr="00FF027F" w:rsidRDefault="00EF7A9A" w:rsidP="00EF7A9A">
          <w:pPr>
            <w:spacing w:before="360" w:after="240" w:line="360" w:lineRule="auto"/>
            <w:ind w:left="709"/>
            <w:contextualSpacing/>
            <w:jc w:val="both"/>
            <w:rPr>
              <w:rFonts w:ascii="Arial" w:hAnsi="Arial" w:cs="Arial"/>
              <w:lang w:val="en-GB"/>
            </w:rPr>
          </w:pPr>
        </w:p>
        <w:tbl>
          <w:tblPr>
            <w:tblStyle w:val="TableGrid8"/>
            <w:tblW w:w="0" w:type="auto"/>
            <w:tblInd w:w="108" w:type="dxa"/>
            <w:tblLook w:val="04A0" w:firstRow="1" w:lastRow="0" w:firstColumn="1" w:lastColumn="0" w:noHBand="0" w:noVBand="1"/>
          </w:tblPr>
          <w:tblGrid>
            <w:gridCol w:w="2526"/>
            <w:gridCol w:w="6377"/>
          </w:tblGrid>
          <w:tr w:rsidR="00154D7B" w:rsidRPr="00FF027F" w14:paraId="7071AAD6" w14:textId="77777777" w:rsidTr="00655254">
            <w:trPr>
              <w:cnfStyle w:val="100000000000" w:firstRow="1" w:lastRow="0" w:firstColumn="0" w:lastColumn="0" w:oddVBand="0" w:evenVBand="0" w:oddHBand="0" w:evenHBand="0" w:firstRowFirstColumn="0" w:firstRowLastColumn="0" w:lastRowFirstColumn="0" w:lastRowLastColumn="0"/>
              <w:trHeight w:val="653"/>
            </w:trPr>
            <w:tc>
              <w:tcPr>
                <w:tcW w:w="2552" w:type="dxa"/>
              </w:tcPr>
              <w:p w14:paraId="5F15802F" w14:textId="77777777" w:rsidR="00154D7B" w:rsidRPr="00FF027F" w:rsidRDefault="00154D7B" w:rsidP="00655254">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Deliverable</w:t>
                </w:r>
              </w:p>
            </w:tc>
            <w:tc>
              <w:tcPr>
                <w:tcW w:w="6520" w:type="dxa"/>
              </w:tcPr>
              <w:p w14:paraId="56E37E50" w14:textId="77777777" w:rsidR="00154D7B" w:rsidRPr="00FF027F" w:rsidRDefault="00154D7B" w:rsidP="00655254">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Internal newsletter</w:t>
                </w:r>
              </w:p>
            </w:tc>
          </w:tr>
          <w:tr w:rsidR="00154D7B" w:rsidRPr="00FF027F" w14:paraId="56D109D3" w14:textId="77777777" w:rsidTr="00655254">
            <w:tc>
              <w:tcPr>
                <w:tcW w:w="2552" w:type="dxa"/>
              </w:tcPr>
              <w:p w14:paraId="53B3C389" w14:textId="77777777" w:rsidR="00154D7B" w:rsidRPr="00FF027F" w:rsidRDefault="00154D7B" w:rsidP="00655254">
                <w:pPr>
                  <w:ind w:left="202"/>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326138E9" w14:textId="4068E8EE" w:rsidR="00154D7B" w:rsidRPr="00FF027F" w:rsidRDefault="00154D7B" w:rsidP="00154D7B">
                <w:pPr>
                  <w:keepLines w:val="0"/>
                  <w:tabs>
                    <w:tab w:val="clear" w:pos="1985"/>
                    <w:tab w:val="clear" w:pos="5103"/>
                  </w:tabs>
                  <w:spacing w:line="240" w:lineRule="auto"/>
                  <w:ind w:left="202"/>
                  <w:jc w:val="left"/>
                  <w:rPr>
                    <w:rFonts w:ascii="Arial" w:hAnsi="Arial" w:cs="Arial"/>
                    <w:sz w:val="22"/>
                    <w:szCs w:val="22"/>
                    <w:lang w:val="en-GB"/>
                  </w:rPr>
                </w:pPr>
                <w:r w:rsidRPr="00FF027F">
                  <w:rPr>
                    <w:rFonts w:ascii="Arial" w:hAnsi="Arial" w:cs="Arial"/>
                    <w:sz w:val="22"/>
                    <w:szCs w:val="22"/>
                    <w:lang w:val="en-GB"/>
                  </w:rPr>
                  <w:t>An internal newsletter for ACER staff is circulated on a monthly basis.</w:t>
                </w:r>
              </w:p>
            </w:tc>
          </w:tr>
          <w:tr w:rsidR="00154D7B" w:rsidRPr="00FF027F" w14:paraId="7B7DA788" w14:textId="77777777" w:rsidTr="00655254">
            <w:tc>
              <w:tcPr>
                <w:tcW w:w="2552" w:type="dxa"/>
              </w:tcPr>
              <w:p w14:paraId="2C72D2EC" w14:textId="77777777" w:rsidR="00154D7B" w:rsidRPr="00FF027F" w:rsidRDefault="00154D7B" w:rsidP="00655254">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4C127775" w14:textId="18AB3A91" w:rsidR="00154D7B" w:rsidRPr="00FF027F" w:rsidRDefault="00154D7B" w:rsidP="00154D7B">
                <w:pPr>
                  <w:spacing w:line="240" w:lineRule="auto"/>
                  <w:ind w:left="202"/>
                  <w:jc w:val="left"/>
                  <w:rPr>
                    <w:rFonts w:ascii="Arial" w:hAnsi="Arial" w:cs="Arial"/>
                    <w:sz w:val="22"/>
                    <w:szCs w:val="22"/>
                    <w:lang w:val="en-GB"/>
                  </w:rPr>
                </w:pPr>
                <w:r w:rsidRPr="00FF027F">
                  <w:rPr>
                    <w:rFonts w:ascii="Arial" w:hAnsi="Arial" w:cs="Arial"/>
                    <w:sz w:val="22"/>
                    <w:szCs w:val="22"/>
                    <w:lang w:val="en-GB"/>
                  </w:rPr>
                  <w:t>To increase the level of awareness of ACER’s work and recent developments related to the Agency.</w:t>
                </w:r>
              </w:p>
            </w:tc>
          </w:tr>
          <w:tr w:rsidR="00154D7B" w:rsidRPr="00FF027F" w14:paraId="72A669A2" w14:textId="77777777" w:rsidTr="00655254">
            <w:tc>
              <w:tcPr>
                <w:tcW w:w="2552" w:type="dxa"/>
              </w:tcPr>
              <w:p w14:paraId="1E90F90E" w14:textId="77777777" w:rsidR="00154D7B" w:rsidRPr="00FF027F" w:rsidRDefault="00154D7B" w:rsidP="00655254">
                <w:pPr>
                  <w:spacing w:line="240" w:lineRule="auto"/>
                  <w:ind w:left="202"/>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7C523962" w14:textId="649F099F" w:rsidR="00154D7B" w:rsidRPr="00FF027F" w:rsidRDefault="00154D7B" w:rsidP="00154D7B">
                <w:pPr>
                  <w:pStyle w:val="ListParagraph"/>
                  <w:spacing w:after="120"/>
                  <w:ind w:left="202"/>
                  <w:contextualSpacing w:val="0"/>
                  <w:jc w:val="left"/>
                  <w:rPr>
                    <w:rFonts w:ascii="Arial" w:hAnsi="Arial" w:cs="Arial"/>
                    <w:sz w:val="22"/>
                    <w:szCs w:val="22"/>
                    <w:lang w:val="en-GB"/>
                  </w:rPr>
                </w:pPr>
                <w:r w:rsidRPr="00FF027F">
                  <w:rPr>
                    <w:rFonts w:ascii="Arial" w:hAnsi="Arial" w:cs="Arial"/>
                    <w:sz w:val="22"/>
                    <w:szCs w:val="22"/>
                    <w:lang w:val="en-GB"/>
                  </w:rPr>
                  <w:t>Staff satisfaction measured through a question on the internal newsletter in the staff survey.</w:t>
                </w:r>
              </w:p>
              <w:p w14:paraId="3AAF5040" w14:textId="79704F4C" w:rsidR="00154D7B" w:rsidRPr="00FF027F" w:rsidRDefault="00154D7B" w:rsidP="00154D7B">
                <w:pPr>
                  <w:spacing w:line="240" w:lineRule="auto"/>
                  <w:ind w:left="202"/>
                  <w:jc w:val="left"/>
                  <w:rPr>
                    <w:rFonts w:ascii="Arial" w:hAnsi="Arial" w:cs="Arial"/>
                    <w:sz w:val="22"/>
                    <w:szCs w:val="22"/>
                    <w:lang w:val="en-GB"/>
                  </w:rPr>
                </w:pPr>
                <w:r w:rsidRPr="00FF027F">
                  <w:rPr>
                    <w:rFonts w:ascii="Arial" w:hAnsi="Arial" w:cs="Arial"/>
                    <w:sz w:val="22"/>
                    <w:szCs w:val="22"/>
                    <w:lang w:val="en-GB"/>
                  </w:rPr>
                  <w:t>2/3 of participating staff satisfied or highly satisfied.</w:t>
                </w:r>
              </w:p>
            </w:tc>
          </w:tr>
          <w:tr w:rsidR="00154D7B" w:rsidRPr="00FF027F" w14:paraId="19F18988" w14:textId="77777777" w:rsidTr="00655254">
            <w:tc>
              <w:tcPr>
                <w:tcW w:w="2552" w:type="dxa"/>
              </w:tcPr>
              <w:p w14:paraId="752F6981" w14:textId="77777777" w:rsidR="00154D7B" w:rsidRPr="00FF027F" w:rsidRDefault="00154D7B" w:rsidP="00655254">
                <w:pPr>
                  <w:ind w:left="202"/>
                  <w:rPr>
                    <w:rFonts w:ascii="Arial" w:hAnsi="Arial" w:cs="Arial"/>
                    <w:sz w:val="22"/>
                    <w:szCs w:val="22"/>
                    <w:lang w:val="en-GB"/>
                  </w:rPr>
                </w:pPr>
                <w:r w:rsidRPr="00FF027F">
                  <w:rPr>
                    <w:rFonts w:ascii="Arial" w:hAnsi="Arial" w:cs="Arial"/>
                    <w:sz w:val="22"/>
                    <w:szCs w:val="22"/>
                    <w:lang w:val="en-GB"/>
                  </w:rPr>
                  <w:t>Staff</w:t>
                </w:r>
              </w:p>
            </w:tc>
            <w:tc>
              <w:tcPr>
                <w:tcW w:w="6520" w:type="dxa"/>
              </w:tcPr>
              <w:p w14:paraId="36EF6B3B" w14:textId="4E5A73DE" w:rsidR="00154D7B" w:rsidRPr="00FF027F" w:rsidRDefault="00154D7B" w:rsidP="00154D7B">
                <w:pPr>
                  <w:spacing w:line="240" w:lineRule="auto"/>
                  <w:ind w:left="202"/>
                  <w:rPr>
                    <w:rFonts w:ascii="Arial" w:hAnsi="Arial" w:cs="Arial"/>
                    <w:sz w:val="22"/>
                    <w:szCs w:val="22"/>
                    <w:lang w:val="en-GB"/>
                  </w:rPr>
                </w:pPr>
                <w:r w:rsidRPr="00FF027F">
                  <w:rPr>
                    <w:rFonts w:ascii="Arial" w:hAnsi="Arial" w:cs="Arial"/>
                    <w:sz w:val="22"/>
                    <w:szCs w:val="22"/>
                    <w:lang w:val="en-GB"/>
                  </w:rPr>
                  <w:t>0.2 FTE</w:t>
                </w:r>
              </w:p>
            </w:tc>
          </w:tr>
          <w:tr w:rsidR="00154D7B" w:rsidRPr="00FF027F" w14:paraId="19798AB9" w14:textId="77777777" w:rsidTr="00655254">
            <w:tc>
              <w:tcPr>
                <w:tcW w:w="2552" w:type="dxa"/>
              </w:tcPr>
              <w:p w14:paraId="6235EABD" w14:textId="77777777" w:rsidR="00154D7B" w:rsidRPr="00FF027F" w:rsidRDefault="00154D7B" w:rsidP="00655254">
                <w:pPr>
                  <w:ind w:left="202"/>
                  <w:rPr>
                    <w:rFonts w:ascii="Arial" w:hAnsi="Arial" w:cs="Arial"/>
                    <w:sz w:val="22"/>
                    <w:szCs w:val="22"/>
                    <w:lang w:val="en-GB"/>
                  </w:rPr>
                </w:pPr>
                <w:r w:rsidRPr="00FF027F">
                  <w:rPr>
                    <w:rFonts w:ascii="Arial" w:hAnsi="Arial" w:cs="Arial"/>
                    <w:sz w:val="22"/>
                    <w:szCs w:val="22"/>
                    <w:lang w:val="en-GB"/>
                  </w:rPr>
                  <w:t>Risks</w:t>
                </w:r>
              </w:p>
            </w:tc>
            <w:tc>
              <w:tcPr>
                <w:tcW w:w="6520" w:type="dxa"/>
              </w:tcPr>
              <w:p w14:paraId="497B47AD" w14:textId="06176A5C" w:rsidR="00154D7B" w:rsidRPr="00FF027F" w:rsidRDefault="00154D7B" w:rsidP="00154D7B">
                <w:pPr>
                  <w:spacing w:line="240" w:lineRule="auto"/>
                  <w:ind w:left="202"/>
                  <w:rPr>
                    <w:rFonts w:ascii="Arial" w:hAnsi="Arial" w:cs="Arial"/>
                    <w:sz w:val="22"/>
                    <w:szCs w:val="22"/>
                    <w:lang w:val="en-GB"/>
                  </w:rPr>
                </w:pPr>
                <w:r w:rsidRPr="00FF027F">
                  <w:rPr>
                    <w:rFonts w:ascii="Arial" w:hAnsi="Arial" w:cs="Arial"/>
                    <w:sz w:val="22"/>
                    <w:szCs w:val="22"/>
                    <w:lang w:val="en-GB"/>
                  </w:rPr>
                  <w:t>No appreciable risk.</w:t>
                </w:r>
              </w:p>
            </w:tc>
          </w:tr>
        </w:tbl>
        <w:p w14:paraId="66CB8AA2" w14:textId="77777777" w:rsidR="00154D7B" w:rsidRPr="00FF027F" w:rsidRDefault="00154D7B" w:rsidP="00154D7B">
          <w:pPr>
            <w:spacing w:before="120" w:after="120" w:line="360" w:lineRule="auto"/>
            <w:ind w:left="202"/>
            <w:rPr>
              <w:lang w:val="en-GB"/>
            </w:rPr>
          </w:pPr>
        </w:p>
        <w:tbl>
          <w:tblPr>
            <w:tblStyle w:val="TableGrid8"/>
            <w:tblW w:w="0" w:type="auto"/>
            <w:tblInd w:w="108" w:type="dxa"/>
            <w:tblLook w:val="04A0" w:firstRow="1" w:lastRow="0" w:firstColumn="1" w:lastColumn="0" w:noHBand="0" w:noVBand="1"/>
          </w:tblPr>
          <w:tblGrid>
            <w:gridCol w:w="2525"/>
            <w:gridCol w:w="6378"/>
          </w:tblGrid>
          <w:tr w:rsidR="00A221D7" w:rsidRPr="00FF027F" w14:paraId="5248690F" w14:textId="77777777" w:rsidTr="00897435">
            <w:trPr>
              <w:cnfStyle w:val="100000000000" w:firstRow="1" w:lastRow="0" w:firstColumn="0" w:lastColumn="0" w:oddVBand="0" w:evenVBand="0" w:oddHBand="0" w:evenHBand="0" w:firstRowFirstColumn="0" w:firstRowLastColumn="0" w:lastRowFirstColumn="0" w:lastRowLastColumn="0"/>
              <w:trHeight w:val="608"/>
            </w:trPr>
            <w:tc>
              <w:tcPr>
                <w:tcW w:w="2552" w:type="dxa"/>
              </w:tcPr>
              <w:bookmarkEnd w:id="105"/>
              <w:bookmarkEnd w:id="106"/>
              <w:p w14:paraId="35915A6E" w14:textId="77777777" w:rsidR="00A221D7" w:rsidRPr="00FF027F" w:rsidRDefault="00293AE9" w:rsidP="00133C49">
                <w:pPr>
                  <w:spacing w:line="240" w:lineRule="auto"/>
                  <w:ind w:left="202"/>
                  <w:jc w:val="left"/>
                  <w:rPr>
                    <w:rFonts w:ascii="Arial" w:hAnsi="Arial" w:cs="Arial"/>
                    <w:color w:val="FFFFFF" w:themeColor="background1"/>
                    <w:sz w:val="22"/>
                    <w:szCs w:val="22"/>
                    <w:highlight w:val="darkBlue"/>
                    <w:lang w:val="en-GB"/>
                  </w:rPr>
                </w:pPr>
                <w:r w:rsidRPr="00FF027F">
                  <w:rPr>
                    <w:rFonts w:ascii="Arial" w:hAnsi="Arial" w:cs="Arial"/>
                    <w:color w:val="FFFFFF" w:themeColor="background1"/>
                    <w:sz w:val="22"/>
                    <w:szCs w:val="22"/>
                    <w:highlight w:val="darkBlue"/>
                    <w:lang w:val="en-GB"/>
                  </w:rPr>
                  <w:t>Activity</w:t>
                </w:r>
              </w:p>
            </w:tc>
            <w:tc>
              <w:tcPr>
                <w:tcW w:w="6520" w:type="dxa"/>
              </w:tcPr>
              <w:p w14:paraId="2446FC43" w14:textId="28B0FEF5" w:rsidR="006A3756" w:rsidRPr="00FF027F" w:rsidRDefault="00FA6C9D" w:rsidP="00133C49">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Lunch-time presentations</w:t>
                </w:r>
              </w:p>
            </w:tc>
          </w:tr>
          <w:tr w:rsidR="00897435" w:rsidRPr="00FF027F" w14:paraId="6DD3993C" w14:textId="77777777" w:rsidTr="00897435">
            <w:tc>
              <w:tcPr>
                <w:tcW w:w="2552" w:type="dxa"/>
              </w:tcPr>
              <w:p w14:paraId="3EF352AB" w14:textId="77777777" w:rsidR="00897435" w:rsidRPr="00FF027F" w:rsidRDefault="00897435" w:rsidP="00133C49">
                <w:pPr>
                  <w:ind w:left="202"/>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17B74B61" w14:textId="743F5DCE" w:rsidR="00897435" w:rsidRPr="00FF027F" w:rsidRDefault="00FA6C9D" w:rsidP="00417F8A">
                <w:pPr>
                  <w:keepLines w:val="0"/>
                  <w:tabs>
                    <w:tab w:val="clear" w:pos="1985"/>
                    <w:tab w:val="clear" w:pos="5103"/>
                  </w:tabs>
                  <w:spacing w:line="240" w:lineRule="auto"/>
                  <w:ind w:left="202"/>
                  <w:jc w:val="left"/>
                  <w:rPr>
                    <w:rFonts w:ascii="Arial" w:hAnsi="Arial" w:cs="Arial"/>
                    <w:sz w:val="22"/>
                    <w:szCs w:val="22"/>
                    <w:lang w:val="en-GB"/>
                  </w:rPr>
                </w:pPr>
                <w:r w:rsidRPr="00FF027F">
                  <w:rPr>
                    <w:rFonts w:ascii="Arial" w:hAnsi="Arial" w:cs="Arial"/>
                    <w:sz w:val="22"/>
                    <w:szCs w:val="22"/>
                    <w:lang w:val="en-GB"/>
                  </w:rPr>
                  <w:t>The Agency organises monthly presentations in which ACER staff members present specific topics related to the Agency’s tasks to their colleagues</w:t>
                </w:r>
                <w:r w:rsidR="00C80806" w:rsidRPr="00FF027F">
                  <w:rPr>
                    <w:rFonts w:ascii="Arial" w:hAnsi="Arial" w:cs="Arial"/>
                    <w:sz w:val="22"/>
                    <w:szCs w:val="22"/>
                    <w:lang w:val="en-GB"/>
                  </w:rPr>
                  <w:t>.</w:t>
                </w:r>
              </w:p>
            </w:tc>
          </w:tr>
          <w:tr w:rsidR="00897435" w:rsidRPr="00FF027F" w14:paraId="533E0E10" w14:textId="77777777" w:rsidTr="00897435">
            <w:tc>
              <w:tcPr>
                <w:tcW w:w="2552" w:type="dxa"/>
              </w:tcPr>
              <w:p w14:paraId="69AA7A32" w14:textId="77777777" w:rsidR="00897435" w:rsidRPr="00FF027F" w:rsidRDefault="00897435" w:rsidP="00A92B42">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4C1EC37A" w14:textId="1163B864" w:rsidR="00897435" w:rsidRPr="00FF027F" w:rsidRDefault="00FA6C9D" w:rsidP="00417F8A">
                <w:pPr>
                  <w:spacing w:line="240" w:lineRule="auto"/>
                  <w:ind w:left="202"/>
                  <w:jc w:val="left"/>
                  <w:rPr>
                    <w:rFonts w:ascii="Arial" w:hAnsi="Arial" w:cs="Arial"/>
                    <w:sz w:val="22"/>
                    <w:szCs w:val="22"/>
                    <w:lang w:val="en-GB"/>
                  </w:rPr>
                </w:pPr>
                <w:r w:rsidRPr="00FF027F">
                  <w:rPr>
                    <w:rFonts w:ascii="Arial" w:hAnsi="Arial" w:cs="Arial"/>
                    <w:sz w:val="22"/>
                    <w:szCs w:val="22"/>
                    <w:lang w:val="en-GB"/>
                  </w:rPr>
                  <w:t>To provide staff with an opportunity to acquaint itself with the work and tasks of the various departments.</w:t>
                </w:r>
              </w:p>
            </w:tc>
          </w:tr>
          <w:tr w:rsidR="00897435" w:rsidRPr="00FF027F" w14:paraId="420189F9" w14:textId="77777777" w:rsidTr="00897435">
            <w:tc>
              <w:tcPr>
                <w:tcW w:w="2552" w:type="dxa"/>
              </w:tcPr>
              <w:p w14:paraId="0EAE677D" w14:textId="77777777" w:rsidR="00897435" w:rsidRPr="00FF027F" w:rsidRDefault="00897435" w:rsidP="00A92B42">
                <w:pPr>
                  <w:spacing w:line="240" w:lineRule="auto"/>
                  <w:ind w:left="202"/>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53C4DA8F" w14:textId="3DFE9648" w:rsidR="00897435" w:rsidRPr="00FF027F" w:rsidRDefault="00FA6C9D" w:rsidP="00417F8A">
                <w:pPr>
                  <w:spacing w:line="240" w:lineRule="auto"/>
                  <w:ind w:left="202"/>
                  <w:jc w:val="left"/>
                  <w:rPr>
                    <w:rFonts w:ascii="Arial" w:hAnsi="Arial" w:cs="Arial"/>
                    <w:sz w:val="22"/>
                    <w:szCs w:val="22"/>
                    <w:lang w:val="en-GB"/>
                  </w:rPr>
                </w:pPr>
                <w:r w:rsidRPr="00FF027F">
                  <w:rPr>
                    <w:rFonts w:ascii="Arial" w:hAnsi="Arial" w:cs="Arial"/>
                    <w:sz w:val="22"/>
                    <w:szCs w:val="22"/>
                    <w:lang w:val="en-GB"/>
                  </w:rPr>
                  <w:t>2/3 of staff satisfied or highly satisfied (measured through an internal newsletter survey)</w:t>
                </w:r>
                <w:r w:rsidR="00C80806" w:rsidRPr="00FF027F">
                  <w:rPr>
                    <w:rFonts w:ascii="Arial" w:hAnsi="Arial" w:cs="Arial"/>
                    <w:sz w:val="22"/>
                    <w:szCs w:val="22"/>
                    <w:lang w:val="en-GB"/>
                  </w:rPr>
                  <w:t>.</w:t>
                </w:r>
              </w:p>
            </w:tc>
          </w:tr>
          <w:tr w:rsidR="00897435" w:rsidRPr="00FF027F" w14:paraId="693C1857" w14:textId="77777777" w:rsidTr="00897435">
            <w:tc>
              <w:tcPr>
                <w:tcW w:w="2552" w:type="dxa"/>
              </w:tcPr>
              <w:p w14:paraId="5016F01F" w14:textId="77777777" w:rsidR="00897435" w:rsidRPr="00FF027F" w:rsidRDefault="00897435" w:rsidP="00133C49">
                <w:pPr>
                  <w:ind w:left="202"/>
                  <w:rPr>
                    <w:rFonts w:ascii="Arial" w:hAnsi="Arial" w:cs="Arial"/>
                    <w:sz w:val="22"/>
                    <w:szCs w:val="22"/>
                    <w:lang w:val="en-GB"/>
                  </w:rPr>
                </w:pPr>
                <w:r w:rsidRPr="00FF027F">
                  <w:rPr>
                    <w:rFonts w:ascii="Arial" w:hAnsi="Arial" w:cs="Arial"/>
                    <w:sz w:val="22"/>
                    <w:szCs w:val="22"/>
                    <w:lang w:val="en-GB"/>
                  </w:rPr>
                  <w:t>Staff</w:t>
                </w:r>
              </w:p>
            </w:tc>
            <w:tc>
              <w:tcPr>
                <w:tcW w:w="6520" w:type="dxa"/>
              </w:tcPr>
              <w:p w14:paraId="1B06A6DC" w14:textId="30A72403" w:rsidR="00897435" w:rsidRPr="00FF027F" w:rsidRDefault="00FA6C9D" w:rsidP="00417F8A">
                <w:pPr>
                  <w:spacing w:line="240" w:lineRule="auto"/>
                  <w:ind w:left="202"/>
                  <w:jc w:val="left"/>
                  <w:rPr>
                    <w:rFonts w:ascii="Arial" w:hAnsi="Arial" w:cs="Arial"/>
                    <w:sz w:val="22"/>
                    <w:szCs w:val="22"/>
                    <w:lang w:val="en-GB"/>
                  </w:rPr>
                </w:pPr>
                <w:r w:rsidRPr="00FF027F">
                  <w:rPr>
                    <w:rFonts w:ascii="Arial" w:hAnsi="Arial" w:cs="Arial"/>
                    <w:sz w:val="22"/>
                    <w:szCs w:val="22"/>
                    <w:lang w:val="en-GB"/>
                  </w:rPr>
                  <w:t>0.1</w:t>
                </w:r>
                <w:r w:rsidR="00EF7A9A" w:rsidRPr="00FF027F">
                  <w:rPr>
                    <w:rFonts w:ascii="Arial" w:hAnsi="Arial" w:cs="Arial"/>
                    <w:sz w:val="22"/>
                    <w:szCs w:val="22"/>
                    <w:lang w:val="en-GB"/>
                  </w:rPr>
                  <w:t xml:space="preserve"> FTE</w:t>
                </w:r>
              </w:p>
            </w:tc>
          </w:tr>
          <w:tr w:rsidR="00897435" w:rsidRPr="00FF027F" w14:paraId="68602E55" w14:textId="77777777" w:rsidTr="00897435">
            <w:tc>
              <w:tcPr>
                <w:tcW w:w="2552" w:type="dxa"/>
              </w:tcPr>
              <w:p w14:paraId="417EBA51" w14:textId="77777777" w:rsidR="00897435" w:rsidRPr="00FF027F" w:rsidRDefault="001013B8" w:rsidP="00133C49">
                <w:pPr>
                  <w:ind w:left="202"/>
                  <w:rPr>
                    <w:rFonts w:ascii="Arial" w:hAnsi="Arial" w:cs="Arial"/>
                    <w:sz w:val="22"/>
                    <w:szCs w:val="22"/>
                    <w:lang w:val="en-GB"/>
                  </w:rPr>
                </w:pPr>
                <w:r w:rsidRPr="00FF027F">
                  <w:rPr>
                    <w:rFonts w:ascii="Arial" w:hAnsi="Arial" w:cs="Arial"/>
                    <w:sz w:val="22"/>
                    <w:szCs w:val="22"/>
                    <w:lang w:val="en-GB"/>
                  </w:rPr>
                  <w:t>Risks</w:t>
                </w:r>
              </w:p>
            </w:tc>
            <w:tc>
              <w:tcPr>
                <w:tcW w:w="6520" w:type="dxa"/>
              </w:tcPr>
              <w:p w14:paraId="35BE80CE" w14:textId="748A56BD" w:rsidR="00897435" w:rsidRPr="00FF027F" w:rsidRDefault="00FA6C9D" w:rsidP="00417F8A">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Attendance may be erratic, as events are planned well in advance and the Agency’s workload may sometimes prevent registered colleagues form participating. </w:t>
                </w:r>
              </w:p>
            </w:tc>
          </w:tr>
        </w:tbl>
        <w:p w14:paraId="4CDE685E" w14:textId="77777777" w:rsidR="00E96C25" w:rsidRPr="00FF027F" w:rsidRDefault="00E96C25" w:rsidP="0060640B">
          <w:pPr>
            <w:spacing w:before="120" w:after="120" w:line="360" w:lineRule="auto"/>
            <w:rPr>
              <w:rFonts w:ascii="Arial" w:hAnsi="Arial" w:cs="Arial"/>
              <w:lang w:val="en-GB"/>
            </w:rPr>
          </w:pPr>
        </w:p>
        <w:tbl>
          <w:tblPr>
            <w:tblStyle w:val="TableGrid8"/>
            <w:tblW w:w="0" w:type="auto"/>
            <w:tblInd w:w="108" w:type="dxa"/>
            <w:tblLook w:val="04A0" w:firstRow="1" w:lastRow="0" w:firstColumn="1" w:lastColumn="0" w:noHBand="0" w:noVBand="1"/>
          </w:tblPr>
          <w:tblGrid>
            <w:gridCol w:w="2524"/>
            <w:gridCol w:w="6379"/>
          </w:tblGrid>
          <w:tr w:rsidR="00713AE1" w:rsidRPr="00FF027F" w14:paraId="1F1C1604" w14:textId="77777777" w:rsidTr="00154D7B">
            <w:trPr>
              <w:cnfStyle w:val="100000000000" w:firstRow="1" w:lastRow="0" w:firstColumn="0" w:lastColumn="0" w:oddVBand="0" w:evenVBand="0" w:oddHBand="0" w:evenHBand="0" w:firstRowFirstColumn="0" w:firstRowLastColumn="0" w:lastRowFirstColumn="0" w:lastRowLastColumn="0"/>
              <w:trHeight w:val="879"/>
            </w:trPr>
            <w:tc>
              <w:tcPr>
                <w:tcW w:w="2552" w:type="dxa"/>
              </w:tcPr>
              <w:p w14:paraId="0B56B0CC" w14:textId="635A05E1" w:rsidR="00713AE1" w:rsidRPr="00FF027F" w:rsidRDefault="008A42C6" w:rsidP="00A92B42">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Activity</w:t>
                </w:r>
              </w:p>
            </w:tc>
            <w:tc>
              <w:tcPr>
                <w:tcW w:w="6520" w:type="dxa"/>
              </w:tcPr>
              <w:p w14:paraId="17C94300" w14:textId="7BF2858B" w:rsidR="006A3756" w:rsidRPr="00FF027F" w:rsidRDefault="00BA31EA" w:rsidP="00A92B42">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ACER intranet as a tool to support internal communication</w:t>
                </w:r>
              </w:p>
            </w:tc>
          </w:tr>
          <w:tr w:rsidR="00897435" w:rsidRPr="00FF027F" w14:paraId="305EFF36" w14:textId="77777777" w:rsidTr="00154D7B">
            <w:tc>
              <w:tcPr>
                <w:tcW w:w="2552" w:type="dxa"/>
              </w:tcPr>
              <w:p w14:paraId="13856814" w14:textId="77777777" w:rsidR="00897435" w:rsidRPr="00FF027F" w:rsidRDefault="00897435" w:rsidP="00A92B42">
                <w:pPr>
                  <w:ind w:left="202"/>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7FF68BD2" w14:textId="4C2E45C8" w:rsidR="00897435" w:rsidRPr="00FF027F" w:rsidRDefault="00154D7B" w:rsidP="00154D7B">
                <w:pPr>
                  <w:keepLines w:val="0"/>
                  <w:tabs>
                    <w:tab w:val="clear" w:pos="1985"/>
                    <w:tab w:val="clear" w:pos="5103"/>
                  </w:tabs>
                  <w:spacing w:line="240" w:lineRule="auto"/>
                  <w:ind w:left="202"/>
                  <w:jc w:val="left"/>
                  <w:rPr>
                    <w:rFonts w:ascii="Arial" w:hAnsi="Arial" w:cs="Arial"/>
                    <w:sz w:val="22"/>
                    <w:szCs w:val="22"/>
                    <w:lang w:val="en-GB"/>
                  </w:rPr>
                </w:pPr>
                <w:r w:rsidRPr="00FF027F">
                  <w:rPr>
                    <w:rFonts w:ascii="Arial" w:hAnsi="Arial" w:cs="Arial"/>
                    <w:sz w:val="22"/>
                    <w:szCs w:val="22"/>
                    <w:lang w:val="en-GB"/>
                  </w:rPr>
                  <w:t>ACER’s intranet has been further developed to include all information relevant to ACER staff (including legal acts, HR issues, medical issues, policies, etc.).</w:t>
                </w:r>
              </w:p>
            </w:tc>
          </w:tr>
          <w:tr w:rsidR="00897435" w:rsidRPr="00FF027F" w14:paraId="0E7D99BB" w14:textId="77777777" w:rsidTr="00154D7B">
            <w:tc>
              <w:tcPr>
                <w:tcW w:w="2552" w:type="dxa"/>
              </w:tcPr>
              <w:p w14:paraId="47718146" w14:textId="77777777" w:rsidR="00897435" w:rsidRPr="00FF027F" w:rsidRDefault="00897435" w:rsidP="00A92B42">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68AAC405" w14:textId="77777777" w:rsidR="00897435" w:rsidRPr="00FF027F" w:rsidRDefault="00154D7B" w:rsidP="00154D7B">
                <w:pPr>
                  <w:spacing w:line="240" w:lineRule="auto"/>
                  <w:ind w:left="202"/>
                  <w:jc w:val="left"/>
                  <w:rPr>
                    <w:rFonts w:ascii="Arial" w:hAnsi="Arial" w:cs="Arial"/>
                    <w:sz w:val="22"/>
                    <w:szCs w:val="22"/>
                    <w:lang w:val="en-GB"/>
                  </w:rPr>
                </w:pPr>
                <w:r w:rsidRPr="00FF027F">
                  <w:rPr>
                    <w:rFonts w:ascii="Arial" w:hAnsi="Arial" w:cs="Arial"/>
                    <w:sz w:val="22"/>
                    <w:szCs w:val="22"/>
                    <w:lang w:val="en-GB"/>
                  </w:rPr>
                  <w:t>To provide new features and services according to staff needs and demands.</w:t>
                </w:r>
              </w:p>
              <w:p w14:paraId="68793F48" w14:textId="3EB8C38E" w:rsidR="00154D7B" w:rsidRPr="00FF027F" w:rsidRDefault="00154D7B" w:rsidP="00154D7B">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To keep information updated and easily </w:t>
                </w:r>
                <w:r w:rsidR="00FA6C9D" w:rsidRPr="00FF027F">
                  <w:rPr>
                    <w:rFonts w:ascii="Arial" w:hAnsi="Arial" w:cs="Arial"/>
                    <w:sz w:val="22"/>
                    <w:szCs w:val="22"/>
                    <w:lang w:val="en-GB"/>
                  </w:rPr>
                  <w:t>retrievable</w:t>
                </w:r>
                <w:r w:rsidRPr="00FF027F">
                  <w:rPr>
                    <w:rFonts w:ascii="Arial" w:hAnsi="Arial" w:cs="Arial"/>
                    <w:sz w:val="22"/>
                    <w:szCs w:val="22"/>
                    <w:lang w:val="en-GB"/>
                  </w:rPr>
                  <w:t>.</w:t>
                </w:r>
              </w:p>
            </w:tc>
          </w:tr>
          <w:tr w:rsidR="00897435" w:rsidRPr="00FF027F" w14:paraId="20CB6946" w14:textId="77777777" w:rsidTr="00154D7B">
            <w:tc>
              <w:tcPr>
                <w:tcW w:w="2552" w:type="dxa"/>
              </w:tcPr>
              <w:p w14:paraId="037F55FB" w14:textId="77777777" w:rsidR="00897435" w:rsidRPr="00FF027F" w:rsidRDefault="00897435" w:rsidP="00A92B42">
                <w:pPr>
                  <w:spacing w:line="240" w:lineRule="auto"/>
                  <w:ind w:left="202"/>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5C28B1A5" w14:textId="77777777" w:rsidR="00154D7B" w:rsidRPr="00FF027F" w:rsidRDefault="00154D7B" w:rsidP="00154D7B">
                <w:pPr>
                  <w:spacing w:line="240" w:lineRule="auto"/>
                  <w:ind w:left="202"/>
                  <w:rPr>
                    <w:rFonts w:ascii="Arial" w:hAnsi="Arial" w:cs="Arial"/>
                    <w:sz w:val="22"/>
                    <w:szCs w:val="22"/>
                    <w:lang w:val="en-GB"/>
                  </w:rPr>
                </w:pPr>
                <w:r w:rsidRPr="00FF027F">
                  <w:rPr>
                    <w:rFonts w:ascii="Arial" w:hAnsi="Arial" w:cs="Arial"/>
                    <w:sz w:val="22"/>
                    <w:szCs w:val="22"/>
                    <w:lang w:val="en-GB"/>
                  </w:rPr>
                  <w:t>Question included in the annual staff survey on the level of information shared by line managers.</w:t>
                </w:r>
              </w:p>
              <w:p w14:paraId="471236C1" w14:textId="2033F46A" w:rsidR="00897435" w:rsidRPr="00FF027F" w:rsidRDefault="00154D7B" w:rsidP="00154D7B">
                <w:pPr>
                  <w:spacing w:line="240" w:lineRule="auto"/>
                  <w:ind w:left="202"/>
                  <w:jc w:val="left"/>
                  <w:rPr>
                    <w:rFonts w:ascii="Arial" w:hAnsi="Arial" w:cs="Arial"/>
                    <w:sz w:val="22"/>
                    <w:szCs w:val="22"/>
                    <w:lang w:val="en-GB"/>
                  </w:rPr>
                </w:pPr>
                <w:r w:rsidRPr="00FF027F">
                  <w:rPr>
                    <w:rFonts w:ascii="Arial" w:hAnsi="Arial" w:cs="Arial"/>
                    <w:sz w:val="22"/>
                    <w:szCs w:val="22"/>
                    <w:lang w:val="en-GB"/>
                  </w:rPr>
                  <w:t>2/3 of participating staff satisfied or highly satisfied.</w:t>
                </w:r>
              </w:p>
            </w:tc>
          </w:tr>
          <w:tr w:rsidR="00897435" w:rsidRPr="00FF027F" w14:paraId="1C830DC4" w14:textId="77777777" w:rsidTr="00154D7B">
            <w:tc>
              <w:tcPr>
                <w:tcW w:w="2552" w:type="dxa"/>
              </w:tcPr>
              <w:p w14:paraId="36927022" w14:textId="77777777" w:rsidR="00897435" w:rsidRPr="00FF027F" w:rsidRDefault="00897435" w:rsidP="00A92B42">
                <w:pPr>
                  <w:ind w:left="202"/>
                  <w:rPr>
                    <w:rFonts w:ascii="Arial" w:hAnsi="Arial" w:cs="Arial"/>
                    <w:sz w:val="22"/>
                    <w:szCs w:val="22"/>
                    <w:lang w:val="en-GB"/>
                  </w:rPr>
                </w:pPr>
                <w:r w:rsidRPr="00FF027F">
                  <w:rPr>
                    <w:rFonts w:ascii="Arial" w:hAnsi="Arial" w:cs="Arial"/>
                    <w:sz w:val="22"/>
                    <w:szCs w:val="22"/>
                    <w:lang w:val="en-GB"/>
                  </w:rPr>
                  <w:t>Staff</w:t>
                </w:r>
              </w:p>
            </w:tc>
            <w:tc>
              <w:tcPr>
                <w:tcW w:w="6520" w:type="dxa"/>
              </w:tcPr>
              <w:p w14:paraId="2AE489B1" w14:textId="03BEF4A3" w:rsidR="00897435" w:rsidRPr="00FF027F" w:rsidRDefault="00154D7B" w:rsidP="00154D7B">
                <w:pPr>
                  <w:spacing w:line="240" w:lineRule="auto"/>
                  <w:ind w:left="202"/>
                  <w:rPr>
                    <w:rFonts w:ascii="Arial" w:hAnsi="Arial" w:cs="Arial"/>
                    <w:sz w:val="22"/>
                    <w:szCs w:val="22"/>
                    <w:lang w:val="en-GB"/>
                  </w:rPr>
                </w:pPr>
                <w:r w:rsidRPr="00FF027F">
                  <w:rPr>
                    <w:rFonts w:ascii="Arial" w:hAnsi="Arial" w:cs="Arial"/>
                    <w:sz w:val="22"/>
                    <w:szCs w:val="22"/>
                    <w:lang w:val="en-GB"/>
                  </w:rPr>
                  <w:t>0.1 FTE</w:t>
                </w:r>
              </w:p>
            </w:tc>
          </w:tr>
          <w:tr w:rsidR="00897435" w:rsidRPr="00FF027F" w14:paraId="216B560B" w14:textId="77777777" w:rsidTr="00154D7B">
            <w:tc>
              <w:tcPr>
                <w:tcW w:w="2552" w:type="dxa"/>
              </w:tcPr>
              <w:p w14:paraId="6AB3D019" w14:textId="77777777" w:rsidR="00897435" w:rsidRPr="00FF027F" w:rsidRDefault="001013B8" w:rsidP="00A92B42">
                <w:pPr>
                  <w:ind w:left="202"/>
                  <w:rPr>
                    <w:rFonts w:ascii="Arial" w:hAnsi="Arial" w:cs="Arial"/>
                    <w:sz w:val="22"/>
                    <w:szCs w:val="22"/>
                    <w:lang w:val="en-GB"/>
                  </w:rPr>
                </w:pPr>
                <w:r w:rsidRPr="00FF027F">
                  <w:rPr>
                    <w:rFonts w:ascii="Arial" w:hAnsi="Arial" w:cs="Arial"/>
                    <w:sz w:val="22"/>
                    <w:szCs w:val="22"/>
                    <w:lang w:val="en-GB"/>
                  </w:rPr>
                  <w:t>Risks</w:t>
                </w:r>
              </w:p>
            </w:tc>
            <w:tc>
              <w:tcPr>
                <w:tcW w:w="6520" w:type="dxa"/>
              </w:tcPr>
              <w:p w14:paraId="0F433C41" w14:textId="40F1F11C" w:rsidR="00154D7B" w:rsidRPr="00FF027F" w:rsidRDefault="00154D7B" w:rsidP="00154D7B">
                <w:pPr>
                  <w:spacing w:line="240" w:lineRule="auto"/>
                  <w:ind w:left="202"/>
                  <w:rPr>
                    <w:rFonts w:ascii="Arial" w:hAnsi="Arial" w:cs="Arial"/>
                    <w:sz w:val="22"/>
                    <w:szCs w:val="22"/>
                    <w:lang w:val="en-GB"/>
                  </w:rPr>
                </w:pPr>
                <w:r w:rsidRPr="00FF027F">
                  <w:rPr>
                    <w:rFonts w:ascii="Arial" w:hAnsi="Arial" w:cs="Arial"/>
                    <w:sz w:val="22"/>
                    <w:szCs w:val="22"/>
                    <w:lang w:val="en-GB"/>
                  </w:rPr>
                  <w:t>No appreciable risk.</w:t>
                </w:r>
              </w:p>
            </w:tc>
          </w:tr>
        </w:tbl>
        <w:p w14:paraId="4F1038C0" w14:textId="77777777" w:rsidR="00154D7B" w:rsidRPr="00FF027F" w:rsidRDefault="00154D7B">
          <w:pPr>
            <w:rPr>
              <w:lang w:val="en-GB"/>
            </w:rPr>
          </w:pPr>
        </w:p>
        <w:tbl>
          <w:tblPr>
            <w:tblStyle w:val="TableGrid8"/>
            <w:tblW w:w="0" w:type="auto"/>
            <w:tblInd w:w="108" w:type="dxa"/>
            <w:tblLook w:val="04A0" w:firstRow="1" w:lastRow="0" w:firstColumn="1" w:lastColumn="0" w:noHBand="0" w:noVBand="1"/>
          </w:tblPr>
          <w:tblGrid>
            <w:gridCol w:w="2535"/>
            <w:gridCol w:w="6368"/>
          </w:tblGrid>
          <w:tr w:rsidR="00A221D7" w:rsidRPr="00FF027F" w14:paraId="086CB61B" w14:textId="77777777" w:rsidTr="00E608DC">
            <w:trPr>
              <w:cnfStyle w:val="100000000000" w:firstRow="1" w:lastRow="0" w:firstColumn="0" w:lastColumn="0" w:oddVBand="0" w:evenVBand="0" w:oddHBand="0" w:evenHBand="0" w:firstRowFirstColumn="0" w:firstRowLastColumn="0" w:lastRowFirstColumn="0" w:lastRowLastColumn="0"/>
              <w:trHeight w:val="142"/>
            </w:trPr>
            <w:tc>
              <w:tcPr>
                <w:tcW w:w="2552" w:type="dxa"/>
              </w:tcPr>
              <w:p w14:paraId="4AED7B7B" w14:textId="1CBB84C8" w:rsidR="00A221D7" w:rsidRPr="00FF027F" w:rsidRDefault="00A221D7" w:rsidP="00A92B42">
                <w:pPr>
                  <w:spacing w:line="240" w:lineRule="auto"/>
                  <w:ind w:left="202"/>
                  <w:jc w:val="left"/>
                  <w:rPr>
                    <w:rFonts w:ascii="Arial" w:hAnsi="Arial" w:cs="Arial"/>
                    <w:color w:val="auto"/>
                    <w:sz w:val="22"/>
                    <w:szCs w:val="22"/>
                    <w:lang w:val="en-GB"/>
                  </w:rPr>
                </w:pPr>
                <w:r w:rsidRPr="00FF027F">
                  <w:rPr>
                    <w:rFonts w:ascii="Arial" w:hAnsi="Arial" w:cs="Arial"/>
                    <w:color w:val="auto"/>
                    <w:sz w:val="22"/>
                    <w:szCs w:val="22"/>
                    <w:lang w:val="en-GB"/>
                  </w:rPr>
                  <w:t xml:space="preserve">TOTAL STAFF on </w:t>
                </w:r>
                <w:r w:rsidR="00892531" w:rsidRPr="00FF027F">
                  <w:rPr>
                    <w:rFonts w:ascii="Arial" w:hAnsi="Arial" w:cs="Arial"/>
                    <w:color w:val="auto"/>
                    <w:sz w:val="22"/>
                    <w:szCs w:val="22"/>
                    <w:lang w:val="en-GB"/>
                  </w:rPr>
                  <w:t>c</w:t>
                </w:r>
                <w:r w:rsidRPr="00FF027F">
                  <w:rPr>
                    <w:rFonts w:ascii="Arial" w:hAnsi="Arial" w:cs="Arial"/>
                    <w:color w:val="auto"/>
                    <w:sz w:val="22"/>
                    <w:szCs w:val="22"/>
                    <w:lang w:val="en-GB"/>
                  </w:rPr>
                  <w:t>ommunication activities</w:t>
                </w:r>
              </w:p>
            </w:tc>
            <w:tc>
              <w:tcPr>
                <w:tcW w:w="6520" w:type="dxa"/>
              </w:tcPr>
              <w:p w14:paraId="13A6FE0B" w14:textId="7B4A5281" w:rsidR="00A221D7" w:rsidRPr="00FF027F" w:rsidRDefault="00E608DC" w:rsidP="00A92B42">
                <w:pPr>
                  <w:spacing w:line="240" w:lineRule="auto"/>
                  <w:ind w:left="202"/>
                  <w:jc w:val="left"/>
                  <w:rPr>
                    <w:rFonts w:ascii="Arial" w:hAnsi="Arial" w:cs="Arial"/>
                    <w:b w:val="0"/>
                    <w:color w:val="auto"/>
                    <w:sz w:val="22"/>
                    <w:szCs w:val="22"/>
                    <w:lang w:val="en-GB"/>
                  </w:rPr>
                </w:pPr>
                <w:r w:rsidRPr="00FF027F">
                  <w:rPr>
                    <w:rFonts w:ascii="Arial" w:hAnsi="Arial" w:cs="Arial"/>
                    <w:b w:val="0"/>
                    <w:color w:val="auto"/>
                    <w:sz w:val="22"/>
                    <w:szCs w:val="22"/>
                    <w:lang w:val="en-GB"/>
                  </w:rPr>
                  <w:t>2.0 FTE</w:t>
                </w:r>
              </w:p>
            </w:tc>
          </w:tr>
          <w:tr w:rsidR="00E608DC" w:rsidRPr="00FF027F" w14:paraId="0C970718" w14:textId="77777777" w:rsidTr="00E608DC">
            <w:tblPrEx>
              <w:shd w:val="solid" w:color="FFFFFF" w:themeColor="background1" w:fill="FFFFFF"/>
            </w:tblPrEx>
            <w:trPr>
              <w:trHeight w:val="85"/>
            </w:trPr>
            <w:tc>
              <w:tcPr>
                <w:tcW w:w="2552" w:type="dxa"/>
                <w:shd w:val="solid" w:color="FFFFFF" w:themeColor="background1" w:fill="FFFFFF"/>
              </w:tcPr>
              <w:p w14:paraId="498FCEB6" w14:textId="77777777" w:rsidR="00E608DC" w:rsidRPr="00FF027F" w:rsidRDefault="00E608DC" w:rsidP="00655254">
                <w:pPr>
                  <w:keepLines w:val="0"/>
                  <w:tabs>
                    <w:tab w:val="clear" w:pos="1985"/>
                    <w:tab w:val="clear" w:pos="5103"/>
                  </w:tabs>
                  <w:spacing w:line="240" w:lineRule="auto"/>
                  <w:ind w:left="202"/>
                  <w:jc w:val="left"/>
                  <w:rPr>
                    <w:rFonts w:ascii="Arial" w:hAnsi="Arial" w:cs="Arial"/>
                    <w:b/>
                    <w:sz w:val="22"/>
                    <w:szCs w:val="22"/>
                    <w:lang w:val="en-GB"/>
                  </w:rPr>
                </w:pPr>
                <w:bookmarkStart w:id="107" w:name="_Toc358640717"/>
                <w:bookmarkStart w:id="108" w:name="_Toc358640930"/>
                <w:r w:rsidRPr="00FF027F">
                  <w:rPr>
                    <w:rFonts w:ascii="Arial" w:hAnsi="Arial" w:cs="Arial"/>
                    <w:sz w:val="22"/>
                    <w:szCs w:val="22"/>
                    <w:lang w:val="en-GB"/>
                  </w:rPr>
                  <w:t>Overall risk assessment for communication activities</w:t>
                </w:r>
              </w:p>
            </w:tc>
            <w:tc>
              <w:tcPr>
                <w:tcW w:w="6520" w:type="dxa"/>
                <w:shd w:val="solid" w:color="FFFFFF" w:themeColor="background1" w:fill="FFFFFF"/>
              </w:tcPr>
              <w:p w14:paraId="2CF9F775" w14:textId="77777777" w:rsidR="00E608DC" w:rsidRPr="00FF027F" w:rsidRDefault="00E608DC" w:rsidP="00655254">
                <w:pPr>
                  <w:keepLines w:val="0"/>
                  <w:tabs>
                    <w:tab w:val="clear" w:pos="1985"/>
                    <w:tab w:val="clear" w:pos="5103"/>
                  </w:tabs>
                  <w:spacing w:line="240" w:lineRule="auto"/>
                  <w:ind w:left="202"/>
                  <w:jc w:val="left"/>
                  <w:rPr>
                    <w:rFonts w:ascii="Arial" w:hAnsi="Arial" w:cs="Arial"/>
                    <w:b/>
                    <w:sz w:val="22"/>
                    <w:szCs w:val="22"/>
                    <w:lang w:val="en-GB"/>
                  </w:rPr>
                </w:pPr>
                <w:r w:rsidRPr="00FF027F">
                  <w:rPr>
                    <w:rFonts w:ascii="Arial" w:hAnsi="Arial" w:cs="Arial"/>
                    <w:sz w:val="22"/>
                    <w:szCs w:val="22"/>
                    <w:lang w:val="en-GB"/>
                  </w:rPr>
                  <w:t>Human resources constraints in communication and IT support for the ACER website could result in delays when providing public information to stakeholders.</w:t>
                </w:r>
              </w:p>
            </w:tc>
          </w:tr>
        </w:tbl>
        <w:p w14:paraId="4D92CF92" w14:textId="72522771" w:rsidR="00544C04" w:rsidRPr="00FF027F" w:rsidRDefault="00A221D7" w:rsidP="00544C04">
          <w:pPr>
            <w:pStyle w:val="Heading3"/>
            <w:rPr>
              <w:color w:val="4F81BD" w:themeColor="accent1"/>
            </w:rPr>
          </w:pPr>
          <w:bookmarkStart w:id="109" w:name="_Toc396913802"/>
          <w:r w:rsidRPr="00FF027F">
            <w:rPr>
              <w:color w:val="4F81BD" w:themeColor="accent1"/>
            </w:rPr>
            <w:t>The Agency</w:t>
          </w:r>
          <w:r w:rsidR="004D61AA" w:rsidRPr="00FF027F">
            <w:rPr>
              <w:color w:val="4F81BD" w:themeColor="accent1"/>
            </w:rPr>
            <w:t>’s</w:t>
          </w:r>
          <w:r w:rsidRPr="00FF027F">
            <w:rPr>
              <w:color w:val="4F81BD" w:themeColor="accent1"/>
            </w:rPr>
            <w:t xml:space="preserve"> </w:t>
          </w:r>
          <w:r w:rsidR="0088132B" w:rsidRPr="00FF027F">
            <w:rPr>
              <w:color w:val="4F81BD" w:themeColor="accent1"/>
            </w:rPr>
            <w:t>P</w:t>
          </w:r>
          <w:r w:rsidRPr="00FF027F">
            <w:rPr>
              <w:color w:val="4F81BD" w:themeColor="accent1"/>
            </w:rPr>
            <w:t>remises</w:t>
          </w:r>
          <w:bookmarkEnd w:id="107"/>
          <w:bookmarkEnd w:id="108"/>
          <w:bookmarkEnd w:id="109"/>
          <w:r w:rsidR="00D93276" w:rsidRPr="00FF027F">
            <w:rPr>
              <w:color w:val="4F81BD" w:themeColor="accent1"/>
            </w:rPr>
            <w:t xml:space="preserve"> </w:t>
          </w:r>
        </w:p>
        <w:p w14:paraId="6FD737FD" w14:textId="50ABC484" w:rsidR="00EF2C23" w:rsidRPr="00FF027F" w:rsidRDefault="00EF2C23" w:rsidP="00EF2C23">
          <w:pPr>
            <w:pStyle w:val="11ptVerdanaBold"/>
            <w:spacing w:before="360" w:after="360" w:line="360" w:lineRule="auto"/>
            <w:jc w:val="both"/>
            <w:rPr>
              <w:rFonts w:ascii="Arial" w:hAnsi="Arial" w:cs="Arial"/>
              <w:b w:val="0"/>
              <w:szCs w:val="22"/>
            </w:rPr>
          </w:pPr>
          <w:r w:rsidRPr="00FF027F">
            <w:rPr>
              <w:rFonts w:ascii="Arial" w:hAnsi="Arial" w:cs="Arial"/>
              <w:b w:val="0"/>
              <w:szCs w:val="22"/>
            </w:rPr>
            <w:t>In October 2012 the Agency launched a procurement procedure to select its permanent premises, taking into account the increase of the Agency staff as a result the new tasks assigned to the Agency by REMIT and the TEN-E Regulation. On 1 February 2014 the Agency established itself in its permanent premises in Ljubljana, with an option for expansion. In the course of the coming years certain adaptations and changes might be needed, depending on the use of the premises.</w:t>
          </w:r>
        </w:p>
        <w:tbl>
          <w:tblPr>
            <w:tblStyle w:val="TableGrid8"/>
            <w:tblW w:w="0" w:type="auto"/>
            <w:tblInd w:w="108" w:type="dxa"/>
            <w:tblLook w:val="04A0" w:firstRow="1" w:lastRow="0" w:firstColumn="1" w:lastColumn="0" w:noHBand="0" w:noVBand="1"/>
          </w:tblPr>
          <w:tblGrid>
            <w:gridCol w:w="2526"/>
            <w:gridCol w:w="6377"/>
          </w:tblGrid>
          <w:tr w:rsidR="00E952E0" w:rsidRPr="00FF027F" w14:paraId="6B5CAC38" w14:textId="77777777" w:rsidTr="00897435">
            <w:trPr>
              <w:cnfStyle w:val="100000000000" w:firstRow="1" w:lastRow="0" w:firstColumn="0" w:lastColumn="0" w:oddVBand="0" w:evenVBand="0" w:oddHBand="0" w:evenHBand="0" w:firstRowFirstColumn="0" w:firstRowLastColumn="0" w:lastRowFirstColumn="0" w:lastRowLastColumn="0"/>
              <w:trHeight w:val="529"/>
            </w:trPr>
            <w:tc>
              <w:tcPr>
                <w:tcW w:w="2552" w:type="dxa"/>
              </w:tcPr>
              <w:p w14:paraId="3A0D982F" w14:textId="77777777" w:rsidR="00E952E0" w:rsidRPr="00FF027F" w:rsidRDefault="00E66C7E" w:rsidP="00AD1F96">
                <w:pPr>
                  <w:spacing w:line="240" w:lineRule="auto"/>
                  <w:ind w:left="202"/>
                  <w:jc w:val="left"/>
                  <w:rPr>
                    <w:rFonts w:ascii="Arial" w:hAnsi="Arial" w:cs="Arial"/>
                    <w:sz w:val="22"/>
                    <w:szCs w:val="22"/>
                    <w:lang w:val="en-GB"/>
                  </w:rPr>
                </w:pPr>
                <w:r w:rsidRPr="00FF027F">
                  <w:rPr>
                    <w:rFonts w:ascii="Arial" w:hAnsi="Arial" w:cs="Arial"/>
                    <w:color w:val="FFFFFF" w:themeColor="background1"/>
                    <w:sz w:val="22"/>
                    <w:szCs w:val="22"/>
                    <w:lang w:val="en-GB"/>
                  </w:rPr>
                  <w:t>Activity</w:t>
                </w:r>
              </w:p>
            </w:tc>
            <w:tc>
              <w:tcPr>
                <w:tcW w:w="6520" w:type="dxa"/>
              </w:tcPr>
              <w:p w14:paraId="36941E56" w14:textId="07CB01C6" w:rsidR="00E66C7E" w:rsidRPr="00FF027F" w:rsidRDefault="00E66C7E" w:rsidP="00EB3D78">
                <w:pPr>
                  <w:pStyle w:val="ListParagraph"/>
                  <w:spacing w:after="120"/>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Pr</w:t>
                </w:r>
                <w:r w:rsidR="00EB3D78" w:rsidRPr="00FF027F">
                  <w:rPr>
                    <w:rFonts w:ascii="Arial" w:hAnsi="Arial" w:cs="Arial"/>
                    <w:color w:val="FFFFFF" w:themeColor="background1"/>
                    <w:sz w:val="22"/>
                    <w:szCs w:val="22"/>
                    <w:lang w:val="en-GB"/>
                  </w:rPr>
                  <w:t>ocurement</w:t>
                </w:r>
                <w:r w:rsidR="002427B9" w:rsidRPr="00FF027F">
                  <w:rPr>
                    <w:rFonts w:ascii="Arial" w:hAnsi="Arial" w:cs="Arial"/>
                    <w:color w:val="FFFFFF" w:themeColor="background1"/>
                    <w:sz w:val="22"/>
                    <w:szCs w:val="22"/>
                    <w:lang w:val="en-GB"/>
                  </w:rPr>
                  <w:t xml:space="preserve"> </w:t>
                </w:r>
                <w:r w:rsidR="00737517" w:rsidRPr="00FF027F">
                  <w:rPr>
                    <w:rFonts w:ascii="Arial" w:hAnsi="Arial" w:cs="Arial"/>
                    <w:color w:val="FFFFFF" w:themeColor="background1"/>
                    <w:sz w:val="22"/>
                    <w:szCs w:val="22"/>
                    <w:lang w:val="en-GB"/>
                  </w:rPr>
                  <w:t>and facility management</w:t>
                </w:r>
              </w:p>
            </w:tc>
          </w:tr>
          <w:tr w:rsidR="00897435" w:rsidRPr="00FF027F" w14:paraId="0A2C9825" w14:textId="77777777" w:rsidTr="00897435">
            <w:tc>
              <w:tcPr>
                <w:tcW w:w="2552" w:type="dxa"/>
              </w:tcPr>
              <w:p w14:paraId="5D47DE86" w14:textId="77777777" w:rsidR="00897435" w:rsidRPr="00FF027F" w:rsidRDefault="00897435" w:rsidP="00AD1F96">
                <w:pPr>
                  <w:ind w:left="202"/>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47120BBF" w14:textId="061512AF" w:rsidR="00D34336" w:rsidRPr="00FF027F" w:rsidRDefault="00D34336" w:rsidP="003D0124">
                <w:pPr>
                  <w:pStyle w:val="11ptVerdanaBold"/>
                  <w:spacing w:after="120"/>
                  <w:ind w:left="202"/>
                  <w:jc w:val="left"/>
                  <w:rPr>
                    <w:rFonts w:ascii="Arial" w:hAnsi="Arial" w:cs="Arial"/>
                    <w:b w:val="0"/>
                    <w:sz w:val="22"/>
                    <w:szCs w:val="22"/>
                  </w:rPr>
                </w:pPr>
                <w:r w:rsidRPr="00FF027F">
                  <w:rPr>
                    <w:rFonts w:ascii="Arial" w:hAnsi="Arial" w:cs="Arial"/>
                    <w:b w:val="0"/>
                    <w:sz w:val="22"/>
                    <w:szCs w:val="22"/>
                  </w:rPr>
                  <w:t>In August 2015</w:t>
                </w:r>
                <w:r w:rsidR="00A10626" w:rsidRPr="00FF027F">
                  <w:rPr>
                    <w:rFonts w:ascii="Arial" w:hAnsi="Arial" w:cs="Arial"/>
                    <w:b w:val="0"/>
                    <w:sz w:val="22"/>
                    <w:szCs w:val="22"/>
                  </w:rPr>
                  <w:t xml:space="preserve"> there will be an option to expa</w:t>
                </w:r>
                <w:r w:rsidRPr="00FF027F">
                  <w:rPr>
                    <w:rFonts w:ascii="Arial" w:hAnsi="Arial" w:cs="Arial"/>
                    <w:b w:val="0"/>
                    <w:sz w:val="22"/>
                    <w:szCs w:val="22"/>
                  </w:rPr>
                  <w:t xml:space="preserve">nd the </w:t>
                </w:r>
                <w:r w:rsidR="00EF2C23" w:rsidRPr="00FF027F">
                  <w:rPr>
                    <w:rFonts w:ascii="Arial" w:hAnsi="Arial" w:cs="Arial"/>
                    <w:b w:val="0"/>
                    <w:sz w:val="22"/>
                    <w:szCs w:val="22"/>
                  </w:rPr>
                  <w:t xml:space="preserve">Agency’s </w:t>
                </w:r>
                <w:r w:rsidRPr="00FF027F">
                  <w:rPr>
                    <w:rFonts w:ascii="Arial" w:hAnsi="Arial" w:cs="Arial"/>
                    <w:b w:val="0"/>
                    <w:sz w:val="22"/>
                    <w:szCs w:val="22"/>
                  </w:rPr>
                  <w:t>premises on one of the floors, wh</w:t>
                </w:r>
                <w:r w:rsidR="001311EB" w:rsidRPr="00FF027F">
                  <w:rPr>
                    <w:rFonts w:ascii="Arial" w:hAnsi="Arial" w:cs="Arial"/>
                    <w:b w:val="0"/>
                    <w:sz w:val="22"/>
                    <w:szCs w:val="22"/>
                  </w:rPr>
                  <w:t>i</w:t>
                </w:r>
                <w:r w:rsidRPr="00FF027F">
                  <w:rPr>
                    <w:rFonts w:ascii="Arial" w:hAnsi="Arial" w:cs="Arial"/>
                    <w:b w:val="0"/>
                    <w:sz w:val="22"/>
                    <w:szCs w:val="22"/>
                  </w:rPr>
                  <w:t xml:space="preserve">ch is </w:t>
                </w:r>
                <w:r w:rsidR="00A10626" w:rsidRPr="00FF027F">
                  <w:rPr>
                    <w:rFonts w:ascii="Arial" w:hAnsi="Arial" w:cs="Arial"/>
                    <w:b w:val="0"/>
                    <w:sz w:val="22"/>
                    <w:szCs w:val="22"/>
                  </w:rPr>
                  <w:t xml:space="preserve">currently </w:t>
                </w:r>
                <w:r w:rsidRPr="00FF027F">
                  <w:rPr>
                    <w:rFonts w:ascii="Arial" w:hAnsi="Arial" w:cs="Arial"/>
                    <w:b w:val="0"/>
                    <w:sz w:val="22"/>
                    <w:szCs w:val="22"/>
                  </w:rPr>
                  <w:t xml:space="preserve">shared with </w:t>
                </w:r>
                <w:r w:rsidR="001311EB" w:rsidRPr="00FF027F">
                  <w:rPr>
                    <w:rFonts w:ascii="Arial" w:hAnsi="Arial" w:cs="Arial"/>
                    <w:b w:val="0"/>
                    <w:sz w:val="22"/>
                    <w:szCs w:val="22"/>
                  </w:rPr>
                  <w:t xml:space="preserve">two </w:t>
                </w:r>
                <w:r w:rsidRPr="00FF027F">
                  <w:rPr>
                    <w:rFonts w:ascii="Arial" w:hAnsi="Arial" w:cs="Arial"/>
                    <w:b w:val="0"/>
                    <w:sz w:val="22"/>
                    <w:szCs w:val="22"/>
                  </w:rPr>
                  <w:t>other tenant</w:t>
                </w:r>
                <w:r w:rsidR="001311EB" w:rsidRPr="00FF027F">
                  <w:rPr>
                    <w:rFonts w:ascii="Arial" w:hAnsi="Arial" w:cs="Arial"/>
                    <w:b w:val="0"/>
                    <w:sz w:val="22"/>
                    <w:szCs w:val="22"/>
                  </w:rPr>
                  <w:t>s</w:t>
                </w:r>
                <w:r w:rsidRPr="00FF027F">
                  <w:rPr>
                    <w:rFonts w:ascii="Arial" w:hAnsi="Arial" w:cs="Arial"/>
                    <w:b w:val="0"/>
                    <w:sz w:val="22"/>
                    <w:szCs w:val="22"/>
                  </w:rPr>
                  <w:t xml:space="preserve">. The whole floor </w:t>
                </w:r>
                <w:r w:rsidR="001311EB" w:rsidRPr="00FF027F">
                  <w:rPr>
                    <w:rFonts w:ascii="Arial" w:hAnsi="Arial" w:cs="Arial"/>
                    <w:b w:val="0"/>
                    <w:sz w:val="22"/>
                    <w:szCs w:val="22"/>
                  </w:rPr>
                  <w:t>would</w:t>
                </w:r>
                <w:r w:rsidRPr="00FF027F">
                  <w:rPr>
                    <w:rFonts w:ascii="Arial" w:hAnsi="Arial" w:cs="Arial"/>
                    <w:b w:val="0"/>
                    <w:sz w:val="22"/>
                    <w:szCs w:val="22"/>
                  </w:rPr>
                  <w:t xml:space="preserve"> </w:t>
                </w:r>
                <w:r w:rsidR="001311EB" w:rsidRPr="00FF027F">
                  <w:rPr>
                    <w:rFonts w:ascii="Arial" w:hAnsi="Arial" w:cs="Arial"/>
                    <w:b w:val="0"/>
                    <w:sz w:val="22"/>
                    <w:szCs w:val="22"/>
                  </w:rPr>
                  <w:t xml:space="preserve">then be </w:t>
                </w:r>
                <w:r w:rsidR="00A10626" w:rsidRPr="00FF027F">
                  <w:rPr>
                    <w:rFonts w:ascii="Arial" w:hAnsi="Arial" w:cs="Arial"/>
                    <w:b w:val="0"/>
                    <w:sz w:val="22"/>
                    <w:szCs w:val="22"/>
                  </w:rPr>
                  <w:t xml:space="preserve">available </w:t>
                </w:r>
                <w:r w:rsidR="001311EB" w:rsidRPr="00FF027F">
                  <w:rPr>
                    <w:rFonts w:ascii="Arial" w:hAnsi="Arial" w:cs="Arial"/>
                    <w:b w:val="0"/>
                    <w:sz w:val="22"/>
                    <w:szCs w:val="22"/>
                  </w:rPr>
                  <w:t>for the sole use of the Agency</w:t>
                </w:r>
                <w:r w:rsidR="00AD1F96" w:rsidRPr="00FF027F">
                  <w:rPr>
                    <w:rFonts w:ascii="Arial" w:hAnsi="Arial" w:cs="Arial"/>
                    <w:b w:val="0"/>
                    <w:sz w:val="22"/>
                    <w:szCs w:val="22"/>
                  </w:rPr>
                  <w:t>.</w:t>
                </w:r>
                <w:r w:rsidRPr="00FF027F">
                  <w:rPr>
                    <w:rFonts w:ascii="Arial" w:hAnsi="Arial" w:cs="Arial"/>
                    <w:b w:val="0"/>
                    <w:sz w:val="22"/>
                    <w:szCs w:val="22"/>
                  </w:rPr>
                  <w:t xml:space="preserve"> </w:t>
                </w:r>
              </w:p>
              <w:p w14:paraId="77E43E07" w14:textId="63EC8E2F" w:rsidR="00AD1F96" w:rsidRPr="00FF027F" w:rsidRDefault="00A10626" w:rsidP="003D0124">
                <w:pPr>
                  <w:pStyle w:val="11ptVerdanaBold"/>
                  <w:spacing w:after="120"/>
                  <w:ind w:left="202"/>
                  <w:jc w:val="left"/>
                  <w:rPr>
                    <w:rFonts w:ascii="Arial" w:hAnsi="Arial" w:cs="Arial"/>
                    <w:b w:val="0"/>
                    <w:sz w:val="22"/>
                    <w:szCs w:val="22"/>
                  </w:rPr>
                </w:pPr>
                <w:r w:rsidRPr="00FF027F">
                  <w:rPr>
                    <w:rFonts w:ascii="Arial" w:hAnsi="Arial" w:cs="Arial"/>
                    <w:b w:val="0"/>
                    <w:sz w:val="22"/>
                    <w:szCs w:val="22"/>
                  </w:rPr>
                  <w:t>In 2015</w:t>
                </w:r>
                <w:r w:rsidR="00D34336" w:rsidRPr="00FF027F">
                  <w:rPr>
                    <w:rFonts w:ascii="Arial" w:hAnsi="Arial" w:cs="Arial"/>
                    <w:b w:val="0"/>
                    <w:sz w:val="22"/>
                    <w:szCs w:val="22"/>
                  </w:rPr>
                  <w:t xml:space="preserve"> the Agency will keep its liaison office in Brussels with two staff members (1 AD and 1 SNE) assigned to it. The office is hosted in the premises made available, free of charge, by the Council of European Energy Regulators (CEER), as a contribution in kind to the working of the Agency. The IT and information resources are shared with the liaison office, which makes it an indispensable </w:t>
                </w:r>
                <w:r w:rsidR="00AD1F96" w:rsidRPr="00FF027F">
                  <w:rPr>
                    <w:rFonts w:ascii="Arial" w:hAnsi="Arial" w:cs="Arial"/>
                    <w:b w:val="0"/>
                    <w:sz w:val="22"/>
                    <w:szCs w:val="22"/>
                  </w:rPr>
                  <w:t>part of the Agency’s structure.</w:t>
                </w:r>
              </w:p>
            </w:tc>
          </w:tr>
          <w:tr w:rsidR="00897435" w:rsidRPr="00FF027F" w14:paraId="2DBEE539" w14:textId="77777777" w:rsidTr="00897435">
            <w:tc>
              <w:tcPr>
                <w:tcW w:w="2552" w:type="dxa"/>
              </w:tcPr>
              <w:p w14:paraId="6BD571D2" w14:textId="77777777" w:rsidR="00897435" w:rsidRPr="00FF027F" w:rsidRDefault="00897435" w:rsidP="00AD1F96">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767C6FD6" w14:textId="216982B4" w:rsidR="005E7E97" w:rsidRPr="00FF027F" w:rsidRDefault="00D34336" w:rsidP="003D0124">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 </w:t>
                </w:r>
                <w:r w:rsidR="005E7E97" w:rsidRPr="00FF027F">
                  <w:rPr>
                    <w:rFonts w:ascii="Arial" w:hAnsi="Arial" w:cs="Arial"/>
                    <w:sz w:val="22"/>
                    <w:szCs w:val="22"/>
                    <w:lang w:val="en-GB"/>
                  </w:rPr>
                  <w:t xml:space="preserve">The objective is to expand the occupancy of one of the floors so that it is </w:t>
                </w:r>
                <w:r w:rsidR="00A10626" w:rsidRPr="00FF027F">
                  <w:rPr>
                    <w:rFonts w:ascii="Arial" w:hAnsi="Arial" w:cs="Arial"/>
                    <w:sz w:val="22"/>
                    <w:szCs w:val="22"/>
                    <w:lang w:val="en-GB"/>
                  </w:rPr>
                  <w:t>used solely by t</w:t>
                </w:r>
                <w:r w:rsidR="001311EB" w:rsidRPr="00FF027F">
                  <w:rPr>
                    <w:rFonts w:ascii="Arial" w:hAnsi="Arial" w:cs="Arial"/>
                    <w:sz w:val="22"/>
                    <w:szCs w:val="22"/>
                    <w:lang w:val="en-GB"/>
                  </w:rPr>
                  <w:t>he Agency</w:t>
                </w:r>
                <w:r w:rsidR="005E7E97" w:rsidRPr="00FF027F">
                  <w:rPr>
                    <w:rFonts w:ascii="Arial" w:hAnsi="Arial" w:cs="Arial"/>
                    <w:sz w:val="22"/>
                    <w:szCs w:val="22"/>
                    <w:lang w:val="en-GB"/>
                  </w:rPr>
                  <w:t>. This shall include fitting out</w:t>
                </w:r>
                <w:r w:rsidR="001311EB" w:rsidRPr="00FF027F">
                  <w:rPr>
                    <w:rFonts w:ascii="Arial" w:hAnsi="Arial" w:cs="Arial"/>
                    <w:sz w:val="22"/>
                    <w:szCs w:val="22"/>
                    <w:lang w:val="en-GB"/>
                  </w:rPr>
                  <w:t xml:space="preserve"> and equipping with furniture</w:t>
                </w:r>
                <w:r w:rsidR="005E7E97" w:rsidRPr="00FF027F">
                  <w:rPr>
                    <w:rFonts w:ascii="Arial" w:hAnsi="Arial" w:cs="Arial"/>
                    <w:sz w:val="22"/>
                    <w:szCs w:val="22"/>
                    <w:lang w:val="en-GB"/>
                  </w:rPr>
                  <w:t xml:space="preserve"> the additional office space,</w:t>
                </w:r>
                <w:r w:rsidR="00A10626" w:rsidRPr="00FF027F">
                  <w:rPr>
                    <w:rFonts w:ascii="Arial" w:hAnsi="Arial" w:cs="Arial"/>
                    <w:sz w:val="22"/>
                    <w:szCs w:val="22"/>
                    <w:lang w:val="en-GB"/>
                  </w:rPr>
                  <w:t xml:space="preserve"> and</w:t>
                </w:r>
                <w:r w:rsidR="005E7E97" w:rsidRPr="00FF027F">
                  <w:rPr>
                    <w:rFonts w:ascii="Arial" w:hAnsi="Arial" w:cs="Arial"/>
                    <w:sz w:val="22"/>
                    <w:szCs w:val="22"/>
                    <w:lang w:val="en-GB"/>
                  </w:rPr>
                  <w:t xml:space="preserve"> aligning </w:t>
                </w:r>
                <w:r w:rsidR="001311EB" w:rsidRPr="00FF027F">
                  <w:rPr>
                    <w:rFonts w:ascii="Arial" w:hAnsi="Arial" w:cs="Arial"/>
                    <w:sz w:val="22"/>
                    <w:szCs w:val="22"/>
                    <w:lang w:val="en-GB"/>
                  </w:rPr>
                  <w:t xml:space="preserve">the premises </w:t>
                </w:r>
                <w:r w:rsidR="005E7E97" w:rsidRPr="00FF027F">
                  <w:rPr>
                    <w:rFonts w:ascii="Arial" w:hAnsi="Arial" w:cs="Arial"/>
                    <w:sz w:val="22"/>
                    <w:szCs w:val="22"/>
                    <w:lang w:val="en-GB"/>
                  </w:rPr>
                  <w:t xml:space="preserve">with the </w:t>
                </w:r>
                <w:r w:rsidR="001311EB" w:rsidRPr="00FF027F">
                  <w:rPr>
                    <w:rFonts w:ascii="Arial" w:hAnsi="Arial" w:cs="Arial"/>
                    <w:sz w:val="22"/>
                    <w:szCs w:val="22"/>
                    <w:lang w:val="en-GB"/>
                  </w:rPr>
                  <w:t>Agency</w:t>
                </w:r>
                <w:r w:rsidR="00A10626" w:rsidRPr="00FF027F">
                  <w:rPr>
                    <w:rFonts w:ascii="Arial" w:hAnsi="Arial" w:cs="Arial"/>
                    <w:sz w:val="22"/>
                    <w:szCs w:val="22"/>
                    <w:lang w:val="en-GB"/>
                  </w:rPr>
                  <w:t>’s</w:t>
                </w:r>
                <w:r w:rsidR="001311EB" w:rsidRPr="00FF027F">
                  <w:rPr>
                    <w:rFonts w:ascii="Arial" w:hAnsi="Arial" w:cs="Arial"/>
                    <w:sz w:val="22"/>
                    <w:szCs w:val="22"/>
                    <w:lang w:val="en-GB"/>
                  </w:rPr>
                  <w:t xml:space="preserve"> </w:t>
                </w:r>
                <w:r w:rsidR="005E7E97" w:rsidRPr="00FF027F">
                  <w:rPr>
                    <w:rFonts w:ascii="Arial" w:hAnsi="Arial" w:cs="Arial"/>
                    <w:sz w:val="22"/>
                    <w:szCs w:val="22"/>
                    <w:lang w:val="en-GB"/>
                  </w:rPr>
                  <w:t xml:space="preserve">security policy. </w:t>
                </w:r>
              </w:p>
              <w:p w14:paraId="1EDB49F9" w14:textId="56E7155C" w:rsidR="00D34336" w:rsidRPr="00FF027F" w:rsidRDefault="00D34336" w:rsidP="003D0124">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 </w:t>
                </w:r>
                <w:r w:rsidR="005E7E97" w:rsidRPr="00FF027F">
                  <w:rPr>
                    <w:rFonts w:ascii="Arial" w:hAnsi="Arial" w:cs="Arial"/>
                    <w:sz w:val="22"/>
                    <w:szCs w:val="22"/>
                    <w:lang w:val="en-GB"/>
                  </w:rPr>
                  <w:t xml:space="preserve">Refurbishing </w:t>
                </w:r>
                <w:r w:rsidR="0021711A" w:rsidRPr="00FF027F">
                  <w:rPr>
                    <w:rFonts w:ascii="Arial" w:hAnsi="Arial" w:cs="Arial"/>
                    <w:sz w:val="22"/>
                    <w:szCs w:val="22"/>
                    <w:lang w:val="en-GB"/>
                  </w:rPr>
                  <w:t xml:space="preserve">two </w:t>
                </w:r>
                <w:r w:rsidR="00A10626" w:rsidRPr="00FF027F">
                  <w:rPr>
                    <w:rFonts w:ascii="Arial" w:hAnsi="Arial" w:cs="Arial"/>
                    <w:sz w:val="22"/>
                    <w:szCs w:val="22"/>
                    <w:lang w:val="en-GB"/>
                  </w:rPr>
                  <w:t xml:space="preserve">of the </w:t>
                </w:r>
                <w:r w:rsidR="005E7E97" w:rsidRPr="00FF027F">
                  <w:rPr>
                    <w:rFonts w:ascii="Arial" w:hAnsi="Arial" w:cs="Arial"/>
                    <w:sz w:val="22"/>
                    <w:szCs w:val="22"/>
                    <w:lang w:val="en-GB"/>
                  </w:rPr>
                  <w:t>Agency's meeting rooms to enable</w:t>
                </w:r>
                <w:r w:rsidR="00A10626" w:rsidRPr="00FF027F">
                  <w:rPr>
                    <w:rFonts w:ascii="Arial" w:hAnsi="Arial" w:cs="Arial"/>
                    <w:sz w:val="22"/>
                    <w:szCs w:val="22"/>
                    <w:lang w:val="en-GB"/>
                  </w:rPr>
                  <w:t xml:space="preserve"> a more efficient use of space</w:t>
                </w:r>
                <w:r w:rsidR="005E7E97" w:rsidRPr="00FF027F">
                  <w:rPr>
                    <w:rFonts w:ascii="Arial" w:hAnsi="Arial" w:cs="Arial"/>
                    <w:sz w:val="22"/>
                    <w:szCs w:val="22"/>
                    <w:lang w:val="en-GB"/>
                  </w:rPr>
                  <w:t xml:space="preserve">. </w:t>
                </w:r>
              </w:p>
              <w:p w14:paraId="0129701E" w14:textId="7B8A88F7" w:rsidR="005E7E97" w:rsidRPr="00FF027F" w:rsidRDefault="005E7E97" w:rsidP="003D0124">
                <w:pPr>
                  <w:spacing w:line="240" w:lineRule="auto"/>
                  <w:ind w:left="202"/>
                  <w:jc w:val="left"/>
                  <w:rPr>
                    <w:rFonts w:ascii="Arial" w:hAnsi="Arial" w:cs="Arial"/>
                    <w:sz w:val="22"/>
                    <w:szCs w:val="22"/>
                    <w:lang w:val="en-GB"/>
                  </w:rPr>
                </w:pPr>
                <w:r w:rsidRPr="00FF027F">
                  <w:rPr>
                    <w:rFonts w:ascii="Arial" w:hAnsi="Arial" w:cs="Arial"/>
                    <w:sz w:val="22"/>
                    <w:szCs w:val="22"/>
                    <w:lang w:val="en-GB"/>
                  </w:rPr>
                  <w:t>- Ongoing fitting out and maintenance of office premises to ensure smooth con</w:t>
                </w:r>
                <w:r w:rsidR="00AD1F96" w:rsidRPr="00FF027F">
                  <w:rPr>
                    <w:rFonts w:ascii="Arial" w:hAnsi="Arial" w:cs="Arial"/>
                    <w:sz w:val="22"/>
                    <w:szCs w:val="22"/>
                    <w:lang w:val="en-GB"/>
                  </w:rPr>
                  <w:t>tinuation of the Agency's work.</w:t>
                </w:r>
              </w:p>
            </w:tc>
          </w:tr>
          <w:tr w:rsidR="00897435" w:rsidRPr="00FF027F" w14:paraId="3AFFD42E" w14:textId="77777777" w:rsidTr="00897435">
            <w:tc>
              <w:tcPr>
                <w:tcW w:w="2552" w:type="dxa"/>
              </w:tcPr>
              <w:p w14:paraId="0F6C89A3" w14:textId="77777777" w:rsidR="00897435" w:rsidRPr="00FF027F" w:rsidRDefault="00897435" w:rsidP="00AD1F96">
                <w:pPr>
                  <w:spacing w:line="240" w:lineRule="auto"/>
                  <w:ind w:left="202"/>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51E8ED98" w14:textId="77777777" w:rsidR="005E7E97" w:rsidRPr="00FF027F" w:rsidRDefault="00350B45" w:rsidP="00AD1F96">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 </w:t>
                </w:r>
                <w:r w:rsidR="005E7E97" w:rsidRPr="00FF027F">
                  <w:rPr>
                    <w:rFonts w:ascii="Arial" w:hAnsi="Arial" w:cs="Arial"/>
                    <w:sz w:val="22"/>
                    <w:szCs w:val="22"/>
                    <w:lang w:val="en-GB"/>
                  </w:rPr>
                  <w:t>To reach an agreement with the landlord on the expansion of one of the floors by the end of Q2.</w:t>
                </w:r>
              </w:p>
              <w:p w14:paraId="6FEFCB53" w14:textId="77777777" w:rsidR="005E7E97" w:rsidRPr="00FF027F" w:rsidRDefault="00350B45" w:rsidP="00AD1F96">
                <w:pPr>
                  <w:spacing w:line="240" w:lineRule="auto"/>
                  <w:ind w:left="202"/>
                  <w:jc w:val="left"/>
                  <w:rPr>
                    <w:rFonts w:ascii="Arial" w:hAnsi="Arial" w:cs="Arial"/>
                    <w:sz w:val="22"/>
                    <w:szCs w:val="22"/>
                    <w:lang w:val="en-GB"/>
                  </w:rPr>
                </w:pPr>
                <w:r w:rsidRPr="00FF027F">
                  <w:rPr>
                    <w:rFonts w:ascii="Arial" w:hAnsi="Arial" w:cs="Arial"/>
                    <w:sz w:val="22"/>
                    <w:szCs w:val="22"/>
                    <w:lang w:val="en-GB"/>
                  </w:rPr>
                  <w:t>- Finalise f</w:t>
                </w:r>
                <w:r w:rsidR="005E7E97" w:rsidRPr="00FF027F">
                  <w:rPr>
                    <w:rFonts w:ascii="Arial" w:hAnsi="Arial" w:cs="Arial"/>
                    <w:sz w:val="22"/>
                    <w:szCs w:val="22"/>
                    <w:lang w:val="en-GB"/>
                  </w:rPr>
                  <w:t>itting out</w:t>
                </w:r>
                <w:r w:rsidR="001311EB" w:rsidRPr="00FF027F">
                  <w:rPr>
                    <w:rFonts w:ascii="Arial" w:hAnsi="Arial" w:cs="Arial"/>
                    <w:sz w:val="22"/>
                    <w:szCs w:val="22"/>
                    <w:lang w:val="en-GB"/>
                  </w:rPr>
                  <w:t>, and equipping with furniture,</w:t>
                </w:r>
                <w:r w:rsidR="005E7E97" w:rsidRPr="00FF027F">
                  <w:rPr>
                    <w:rFonts w:ascii="Arial" w:hAnsi="Arial" w:cs="Arial"/>
                    <w:sz w:val="22"/>
                    <w:szCs w:val="22"/>
                    <w:lang w:val="en-GB"/>
                  </w:rPr>
                  <w:t xml:space="preserve"> the additional office space by the end of September 2015.</w:t>
                </w:r>
              </w:p>
              <w:p w14:paraId="5EAD576D" w14:textId="6BFFEC51" w:rsidR="00897435" w:rsidRPr="00FF027F" w:rsidRDefault="00350B45" w:rsidP="00A10626">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 Finalise refurbishing of </w:t>
                </w:r>
                <w:r w:rsidR="001311EB" w:rsidRPr="00FF027F">
                  <w:rPr>
                    <w:rFonts w:ascii="Arial" w:hAnsi="Arial" w:cs="Arial"/>
                    <w:sz w:val="22"/>
                    <w:szCs w:val="22"/>
                    <w:lang w:val="en-GB"/>
                  </w:rPr>
                  <w:t xml:space="preserve">2 </w:t>
                </w:r>
                <w:r w:rsidR="00A10626" w:rsidRPr="00FF027F">
                  <w:rPr>
                    <w:rFonts w:ascii="Arial" w:hAnsi="Arial" w:cs="Arial"/>
                    <w:sz w:val="22"/>
                    <w:szCs w:val="22"/>
                    <w:lang w:val="en-GB"/>
                  </w:rPr>
                  <w:t>meeting rooms in Q3.</w:t>
                </w:r>
              </w:p>
            </w:tc>
          </w:tr>
          <w:tr w:rsidR="00897435" w:rsidRPr="00FF027F" w14:paraId="1A646A26" w14:textId="77777777" w:rsidTr="00897435">
            <w:tc>
              <w:tcPr>
                <w:tcW w:w="2552" w:type="dxa"/>
              </w:tcPr>
              <w:p w14:paraId="037BAB8D" w14:textId="77777777" w:rsidR="00897435" w:rsidRPr="00FF027F" w:rsidRDefault="00897435" w:rsidP="00AD1F96">
                <w:pPr>
                  <w:ind w:left="202"/>
                  <w:rPr>
                    <w:rFonts w:ascii="Arial" w:hAnsi="Arial" w:cs="Arial"/>
                    <w:sz w:val="22"/>
                    <w:szCs w:val="22"/>
                    <w:lang w:val="en-GB"/>
                  </w:rPr>
                </w:pPr>
                <w:r w:rsidRPr="00FF027F">
                  <w:rPr>
                    <w:rFonts w:ascii="Arial" w:hAnsi="Arial" w:cs="Arial"/>
                    <w:sz w:val="22"/>
                    <w:szCs w:val="22"/>
                    <w:lang w:val="en-GB"/>
                  </w:rPr>
                  <w:t>Staff</w:t>
                </w:r>
              </w:p>
            </w:tc>
            <w:tc>
              <w:tcPr>
                <w:tcW w:w="6520" w:type="dxa"/>
              </w:tcPr>
              <w:p w14:paraId="3A70F499" w14:textId="1C7918A8" w:rsidR="00897435" w:rsidRPr="00FF027F" w:rsidRDefault="0021711A" w:rsidP="00EB3D78">
                <w:pPr>
                  <w:spacing w:line="240" w:lineRule="auto"/>
                  <w:ind w:left="202"/>
                  <w:rPr>
                    <w:rFonts w:ascii="Arial" w:hAnsi="Arial" w:cs="Arial"/>
                    <w:sz w:val="22"/>
                    <w:szCs w:val="22"/>
                    <w:lang w:val="en-GB"/>
                  </w:rPr>
                </w:pPr>
                <w:r w:rsidRPr="00FF027F">
                  <w:rPr>
                    <w:rFonts w:ascii="Arial" w:hAnsi="Arial" w:cs="Arial"/>
                    <w:sz w:val="22"/>
                    <w:szCs w:val="22"/>
                    <w:lang w:val="en-GB"/>
                  </w:rPr>
                  <w:t xml:space="preserve">2 </w:t>
                </w:r>
                <w:r w:rsidR="00090F52" w:rsidRPr="00FF027F">
                  <w:rPr>
                    <w:rFonts w:ascii="Arial" w:hAnsi="Arial" w:cs="Arial"/>
                    <w:sz w:val="22"/>
                    <w:szCs w:val="22"/>
                    <w:lang w:val="en-GB"/>
                  </w:rPr>
                  <w:t>FT</w:t>
                </w:r>
                <w:r w:rsidR="00580B36" w:rsidRPr="00FF027F">
                  <w:rPr>
                    <w:rFonts w:ascii="Arial" w:hAnsi="Arial" w:cs="Arial"/>
                    <w:sz w:val="22"/>
                    <w:szCs w:val="22"/>
                    <w:lang w:val="en-GB"/>
                  </w:rPr>
                  <w:t>E</w:t>
                </w:r>
                <w:r w:rsidR="00EB3D78" w:rsidRPr="00FF027F">
                  <w:rPr>
                    <w:rFonts w:ascii="Arial" w:hAnsi="Arial" w:cs="Arial"/>
                    <w:sz w:val="22"/>
                    <w:szCs w:val="22"/>
                    <w:lang w:val="en-GB"/>
                  </w:rPr>
                  <w:t xml:space="preserve"> (both also involved in procurement activities concerning the entire Agency)</w:t>
                </w:r>
              </w:p>
            </w:tc>
          </w:tr>
          <w:tr w:rsidR="00897435" w:rsidRPr="00FF027F" w14:paraId="30026144" w14:textId="77777777" w:rsidTr="00897435">
            <w:tc>
              <w:tcPr>
                <w:tcW w:w="2552" w:type="dxa"/>
              </w:tcPr>
              <w:p w14:paraId="1949021C" w14:textId="77777777" w:rsidR="00897435" w:rsidRPr="00FF027F" w:rsidRDefault="001013B8" w:rsidP="00AD1F96">
                <w:pPr>
                  <w:ind w:left="202"/>
                  <w:rPr>
                    <w:rFonts w:ascii="Arial" w:hAnsi="Arial" w:cs="Arial"/>
                    <w:sz w:val="22"/>
                    <w:szCs w:val="22"/>
                    <w:lang w:val="en-GB"/>
                  </w:rPr>
                </w:pPr>
                <w:r w:rsidRPr="00FF027F">
                  <w:rPr>
                    <w:rFonts w:ascii="Arial" w:hAnsi="Arial" w:cs="Arial"/>
                    <w:sz w:val="22"/>
                    <w:szCs w:val="22"/>
                    <w:lang w:val="en-GB"/>
                  </w:rPr>
                  <w:t>Risks</w:t>
                </w:r>
              </w:p>
            </w:tc>
            <w:tc>
              <w:tcPr>
                <w:tcW w:w="6520" w:type="dxa"/>
              </w:tcPr>
              <w:p w14:paraId="20E29888" w14:textId="77777777" w:rsidR="00897435" w:rsidRPr="00FF027F" w:rsidRDefault="00350B45" w:rsidP="003D0124">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The actual availability of the additional office space, the availability of financial resources and human resource constraints may impact the timely delivery of the objectives. </w:t>
                </w:r>
              </w:p>
            </w:tc>
          </w:tr>
        </w:tbl>
        <w:p w14:paraId="665A2898" w14:textId="59198AD6" w:rsidR="00544C04" w:rsidRPr="00FF027F" w:rsidRDefault="00A221D7" w:rsidP="004D65C7">
          <w:pPr>
            <w:pStyle w:val="Heading3"/>
            <w:spacing w:before="480"/>
            <w:ind w:left="432"/>
            <w:rPr>
              <w:color w:val="4F81BD" w:themeColor="accent1"/>
            </w:rPr>
          </w:pPr>
          <w:bookmarkStart w:id="110" w:name="_Toc358640718"/>
          <w:bookmarkStart w:id="111" w:name="_Toc358640931"/>
          <w:bookmarkStart w:id="112" w:name="_Toc396913803"/>
          <w:r w:rsidRPr="00FF027F">
            <w:rPr>
              <w:color w:val="4F81BD" w:themeColor="accent1"/>
            </w:rPr>
            <w:t xml:space="preserve">Human </w:t>
          </w:r>
          <w:r w:rsidR="0088132B" w:rsidRPr="00FF027F">
            <w:rPr>
              <w:color w:val="4F81BD" w:themeColor="accent1"/>
            </w:rPr>
            <w:t>R</w:t>
          </w:r>
          <w:r w:rsidRPr="00FF027F">
            <w:rPr>
              <w:color w:val="4F81BD" w:themeColor="accent1"/>
            </w:rPr>
            <w:t>esources</w:t>
          </w:r>
          <w:bookmarkEnd w:id="110"/>
          <w:bookmarkEnd w:id="111"/>
          <w:bookmarkEnd w:id="112"/>
          <w:r w:rsidR="00F218A7" w:rsidRPr="00FF027F">
            <w:rPr>
              <w:color w:val="4F81BD" w:themeColor="accent1"/>
            </w:rPr>
            <w:t xml:space="preserve"> </w:t>
          </w:r>
        </w:p>
        <w:p w14:paraId="09A4832C" w14:textId="5C080FFE" w:rsidR="00AC1AEB" w:rsidRPr="00FF027F" w:rsidRDefault="00AC1AEB" w:rsidP="00A10626">
          <w:pPr>
            <w:spacing w:before="120" w:after="120" w:line="360" w:lineRule="auto"/>
            <w:jc w:val="both"/>
            <w:rPr>
              <w:rFonts w:ascii="Arial" w:hAnsi="Arial" w:cs="Arial"/>
              <w:lang w:val="en-GB"/>
            </w:rPr>
          </w:pPr>
          <w:r w:rsidRPr="00FF027F">
            <w:rPr>
              <w:rFonts w:ascii="Arial" w:hAnsi="Arial" w:cs="Arial"/>
              <w:lang w:val="en-GB"/>
            </w:rPr>
            <w:t xml:space="preserve">The organisational chart below reflects the internal structure of </w:t>
          </w:r>
          <w:r w:rsidR="00A57637" w:rsidRPr="00FF027F">
            <w:rPr>
              <w:rFonts w:ascii="Arial" w:hAnsi="Arial" w:cs="Arial"/>
              <w:lang w:val="en-GB"/>
            </w:rPr>
            <w:t xml:space="preserve">the </w:t>
          </w:r>
          <w:r w:rsidRPr="00FF027F">
            <w:rPr>
              <w:rFonts w:ascii="Arial" w:hAnsi="Arial" w:cs="Arial"/>
              <w:lang w:val="en-GB"/>
            </w:rPr>
            <w:t>A</w:t>
          </w:r>
          <w:r w:rsidR="00A57637" w:rsidRPr="00FF027F">
            <w:rPr>
              <w:rFonts w:ascii="Arial" w:hAnsi="Arial" w:cs="Arial"/>
              <w:lang w:val="en-GB"/>
            </w:rPr>
            <w:t>gency</w:t>
          </w:r>
          <w:r w:rsidRPr="00FF027F">
            <w:rPr>
              <w:rFonts w:ascii="Arial" w:hAnsi="Arial" w:cs="Arial"/>
              <w:lang w:val="en-GB"/>
            </w:rPr>
            <w:t xml:space="preserve"> </w:t>
          </w:r>
          <w:r w:rsidR="00A57637" w:rsidRPr="00FF027F">
            <w:rPr>
              <w:rFonts w:ascii="Arial" w:hAnsi="Arial" w:cs="Arial"/>
              <w:lang w:val="en-GB"/>
            </w:rPr>
            <w:t xml:space="preserve">as of </w:t>
          </w:r>
          <w:r w:rsidR="007B3EDF" w:rsidRPr="00FF027F">
            <w:rPr>
              <w:rFonts w:ascii="Arial" w:hAnsi="Arial" w:cs="Arial"/>
              <w:lang w:val="en-GB"/>
            </w:rPr>
            <w:t>June</w:t>
          </w:r>
          <w:r w:rsidRPr="00FF027F">
            <w:rPr>
              <w:rFonts w:ascii="Arial" w:hAnsi="Arial" w:cs="Arial"/>
              <w:lang w:val="en-GB"/>
            </w:rPr>
            <w:t xml:space="preserve"> 2014, which envisages 54 temporary agents, 6 contract agents on long-term employment, 5 contract agents on short-term employment and up to 12 seconded national experts (SNEs). The number of allocated staff in the different departments is the following:</w:t>
          </w:r>
        </w:p>
        <w:p w14:paraId="0748D594" w14:textId="77777777" w:rsidR="00AC1AEB" w:rsidRPr="00FF027F" w:rsidRDefault="00AC1AEB" w:rsidP="00A10626">
          <w:pPr>
            <w:pStyle w:val="ListParagraph"/>
            <w:numPr>
              <w:ilvl w:val="0"/>
              <w:numId w:val="23"/>
            </w:numPr>
            <w:spacing w:before="120" w:after="120" w:line="360" w:lineRule="auto"/>
            <w:ind w:left="709" w:hanging="437"/>
            <w:contextualSpacing w:val="0"/>
            <w:jc w:val="both"/>
            <w:rPr>
              <w:rFonts w:ascii="Arial" w:hAnsi="Arial" w:cs="Arial"/>
              <w:lang w:val="en-GB" w:eastAsia="en-IE"/>
            </w:rPr>
          </w:pPr>
          <w:r w:rsidRPr="00FF027F">
            <w:rPr>
              <w:rFonts w:ascii="Arial" w:hAnsi="Arial" w:cs="Arial"/>
              <w:lang w:val="en-GB" w:eastAsia="en-IE"/>
            </w:rPr>
            <w:t>Director’s Office: 14</w:t>
          </w:r>
        </w:p>
        <w:p w14:paraId="103630C9" w14:textId="77777777" w:rsidR="00AC1AEB" w:rsidRPr="00FF027F" w:rsidRDefault="00AC1AEB" w:rsidP="00A10626">
          <w:pPr>
            <w:pStyle w:val="ListParagraph"/>
            <w:numPr>
              <w:ilvl w:val="0"/>
              <w:numId w:val="23"/>
            </w:numPr>
            <w:spacing w:before="120" w:after="120" w:line="360" w:lineRule="auto"/>
            <w:ind w:left="709" w:hanging="437"/>
            <w:contextualSpacing w:val="0"/>
            <w:jc w:val="both"/>
            <w:rPr>
              <w:rFonts w:ascii="Arial" w:hAnsi="Arial" w:cs="Arial"/>
              <w:lang w:val="en-GB" w:eastAsia="en-IE"/>
            </w:rPr>
          </w:pPr>
          <w:r w:rsidRPr="00FF027F">
            <w:rPr>
              <w:rFonts w:ascii="Arial" w:hAnsi="Arial" w:cs="Arial"/>
              <w:lang w:val="en-GB" w:eastAsia="en-IE"/>
            </w:rPr>
            <w:t>Administration Department: 16</w:t>
          </w:r>
        </w:p>
        <w:p w14:paraId="09FA5455" w14:textId="77777777" w:rsidR="00AC1AEB" w:rsidRPr="00FF027F" w:rsidRDefault="00AC1AEB" w:rsidP="00A10626">
          <w:pPr>
            <w:pStyle w:val="ListParagraph"/>
            <w:numPr>
              <w:ilvl w:val="0"/>
              <w:numId w:val="23"/>
            </w:numPr>
            <w:spacing w:before="120" w:after="120" w:line="360" w:lineRule="auto"/>
            <w:ind w:left="709" w:hanging="437"/>
            <w:contextualSpacing w:val="0"/>
            <w:jc w:val="both"/>
            <w:rPr>
              <w:rFonts w:ascii="Arial" w:hAnsi="Arial" w:cs="Arial"/>
              <w:lang w:val="en-GB" w:eastAsia="en-IE"/>
            </w:rPr>
          </w:pPr>
          <w:r w:rsidRPr="00FF027F">
            <w:rPr>
              <w:rFonts w:ascii="Arial" w:hAnsi="Arial" w:cs="Arial"/>
              <w:lang w:val="en-GB" w:eastAsia="en-IE"/>
            </w:rPr>
            <w:t>Electricity Department: 16</w:t>
          </w:r>
        </w:p>
        <w:p w14:paraId="6381F507" w14:textId="67EAC41C" w:rsidR="00AC1AEB" w:rsidRPr="00FF027F" w:rsidRDefault="007B3EDF" w:rsidP="00A10626">
          <w:pPr>
            <w:pStyle w:val="ListParagraph"/>
            <w:numPr>
              <w:ilvl w:val="0"/>
              <w:numId w:val="23"/>
            </w:numPr>
            <w:spacing w:before="120" w:after="120" w:line="360" w:lineRule="auto"/>
            <w:ind w:left="709" w:hanging="437"/>
            <w:contextualSpacing w:val="0"/>
            <w:jc w:val="both"/>
            <w:rPr>
              <w:rFonts w:ascii="Arial" w:hAnsi="Arial" w:cs="Arial"/>
              <w:lang w:val="en-GB" w:eastAsia="en-IE"/>
            </w:rPr>
          </w:pPr>
          <w:r w:rsidRPr="00FF027F">
            <w:rPr>
              <w:rFonts w:ascii="Arial" w:hAnsi="Arial" w:cs="Arial"/>
              <w:lang w:val="en-GB" w:eastAsia="en-IE"/>
            </w:rPr>
            <w:t>Gas Department: 16</w:t>
          </w:r>
        </w:p>
        <w:p w14:paraId="0BA1F792" w14:textId="0B78F90E" w:rsidR="00AC1AEB" w:rsidRPr="00FF027F" w:rsidRDefault="00AC1AEB" w:rsidP="00A10626">
          <w:pPr>
            <w:pStyle w:val="ListParagraph"/>
            <w:numPr>
              <w:ilvl w:val="0"/>
              <w:numId w:val="23"/>
            </w:numPr>
            <w:spacing w:before="120" w:after="120" w:line="360" w:lineRule="auto"/>
            <w:ind w:left="709" w:hanging="437"/>
            <w:contextualSpacing w:val="0"/>
            <w:jc w:val="both"/>
            <w:rPr>
              <w:rFonts w:ascii="Arial" w:hAnsi="Arial" w:cs="Arial"/>
              <w:lang w:val="en-GB" w:eastAsia="en-IE"/>
            </w:rPr>
          </w:pPr>
          <w:r w:rsidRPr="00FF027F">
            <w:rPr>
              <w:rFonts w:ascii="Arial" w:hAnsi="Arial" w:cs="Arial"/>
              <w:lang w:val="en-GB" w:eastAsia="en-IE"/>
            </w:rPr>
            <w:t>M</w:t>
          </w:r>
          <w:r w:rsidR="007B3EDF" w:rsidRPr="00FF027F">
            <w:rPr>
              <w:rFonts w:ascii="Arial" w:hAnsi="Arial" w:cs="Arial"/>
              <w:lang w:val="en-GB" w:eastAsia="en-IE"/>
            </w:rPr>
            <w:t>arket Monitoring Department: 15</w:t>
          </w:r>
        </w:p>
        <w:p w14:paraId="20F37BD3" w14:textId="77777777" w:rsidR="00417F8A" w:rsidRPr="00FF027F" w:rsidRDefault="00417F8A">
          <w:pPr>
            <w:rPr>
              <w:rFonts w:ascii="Arial" w:hAnsi="Arial" w:cs="Arial"/>
              <w:b/>
              <w:color w:val="C00000"/>
              <w:lang w:val="en-GB" w:eastAsia="en-IE"/>
            </w:rPr>
          </w:pPr>
          <w:r w:rsidRPr="00FF027F">
            <w:rPr>
              <w:rFonts w:ascii="Arial" w:hAnsi="Arial" w:cs="Arial"/>
              <w:b/>
              <w:color w:val="C00000"/>
              <w:lang w:val="en-GB" w:eastAsia="en-IE"/>
            </w:rPr>
            <w:br w:type="page"/>
          </w:r>
        </w:p>
        <w:p w14:paraId="06041F6B" w14:textId="2AB9475D" w:rsidR="00EF2C23" w:rsidRPr="00FF027F" w:rsidRDefault="00EF2C23" w:rsidP="00EF2C23">
          <w:pPr>
            <w:spacing w:before="120" w:after="120" w:line="360" w:lineRule="auto"/>
            <w:jc w:val="center"/>
            <w:rPr>
              <w:rFonts w:ascii="Arial" w:hAnsi="Arial" w:cs="Arial"/>
              <w:b/>
              <w:color w:val="C00000"/>
              <w:lang w:val="en-GB" w:eastAsia="en-IE"/>
            </w:rPr>
          </w:pPr>
          <w:r w:rsidRPr="00FF027F">
            <w:rPr>
              <w:rFonts w:ascii="Arial" w:hAnsi="Arial" w:cs="Arial"/>
              <w:b/>
              <w:color w:val="C00000"/>
              <w:lang w:val="en-GB" w:eastAsia="en-IE"/>
            </w:rPr>
            <w:t>ORGANISATIONAL CHART</w:t>
          </w:r>
        </w:p>
        <w:p w14:paraId="5FA35056" w14:textId="77777777" w:rsidR="00A97083" w:rsidRPr="00FF027F" w:rsidRDefault="00A97083" w:rsidP="00A97083">
          <w:pPr>
            <w:spacing w:before="120" w:after="120" w:line="360" w:lineRule="auto"/>
            <w:jc w:val="both"/>
            <w:rPr>
              <w:rFonts w:ascii="Verdana" w:hAnsi="Verdana" w:cs="Arial"/>
              <w:b/>
              <w:color w:val="FF0000"/>
              <w:sz w:val="20"/>
              <w:szCs w:val="20"/>
              <w:lang w:val="en-GB" w:eastAsia="en-IE"/>
            </w:rPr>
          </w:pPr>
        </w:p>
        <w:p w14:paraId="1E377FB3" w14:textId="24FFE981" w:rsidR="00C65707" w:rsidRPr="00FF027F" w:rsidRDefault="00EF2C23">
          <w:pPr>
            <w:rPr>
              <w:rFonts w:ascii="Verdana" w:hAnsi="Verdana" w:cs="Arial"/>
              <w:b/>
              <w:color w:val="FF0000"/>
              <w:sz w:val="20"/>
              <w:szCs w:val="20"/>
              <w:lang w:val="en-GB" w:eastAsia="en-IE"/>
            </w:rPr>
          </w:pPr>
          <w:r w:rsidRPr="00FF027F">
            <w:rPr>
              <w:rFonts w:ascii="Verdana" w:hAnsi="Verdana" w:cs="Arial"/>
              <w:b/>
              <w:noProof/>
              <w:color w:val="FF0000"/>
              <w:sz w:val="20"/>
              <w:szCs w:val="20"/>
              <w:lang w:val="en-GB" w:eastAsia="en-GB"/>
            </w:rPr>
            <w:drawing>
              <wp:inline distT="0" distB="0" distL="0" distR="0" wp14:anchorId="7C2B598C" wp14:editId="7FD0F7EA">
                <wp:extent cx="5875602" cy="4610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87291" cy="4619272"/>
                        </a:xfrm>
                        <a:prstGeom prst="rect">
                          <a:avLst/>
                        </a:prstGeom>
                        <a:noFill/>
                      </pic:spPr>
                    </pic:pic>
                  </a:graphicData>
                </a:graphic>
              </wp:inline>
            </w:drawing>
          </w:r>
        </w:p>
        <w:p w14:paraId="6917837F" w14:textId="76395F16" w:rsidR="00437810" w:rsidRPr="00FF027F" w:rsidRDefault="00437810" w:rsidP="00A97083">
          <w:pPr>
            <w:spacing w:before="120" w:after="120" w:line="360" w:lineRule="auto"/>
            <w:jc w:val="both"/>
            <w:rPr>
              <w:rFonts w:ascii="Verdana" w:hAnsi="Verdana" w:cs="Arial"/>
              <w:b/>
              <w:color w:val="FF0000"/>
              <w:sz w:val="20"/>
              <w:szCs w:val="20"/>
              <w:lang w:val="en-GB" w:eastAsia="en-IE"/>
            </w:rPr>
          </w:pPr>
        </w:p>
        <w:tbl>
          <w:tblPr>
            <w:tblStyle w:val="TableGrid8"/>
            <w:tblW w:w="0" w:type="auto"/>
            <w:tblInd w:w="108" w:type="dxa"/>
            <w:tblLook w:val="04A0" w:firstRow="1" w:lastRow="0" w:firstColumn="1" w:lastColumn="0" w:noHBand="0" w:noVBand="1"/>
          </w:tblPr>
          <w:tblGrid>
            <w:gridCol w:w="2524"/>
            <w:gridCol w:w="6379"/>
          </w:tblGrid>
          <w:tr w:rsidR="00AC1AEB" w:rsidRPr="00FF027F" w14:paraId="020E622F" w14:textId="77777777" w:rsidTr="00AC1AEB">
            <w:trPr>
              <w:cnfStyle w:val="100000000000" w:firstRow="1" w:lastRow="0" w:firstColumn="0" w:lastColumn="0" w:oddVBand="0" w:evenVBand="0" w:oddHBand="0" w:evenHBand="0" w:firstRowFirstColumn="0" w:firstRowLastColumn="0" w:lastRowFirstColumn="0" w:lastRowLastColumn="0"/>
            </w:trPr>
            <w:tc>
              <w:tcPr>
                <w:tcW w:w="2552" w:type="dxa"/>
              </w:tcPr>
              <w:p w14:paraId="28905B69" w14:textId="77777777" w:rsidR="00AC1AEB" w:rsidRPr="00FF027F" w:rsidRDefault="00AC1AEB" w:rsidP="00640808">
                <w:pPr>
                  <w:spacing w:line="240" w:lineRule="auto"/>
                  <w:ind w:left="202"/>
                  <w:jc w:val="left"/>
                  <w:rPr>
                    <w:rFonts w:ascii="Arial" w:hAnsi="Arial" w:cs="Arial"/>
                    <w:sz w:val="22"/>
                    <w:szCs w:val="22"/>
                    <w:lang w:val="en-GB"/>
                  </w:rPr>
                </w:pPr>
                <w:r w:rsidRPr="00FF027F">
                  <w:rPr>
                    <w:rFonts w:ascii="Arial" w:hAnsi="Arial" w:cs="Arial"/>
                    <w:color w:val="FFFFFF" w:themeColor="background1"/>
                    <w:sz w:val="22"/>
                    <w:szCs w:val="22"/>
                    <w:lang w:val="en-GB"/>
                  </w:rPr>
                  <w:t>Activity</w:t>
                </w:r>
              </w:p>
            </w:tc>
            <w:tc>
              <w:tcPr>
                <w:tcW w:w="6520" w:type="dxa"/>
              </w:tcPr>
              <w:p w14:paraId="450F9686" w14:textId="77777777" w:rsidR="00AC1AEB" w:rsidRPr="00FF027F" w:rsidRDefault="00AC1AEB" w:rsidP="00AC1AEB">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Human Resources</w:t>
                </w:r>
              </w:p>
            </w:tc>
          </w:tr>
          <w:tr w:rsidR="00AC1AEB" w:rsidRPr="00FF027F" w14:paraId="0FD54A2C" w14:textId="77777777" w:rsidTr="00AC1AEB">
            <w:tc>
              <w:tcPr>
                <w:tcW w:w="2552" w:type="dxa"/>
              </w:tcPr>
              <w:p w14:paraId="7CD94DD5" w14:textId="77777777" w:rsidR="00AC1AEB" w:rsidRPr="00FF027F" w:rsidRDefault="00AC1AEB" w:rsidP="00640808">
                <w:pPr>
                  <w:ind w:left="202"/>
                  <w:rPr>
                    <w:rFonts w:ascii="Arial" w:hAnsi="Arial" w:cs="Arial"/>
                    <w:sz w:val="22"/>
                    <w:szCs w:val="22"/>
                    <w:lang w:val="en-GB"/>
                  </w:rPr>
                </w:pPr>
                <w:r w:rsidRPr="00FF027F">
                  <w:rPr>
                    <w:rFonts w:ascii="Arial" w:hAnsi="Arial" w:cs="Arial"/>
                    <w:sz w:val="22"/>
                    <w:szCs w:val="22"/>
                    <w:lang w:val="en-GB"/>
                  </w:rPr>
                  <w:t>Overview (status)</w:t>
                </w:r>
              </w:p>
            </w:tc>
            <w:tc>
              <w:tcPr>
                <w:tcW w:w="6520" w:type="dxa"/>
              </w:tcPr>
              <w:p w14:paraId="378BDD64" w14:textId="2D4D038C" w:rsidR="00880771" w:rsidRPr="00FF027F" w:rsidRDefault="00640808" w:rsidP="00880771">
                <w:pPr>
                  <w:spacing w:line="240" w:lineRule="auto"/>
                  <w:ind w:left="202"/>
                  <w:rPr>
                    <w:rFonts w:ascii="Arial" w:hAnsi="Arial" w:cs="Arial"/>
                    <w:sz w:val="22"/>
                    <w:szCs w:val="22"/>
                    <w:lang w:val="en-GB"/>
                  </w:rPr>
                </w:pPr>
                <w:r w:rsidRPr="00FF027F">
                  <w:rPr>
                    <w:rFonts w:ascii="Arial" w:hAnsi="Arial" w:cs="Arial"/>
                    <w:sz w:val="22"/>
                    <w:szCs w:val="22"/>
                    <w:lang w:val="en-GB"/>
                  </w:rPr>
                  <w:t>T</w:t>
                </w:r>
                <w:r w:rsidR="0043792B" w:rsidRPr="00FF027F">
                  <w:rPr>
                    <w:rFonts w:ascii="Arial" w:hAnsi="Arial" w:cs="Arial"/>
                    <w:sz w:val="22"/>
                    <w:szCs w:val="22"/>
                    <w:lang w:val="en-GB"/>
                  </w:rPr>
                  <w:t xml:space="preserve">he </w:t>
                </w:r>
                <w:r w:rsidR="00880771" w:rsidRPr="00FF027F">
                  <w:rPr>
                    <w:rFonts w:ascii="Arial" w:hAnsi="Arial" w:cs="Arial"/>
                    <w:sz w:val="22"/>
                    <w:szCs w:val="22"/>
                    <w:lang w:val="en-GB"/>
                  </w:rPr>
                  <w:t xml:space="preserve">Human Resources Team is </w:t>
                </w:r>
                <w:r w:rsidRPr="00FF027F">
                  <w:rPr>
                    <w:rFonts w:ascii="Arial" w:hAnsi="Arial" w:cs="Arial"/>
                    <w:sz w:val="22"/>
                    <w:szCs w:val="22"/>
                    <w:lang w:val="en-GB"/>
                  </w:rPr>
                  <w:t xml:space="preserve">focused on the </w:t>
                </w:r>
                <w:r w:rsidR="00880771" w:rsidRPr="00FF027F">
                  <w:rPr>
                    <w:rFonts w:ascii="Arial" w:hAnsi="Arial" w:cs="Arial"/>
                    <w:sz w:val="22"/>
                    <w:szCs w:val="22"/>
                    <w:lang w:val="en-GB"/>
                  </w:rPr>
                  <w:t xml:space="preserve">consolidation of processes and procedures and </w:t>
                </w:r>
                <w:r w:rsidRPr="00FF027F">
                  <w:rPr>
                    <w:rFonts w:ascii="Arial" w:hAnsi="Arial" w:cs="Arial"/>
                    <w:sz w:val="22"/>
                    <w:szCs w:val="22"/>
                    <w:lang w:val="en-GB"/>
                  </w:rPr>
                  <w:t>the implementation of the</w:t>
                </w:r>
                <w:r w:rsidR="00880771" w:rsidRPr="00FF027F">
                  <w:rPr>
                    <w:rFonts w:ascii="Arial" w:hAnsi="Arial" w:cs="Arial"/>
                    <w:sz w:val="22"/>
                    <w:szCs w:val="22"/>
                    <w:lang w:val="en-GB"/>
                  </w:rPr>
                  <w:t xml:space="preserve"> amended Staff Regulations and new Implementing Rules. </w:t>
                </w:r>
              </w:p>
              <w:p w14:paraId="0BB91D39" w14:textId="7F14573E" w:rsidR="00880771" w:rsidRPr="00FF027F" w:rsidRDefault="00880771" w:rsidP="00880771">
                <w:pPr>
                  <w:spacing w:line="240" w:lineRule="auto"/>
                  <w:ind w:left="202"/>
                  <w:rPr>
                    <w:rFonts w:ascii="Arial" w:hAnsi="Arial" w:cs="Arial"/>
                    <w:sz w:val="22"/>
                    <w:szCs w:val="22"/>
                    <w:lang w:val="en-GB"/>
                  </w:rPr>
                </w:pPr>
                <w:r w:rsidRPr="00FF027F">
                  <w:rPr>
                    <w:rFonts w:ascii="Arial" w:hAnsi="Arial" w:cs="Arial"/>
                    <w:sz w:val="22"/>
                    <w:szCs w:val="22"/>
                    <w:lang w:val="en-GB"/>
                  </w:rPr>
                  <w:t>Due to un</w:t>
                </w:r>
                <w:r w:rsidR="00640808" w:rsidRPr="00FF027F">
                  <w:rPr>
                    <w:rFonts w:ascii="Arial" w:hAnsi="Arial" w:cs="Arial"/>
                    <w:sz w:val="22"/>
                    <w:szCs w:val="22"/>
                    <w:lang w:val="en-GB"/>
                  </w:rPr>
                  <w:t>expected</w:t>
                </w:r>
                <w:r w:rsidRPr="00FF027F">
                  <w:rPr>
                    <w:rFonts w:ascii="Arial" w:hAnsi="Arial" w:cs="Arial"/>
                    <w:sz w:val="22"/>
                    <w:szCs w:val="22"/>
                    <w:lang w:val="en-GB"/>
                  </w:rPr>
                  <w:t xml:space="preserve"> turnover of staff, recruitment </w:t>
                </w:r>
                <w:r w:rsidR="0062045C" w:rsidRPr="00FF027F">
                  <w:rPr>
                    <w:rFonts w:ascii="Arial" w:hAnsi="Arial" w:cs="Arial"/>
                    <w:sz w:val="22"/>
                    <w:szCs w:val="22"/>
                    <w:lang w:val="en-GB"/>
                  </w:rPr>
                  <w:t>activities are</w:t>
                </w:r>
                <w:r w:rsidRPr="00FF027F">
                  <w:rPr>
                    <w:rFonts w:ascii="Arial" w:hAnsi="Arial" w:cs="Arial"/>
                    <w:sz w:val="22"/>
                    <w:szCs w:val="22"/>
                    <w:lang w:val="en-GB"/>
                  </w:rPr>
                  <w:t xml:space="preserve"> at a higher level than expected, which adds to on-going challenges.</w:t>
                </w:r>
              </w:p>
              <w:p w14:paraId="57A2C9A7" w14:textId="591E09C0" w:rsidR="00880771" w:rsidRPr="00FF027F" w:rsidRDefault="0062045C" w:rsidP="00880771">
                <w:pPr>
                  <w:spacing w:line="240" w:lineRule="auto"/>
                  <w:ind w:left="202"/>
                  <w:rPr>
                    <w:rFonts w:ascii="Arial" w:hAnsi="Arial" w:cs="Arial"/>
                    <w:sz w:val="22"/>
                    <w:szCs w:val="22"/>
                    <w:lang w:val="en-GB"/>
                  </w:rPr>
                </w:pPr>
                <w:r w:rsidRPr="00FF027F">
                  <w:rPr>
                    <w:rFonts w:ascii="Arial" w:hAnsi="Arial" w:cs="Arial"/>
                    <w:sz w:val="22"/>
                    <w:szCs w:val="22"/>
                    <w:lang w:val="en-GB"/>
                  </w:rPr>
                  <w:t>T</w:t>
                </w:r>
                <w:r w:rsidR="00880771" w:rsidRPr="00FF027F">
                  <w:rPr>
                    <w:rFonts w:ascii="Arial" w:hAnsi="Arial" w:cs="Arial"/>
                    <w:sz w:val="22"/>
                    <w:szCs w:val="22"/>
                    <w:lang w:val="en-GB"/>
                  </w:rPr>
                  <w:t xml:space="preserve">he Team has </w:t>
                </w:r>
                <w:r w:rsidRPr="00FF027F">
                  <w:rPr>
                    <w:rFonts w:ascii="Arial" w:hAnsi="Arial" w:cs="Arial"/>
                    <w:sz w:val="22"/>
                    <w:szCs w:val="22"/>
                    <w:lang w:val="en-GB"/>
                  </w:rPr>
                  <w:t xml:space="preserve">also </w:t>
                </w:r>
                <w:r w:rsidR="00880771" w:rsidRPr="00FF027F">
                  <w:rPr>
                    <w:rFonts w:ascii="Arial" w:hAnsi="Arial" w:cs="Arial"/>
                    <w:sz w:val="22"/>
                    <w:szCs w:val="22"/>
                    <w:lang w:val="en-GB"/>
                  </w:rPr>
                  <w:t>worked to implement recommendations from previous audits</w:t>
                </w:r>
                <w:r w:rsidR="00B009A3" w:rsidRPr="00FF027F">
                  <w:rPr>
                    <w:rFonts w:ascii="Arial" w:hAnsi="Arial" w:cs="Arial"/>
                    <w:sz w:val="22"/>
                    <w:szCs w:val="22"/>
                    <w:lang w:val="en-GB"/>
                  </w:rPr>
                  <w:t>, with the aim of</w:t>
                </w:r>
                <w:r w:rsidR="00880771" w:rsidRPr="00FF027F">
                  <w:rPr>
                    <w:rFonts w:ascii="Arial" w:hAnsi="Arial" w:cs="Arial"/>
                    <w:sz w:val="22"/>
                    <w:szCs w:val="22"/>
                    <w:lang w:val="en-GB"/>
                  </w:rPr>
                  <w:t xml:space="preserve"> not receiving </w:t>
                </w:r>
                <w:r w:rsidR="0021711A" w:rsidRPr="00FF027F">
                  <w:rPr>
                    <w:rFonts w:ascii="Arial" w:hAnsi="Arial" w:cs="Arial"/>
                    <w:sz w:val="22"/>
                    <w:szCs w:val="22"/>
                    <w:lang w:val="en-GB"/>
                  </w:rPr>
                  <w:t>critical comments</w:t>
                </w:r>
                <w:r w:rsidR="00B009A3" w:rsidRPr="00FF027F">
                  <w:rPr>
                    <w:rFonts w:ascii="Arial" w:hAnsi="Arial" w:cs="Arial"/>
                    <w:sz w:val="22"/>
                    <w:szCs w:val="22"/>
                    <w:lang w:val="en-GB"/>
                  </w:rPr>
                  <w:t xml:space="preserve"> in future audits</w:t>
                </w:r>
                <w:r w:rsidR="00880771" w:rsidRPr="00FF027F">
                  <w:rPr>
                    <w:rFonts w:ascii="Arial" w:hAnsi="Arial" w:cs="Arial"/>
                    <w:sz w:val="22"/>
                    <w:szCs w:val="22"/>
                    <w:lang w:val="en-GB"/>
                  </w:rPr>
                  <w:t>.</w:t>
                </w:r>
              </w:p>
              <w:p w14:paraId="1B1F037B" w14:textId="7B5EA0CD" w:rsidR="00AC1AEB" w:rsidRPr="00FF027F" w:rsidRDefault="00B009A3" w:rsidP="00B009A3">
                <w:pPr>
                  <w:spacing w:line="240" w:lineRule="auto"/>
                  <w:ind w:left="202"/>
                  <w:rPr>
                    <w:rFonts w:ascii="Arial" w:hAnsi="Arial" w:cs="Arial"/>
                    <w:sz w:val="22"/>
                    <w:szCs w:val="22"/>
                    <w:lang w:val="en-GB"/>
                  </w:rPr>
                </w:pPr>
                <w:r w:rsidRPr="00FF027F">
                  <w:rPr>
                    <w:rFonts w:ascii="Arial" w:hAnsi="Arial" w:cs="Arial"/>
                    <w:sz w:val="22"/>
                    <w:szCs w:val="22"/>
                    <w:lang w:val="en-GB"/>
                  </w:rPr>
                  <w:t>B</w:t>
                </w:r>
                <w:r w:rsidR="00880771" w:rsidRPr="00FF027F">
                  <w:rPr>
                    <w:rFonts w:ascii="Arial" w:hAnsi="Arial" w:cs="Arial"/>
                    <w:sz w:val="22"/>
                    <w:szCs w:val="22"/>
                    <w:lang w:val="en-GB"/>
                  </w:rPr>
                  <w:t xml:space="preserve">est practices </w:t>
                </w:r>
                <w:r w:rsidRPr="00FF027F">
                  <w:rPr>
                    <w:rFonts w:ascii="Arial" w:hAnsi="Arial" w:cs="Arial"/>
                    <w:sz w:val="22"/>
                    <w:szCs w:val="22"/>
                    <w:lang w:val="en-GB"/>
                  </w:rPr>
                  <w:t xml:space="preserve">are being implemented to strive for a </w:t>
                </w:r>
                <w:r w:rsidR="00880771" w:rsidRPr="00FF027F">
                  <w:rPr>
                    <w:rFonts w:ascii="Arial" w:hAnsi="Arial" w:cs="Arial"/>
                    <w:sz w:val="22"/>
                    <w:szCs w:val="22"/>
                    <w:lang w:val="en-GB"/>
                  </w:rPr>
                  <w:t>balanced workplace.</w:t>
                </w:r>
              </w:p>
            </w:tc>
          </w:tr>
          <w:tr w:rsidR="00AC1AEB" w:rsidRPr="00FF027F" w14:paraId="77CA504F" w14:textId="77777777" w:rsidTr="00AC1AEB">
            <w:tc>
              <w:tcPr>
                <w:tcW w:w="2552" w:type="dxa"/>
              </w:tcPr>
              <w:p w14:paraId="048B2E37" w14:textId="77777777" w:rsidR="00AC1AEB" w:rsidRPr="00FF027F" w:rsidRDefault="00AC1AEB" w:rsidP="0062045C">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520" w:type="dxa"/>
              </w:tcPr>
              <w:p w14:paraId="6A78983E" w14:textId="77777777" w:rsidR="00A83F03" w:rsidRPr="00FF027F" w:rsidRDefault="00A83F03" w:rsidP="00A83F03">
                <w:pPr>
                  <w:spacing w:line="240" w:lineRule="auto"/>
                  <w:ind w:left="202"/>
                  <w:jc w:val="left"/>
                  <w:rPr>
                    <w:rFonts w:ascii="Arial" w:hAnsi="Arial" w:cs="Arial"/>
                    <w:sz w:val="22"/>
                    <w:szCs w:val="22"/>
                    <w:lang w:val="en-GB"/>
                  </w:rPr>
                </w:pPr>
                <w:r w:rsidRPr="00FF027F">
                  <w:rPr>
                    <w:rFonts w:ascii="Arial" w:hAnsi="Arial" w:cs="Arial"/>
                    <w:sz w:val="22"/>
                    <w:szCs w:val="22"/>
                    <w:lang w:val="en-GB"/>
                  </w:rPr>
                  <w:t>ACER’s targets for 2015 are to:</w:t>
                </w:r>
              </w:p>
              <w:p w14:paraId="2F757F6E" w14:textId="77777777" w:rsidR="00A83F03" w:rsidRPr="00FF027F" w:rsidRDefault="00A83F03" w:rsidP="00A83F03">
                <w:pPr>
                  <w:spacing w:line="240" w:lineRule="auto"/>
                  <w:ind w:left="202"/>
                  <w:jc w:val="left"/>
                  <w:rPr>
                    <w:rFonts w:ascii="Arial" w:hAnsi="Arial" w:cs="Arial"/>
                    <w:sz w:val="22"/>
                    <w:szCs w:val="22"/>
                    <w:lang w:val="en-GB"/>
                  </w:rPr>
                </w:pPr>
                <w:r w:rsidRPr="00FF027F">
                  <w:rPr>
                    <w:rFonts w:ascii="Arial" w:hAnsi="Arial" w:cs="Arial"/>
                    <w:sz w:val="22"/>
                    <w:szCs w:val="22"/>
                    <w:lang w:val="en-GB"/>
                  </w:rPr>
                  <w:t>Complete the recruitment of staff needed to fulfil the tasks of the Agency;</w:t>
                </w:r>
              </w:p>
              <w:p w14:paraId="49A670EF" w14:textId="70C6D788" w:rsidR="00A83F03" w:rsidRPr="00FF027F" w:rsidRDefault="00A83F03" w:rsidP="00A83F03">
                <w:pPr>
                  <w:spacing w:line="240" w:lineRule="auto"/>
                  <w:ind w:left="197"/>
                  <w:rPr>
                    <w:rFonts w:ascii="Arial" w:hAnsi="Arial" w:cs="Arial"/>
                    <w:sz w:val="22"/>
                    <w:szCs w:val="22"/>
                    <w:lang w:val="en-GB"/>
                  </w:rPr>
                </w:pPr>
                <w:r w:rsidRPr="00FF027F">
                  <w:rPr>
                    <w:rFonts w:ascii="Arial" w:hAnsi="Arial" w:cs="Arial"/>
                    <w:sz w:val="22"/>
                    <w:szCs w:val="22"/>
                    <w:lang w:val="en-GB"/>
                  </w:rPr>
                  <w:t xml:space="preserve">Successfully complete the Annual performance appraisal exercise to </w:t>
                </w:r>
                <w:r w:rsidR="0021711A" w:rsidRPr="00FF027F">
                  <w:rPr>
                    <w:rFonts w:ascii="Arial" w:hAnsi="Arial" w:cs="Arial"/>
                    <w:sz w:val="22"/>
                    <w:szCs w:val="22"/>
                    <w:lang w:val="en-GB"/>
                  </w:rPr>
                  <w:t>be carried out in 2015, according to the new Implementing Rules</w:t>
                </w:r>
                <w:r w:rsidR="00FA371D" w:rsidRPr="00FF027F">
                  <w:rPr>
                    <w:rFonts w:ascii="Arial" w:hAnsi="Arial" w:cs="Arial"/>
                    <w:sz w:val="22"/>
                    <w:szCs w:val="22"/>
                    <w:lang w:val="en-GB"/>
                  </w:rPr>
                  <w:t>;</w:t>
                </w:r>
              </w:p>
              <w:p w14:paraId="11474FBA" w14:textId="737A9642" w:rsidR="00AC1AEB" w:rsidRPr="00FF027F" w:rsidRDefault="00FA371D" w:rsidP="00FA371D">
                <w:pPr>
                  <w:spacing w:line="240" w:lineRule="auto"/>
                  <w:ind w:left="197"/>
                  <w:rPr>
                    <w:rFonts w:ascii="Arial" w:hAnsi="Arial" w:cs="Arial"/>
                    <w:sz w:val="22"/>
                    <w:szCs w:val="22"/>
                    <w:lang w:val="en-GB"/>
                  </w:rPr>
                </w:pPr>
                <w:r w:rsidRPr="00FF027F">
                  <w:rPr>
                    <w:rFonts w:ascii="Arial" w:hAnsi="Arial" w:cs="Arial"/>
                    <w:sz w:val="22"/>
                    <w:szCs w:val="22"/>
                    <w:lang w:val="en-GB"/>
                  </w:rPr>
                  <w:t>Receive p</w:t>
                </w:r>
                <w:r w:rsidR="00A83F03" w:rsidRPr="00FF027F">
                  <w:rPr>
                    <w:rFonts w:ascii="Arial" w:hAnsi="Arial" w:cs="Arial"/>
                    <w:sz w:val="22"/>
                    <w:szCs w:val="22"/>
                    <w:lang w:val="en-GB"/>
                  </w:rPr>
                  <w:t>ositive evaluation results from both IAS and ECA.</w:t>
                </w:r>
              </w:p>
            </w:tc>
          </w:tr>
          <w:tr w:rsidR="00AC1AEB" w:rsidRPr="00FF027F" w14:paraId="393DBC80" w14:textId="77777777" w:rsidTr="00AC1AEB">
            <w:tc>
              <w:tcPr>
                <w:tcW w:w="2552" w:type="dxa"/>
              </w:tcPr>
              <w:p w14:paraId="2777DA51" w14:textId="77777777" w:rsidR="00AC1AEB" w:rsidRPr="00FF027F" w:rsidRDefault="00AC1AEB" w:rsidP="0062045C">
                <w:pPr>
                  <w:spacing w:line="240" w:lineRule="auto"/>
                  <w:ind w:left="202"/>
                  <w:jc w:val="left"/>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520" w:type="dxa"/>
              </w:tcPr>
              <w:p w14:paraId="3BFF1364" w14:textId="77777777" w:rsidR="00A83F03" w:rsidRPr="00FF027F" w:rsidRDefault="00A83F03" w:rsidP="00A83F03">
                <w:pPr>
                  <w:spacing w:line="240" w:lineRule="auto"/>
                  <w:ind w:left="197"/>
                  <w:rPr>
                    <w:rFonts w:ascii="Arial" w:hAnsi="Arial" w:cs="Arial"/>
                    <w:sz w:val="22"/>
                    <w:szCs w:val="22"/>
                    <w:lang w:val="en-GB"/>
                  </w:rPr>
                </w:pPr>
                <w:r w:rsidRPr="00FF027F">
                  <w:rPr>
                    <w:rFonts w:ascii="Arial" w:hAnsi="Arial" w:cs="Arial"/>
                    <w:sz w:val="22"/>
                    <w:szCs w:val="22"/>
                    <w:lang w:val="en-GB"/>
                  </w:rPr>
                  <w:t>Reaching 90% recruitment target.</w:t>
                </w:r>
              </w:p>
              <w:p w14:paraId="4397C57C" w14:textId="40E36540" w:rsidR="00880771" w:rsidRPr="00FF027F" w:rsidRDefault="0043792B" w:rsidP="00880771">
                <w:pPr>
                  <w:spacing w:line="240" w:lineRule="auto"/>
                  <w:ind w:left="197"/>
                  <w:rPr>
                    <w:rFonts w:ascii="Arial" w:hAnsi="Arial" w:cs="Arial"/>
                    <w:sz w:val="22"/>
                    <w:szCs w:val="22"/>
                    <w:lang w:val="en-GB"/>
                  </w:rPr>
                </w:pPr>
                <w:r w:rsidRPr="00FF027F">
                  <w:rPr>
                    <w:rFonts w:ascii="Arial" w:hAnsi="Arial" w:cs="Arial"/>
                    <w:sz w:val="22"/>
                    <w:szCs w:val="22"/>
                    <w:lang w:val="en-GB"/>
                  </w:rPr>
                  <w:t xml:space="preserve">100% </w:t>
                </w:r>
                <w:r w:rsidR="00F25E37" w:rsidRPr="00FF027F">
                  <w:rPr>
                    <w:rFonts w:ascii="Arial" w:hAnsi="Arial" w:cs="Arial"/>
                    <w:sz w:val="22"/>
                    <w:szCs w:val="22"/>
                    <w:lang w:val="en-GB"/>
                  </w:rPr>
                  <w:t xml:space="preserve">of ACER staff subject to </w:t>
                </w:r>
                <w:r w:rsidR="00880771" w:rsidRPr="00FF027F">
                  <w:rPr>
                    <w:rFonts w:ascii="Arial" w:hAnsi="Arial" w:cs="Arial"/>
                    <w:sz w:val="22"/>
                    <w:szCs w:val="22"/>
                    <w:lang w:val="en-GB"/>
                  </w:rPr>
                  <w:t xml:space="preserve">performance appraisal </w:t>
                </w:r>
                <w:r w:rsidR="00A83F03" w:rsidRPr="00FF027F">
                  <w:rPr>
                    <w:rFonts w:ascii="Arial" w:hAnsi="Arial" w:cs="Arial"/>
                    <w:sz w:val="22"/>
                    <w:szCs w:val="22"/>
                    <w:lang w:val="en-GB"/>
                  </w:rPr>
                  <w:t>in the 201</w:t>
                </w:r>
                <w:r w:rsidR="00F25E37" w:rsidRPr="00FF027F">
                  <w:rPr>
                    <w:rFonts w:ascii="Arial" w:hAnsi="Arial" w:cs="Arial"/>
                    <w:sz w:val="22"/>
                    <w:szCs w:val="22"/>
                    <w:lang w:val="en-GB"/>
                  </w:rPr>
                  <w:t xml:space="preserve">5 </w:t>
                </w:r>
                <w:r w:rsidR="00880771" w:rsidRPr="00FF027F">
                  <w:rPr>
                    <w:rFonts w:ascii="Arial" w:hAnsi="Arial" w:cs="Arial"/>
                    <w:sz w:val="22"/>
                    <w:szCs w:val="22"/>
                    <w:lang w:val="en-GB"/>
                  </w:rPr>
                  <w:t>exercise</w:t>
                </w:r>
                <w:r w:rsidR="00FE7A81" w:rsidRPr="00FF027F">
                  <w:rPr>
                    <w:rFonts w:ascii="Arial" w:hAnsi="Arial" w:cs="Arial"/>
                    <w:sz w:val="22"/>
                    <w:szCs w:val="22"/>
                    <w:lang w:val="en-GB"/>
                  </w:rPr>
                  <w:t>, in line with the new Implementing Rules</w:t>
                </w:r>
                <w:r w:rsidR="00FA371D" w:rsidRPr="00FF027F">
                  <w:rPr>
                    <w:rFonts w:ascii="Arial" w:hAnsi="Arial" w:cs="Arial"/>
                    <w:sz w:val="22"/>
                    <w:szCs w:val="22"/>
                    <w:lang w:val="en-GB"/>
                  </w:rPr>
                  <w:t>.</w:t>
                </w:r>
              </w:p>
              <w:p w14:paraId="307FFDF0" w14:textId="77777777" w:rsidR="00AC1AEB" w:rsidRPr="00FF027F" w:rsidRDefault="00A83F03" w:rsidP="00880771">
                <w:pPr>
                  <w:spacing w:line="240" w:lineRule="auto"/>
                  <w:ind w:left="197"/>
                  <w:jc w:val="left"/>
                  <w:rPr>
                    <w:rFonts w:ascii="Arial" w:hAnsi="Arial" w:cs="Arial"/>
                    <w:sz w:val="22"/>
                    <w:szCs w:val="22"/>
                    <w:lang w:val="en-GB"/>
                  </w:rPr>
                </w:pPr>
                <w:r w:rsidRPr="00FF027F">
                  <w:rPr>
                    <w:rFonts w:ascii="Arial" w:hAnsi="Arial" w:cs="Arial"/>
                    <w:sz w:val="22"/>
                    <w:szCs w:val="22"/>
                    <w:lang w:val="en-GB"/>
                  </w:rPr>
                  <w:t>No critical or very important recommendations from IAS and ECA audits.</w:t>
                </w:r>
              </w:p>
            </w:tc>
          </w:tr>
          <w:tr w:rsidR="00AC1AEB" w:rsidRPr="00FF027F" w14:paraId="4252AC6E" w14:textId="77777777" w:rsidTr="00AC1AEB">
            <w:tc>
              <w:tcPr>
                <w:tcW w:w="2552" w:type="dxa"/>
              </w:tcPr>
              <w:p w14:paraId="10754BF3" w14:textId="77777777" w:rsidR="00AC1AEB" w:rsidRPr="00FF027F" w:rsidRDefault="00AC1AEB" w:rsidP="0062045C">
                <w:pPr>
                  <w:ind w:left="179"/>
                  <w:rPr>
                    <w:rFonts w:ascii="Arial" w:hAnsi="Arial" w:cs="Arial"/>
                    <w:sz w:val="22"/>
                    <w:szCs w:val="22"/>
                    <w:lang w:val="en-GB"/>
                  </w:rPr>
                </w:pPr>
                <w:r w:rsidRPr="00FF027F">
                  <w:rPr>
                    <w:rFonts w:ascii="Arial" w:hAnsi="Arial" w:cs="Arial"/>
                    <w:sz w:val="22"/>
                    <w:szCs w:val="22"/>
                    <w:lang w:val="en-GB"/>
                  </w:rPr>
                  <w:t>Staff</w:t>
                </w:r>
              </w:p>
            </w:tc>
            <w:tc>
              <w:tcPr>
                <w:tcW w:w="6520" w:type="dxa"/>
              </w:tcPr>
              <w:p w14:paraId="7EEF6DC2" w14:textId="77777777" w:rsidR="00AC1AEB" w:rsidRPr="00FF027F" w:rsidRDefault="00454FE0" w:rsidP="00AC1AEB">
                <w:pPr>
                  <w:spacing w:line="240" w:lineRule="auto"/>
                  <w:ind w:left="197"/>
                  <w:rPr>
                    <w:rFonts w:ascii="Arial" w:hAnsi="Arial" w:cs="Arial"/>
                    <w:sz w:val="22"/>
                    <w:szCs w:val="22"/>
                    <w:lang w:val="en-GB"/>
                  </w:rPr>
                </w:pPr>
                <w:r w:rsidRPr="00FF027F">
                  <w:rPr>
                    <w:rFonts w:ascii="Arial" w:hAnsi="Arial" w:cs="Arial"/>
                    <w:sz w:val="22"/>
                    <w:szCs w:val="22"/>
                    <w:lang w:val="en-GB"/>
                  </w:rPr>
                  <w:t>3 FTE</w:t>
                </w:r>
              </w:p>
            </w:tc>
          </w:tr>
          <w:tr w:rsidR="00AC1AEB" w:rsidRPr="00FF027F" w14:paraId="6F9611EA" w14:textId="77777777" w:rsidTr="00AC1AEB">
            <w:tc>
              <w:tcPr>
                <w:tcW w:w="2552" w:type="dxa"/>
              </w:tcPr>
              <w:p w14:paraId="78ADC2A9" w14:textId="77777777" w:rsidR="00AC1AEB" w:rsidRPr="00FF027F" w:rsidRDefault="00AC1AEB" w:rsidP="0062045C">
                <w:pPr>
                  <w:ind w:left="202"/>
                  <w:rPr>
                    <w:rFonts w:ascii="Arial" w:hAnsi="Arial" w:cs="Arial"/>
                    <w:sz w:val="22"/>
                    <w:szCs w:val="22"/>
                    <w:lang w:val="en-GB"/>
                  </w:rPr>
                </w:pPr>
                <w:r w:rsidRPr="00FF027F">
                  <w:rPr>
                    <w:rFonts w:ascii="Arial" w:hAnsi="Arial" w:cs="Arial"/>
                    <w:sz w:val="22"/>
                    <w:szCs w:val="22"/>
                    <w:lang w:val="en-GB"/>
                  </w:rPr>
                  <w:t>Risks</w:t>
                </w:r>
              </w:p>
            </w:tc>
            <w:tc>
              <w:tcPr>
                <w:tcW w:w="6520" w:type="dxa"/>
              </w:tcPr>
              <w:p w14:paraId="3D11D145" w14:textId="46B454EC" w:rsidR="00AC1AEB" w:rsidRPr="00FF027F" w:rsidRDefault="00B009A3" w:rsidP="00192E9E">
                <w:pPr>
                  <w:spacing w:line="240" w:lineRule="auto"/>
                  <w:ind w:left="197"/>
                  <w:rPr>
                    <w:rFonts w:ascii="Arial" w:hAnsi="Arial" w:cs="Arial"/>
                    <w:sz w:val="22"/>
                    <w:szCs w:val="22"/>
                    <w:lang w:val="en-GB"/>
                  </w:rPr>
                </w:pPr>
                <w:r w:rsidRPr="00FF027F">
                  <w:rPr>
                    <w:rFonts w:ascii="Arial" w:hAnsi="Arial" w:cs="Arial"/>
                    <w:sz w:val="22"/>
                    <w:szCs w:val="22"/>
                    <w:lang w:val="en-GB"/>
                  </w:rPr>
                  <w:t xml:space="preserve">An </w:t>
                </w:r>
                <w:r w:rsidR="009178C1" w:rsidRPr="00FF027F">
                  <w:rPr>
                    <w:rFonts w:ascii="Arial" w:hAnsi="Arial" w:cs="Arial"/>
                    <w:sz w:val="22"/>
                    <w:szCs w:val="22"/>
                    <w:lang w:val="en-GB"/>
                  </w:rPr>
                  <w:t>i</w:t>
                </w:r>
                <w:r w:rsidR="00880771" w:rsidRPr="00FF027F">
                  <w:rPr>
                    <w:rFonts w:ascii="Arial" w:hAnsi="Arial" w:cs="Arial"/>
                    <w:sz w:val="22"/>
                    <w:szCs w:val="22"/>
                    <w:lang w:val="en-GB"/>
                  </w:rPr>
                  <w:t xml:space="preserve">ncrease in </w:t>
                </w:r>
                <w:r w:rsidR="0043792B" w:rsidRPr="00FF027F">
                  <w:rPr>
                    <w:rFonts w:ascii="Arial" w:hAnsi="Arial" w:cs="Arial"/>
                    <w:sz w:val="22"/>
                    <w:szCs w:val="22"/>
                    <w:lang w:val="en-GB"/>
                  </w:rPr>
                  <w:t xml:space="preserve">the </w:t>
                </w:r>
                <w:r w:rsidRPr="00FF027F">
                  <w:rPr>
                    <w:rFonts w:ascii="Arial" w:hAnsi="Arial" w:cs="Arial"/>
                    <w:sz w:val="22"/>
                    <w:szCs w:val="22"/>
                    <w:lang w:val="en-GB"/>
                  </w:rPr>
                  <w:t xml:space="preserve">number of </w:t>
                </w:r>
                <w:r w:rsidR="00880771" w:rsidRPr="00FF027F">
                  <w:rPr>
                    <w:rFonts w:ascii="Arial" w:hAnsi="Arial" w:cs="Arial"/>
                    <w:sz w:val="22"/>
                    <w:szCs w:val="22"/>
                    <w:lang w:val="en-GB"/>
                  </w:rPr>
                  <w:t>recruitment procedures</w:t>
                </w:r>
                <w:r w:rsidRPr="00FF027F">
                  <w:rPr>
                    <w:rFonts w:ascii="Arial" w:hAnsi="Arial" w:cs="Arial"/>
                    <w:sz w:val="22"/>
                    <w:szCs w:val="22"/>
                    <w:lang w:val="en-GB"/>
                  </w:rPr>
                  <w:t xml:space="preserve"> could </w:t>
                </w:r>
                <w:r w:rsidR="00192E9E" w:rsidRPr="00FF027F">
                  <w:rPr>
                    <w:rFonts w:ascii="Arial" w:hAnsi="Arial" w:cs="Arial"/>
                    <w:sz w:val="22"/>
                    <w:szCs w:val="22"/>
                    <w:lang w:val="en-GB"/>
                  </w:rPr>
                  <w:t>absorb more resources of the HR Team than expected</w:t>
                </w:r>
                <w:r w:rsidR="0043792B" w:rsidRPr="00FF027F">
                  <w:rPr>
                    <w:rFonts w:ascii="Arial" w:hAnsi="Arial" w:cs="Arial"/>
                    <w:sz w:val="22"/>
                    <w:szCs w:val="22"/>
                    <w:lang w:val="en-GB"/>
                  </w:rPr>
                  <w:t xml:space="preserve">. </w:t>
                </w:r>
              </w:p>
            </w:tc>
          </w:tr>
        </w:tbl>
        <w:p w14:paraId="6B3A33A5" w14:textId="77777777" w:rsidR="00AC1AEB" w:rsidRPr="00FF027F" w:rsidRDefault="00AC1AEB" w:rsidP="00544C04">
          <w:pPr>
            <w:pStyle w:val="11ptVerdanaBold"/>
            <w:rPr>
              <w:color w:val="FF0000"/>
              <w:sz w:val="32"/>
              <w:szCs w:val="32"/>
            </w:rPr>
          </w:pPr>
        </w:p>
        <w:p w14:paraId="32DC21AD" w14:textId="77777777" w:rsidR="00544C04" w:rsidRPr="00FF027F" w:rsidRDefault="0008523F" w:rsidP="00544C04">
          <w:pPr>
            <w:pStyle w:val="Heading3"/>
            <w:rPr>
              <w:color w:val="4F81BD" w:themeColor="accent1"/>
            </w:rPr>
          </w:pPr>
          <w:bookmarkStart w:id="113" w:name="_Toc358640724"/>
          <w:bookmarkStart w:id="114" w:name="_Toc358640937"/>
          <w:bookmarkStart w:id="115" w:name="_Toc396913804"/>
          <w:r w:rsidRPr="00FF027F">
            <w:rPr>
              <w:color w:val="4F81BD" w:themeColor="accent1"/>
            </w:rPr>
            <w:t>Audit</w:t>
          </w:r>
          <w:bookmarkEnd w:id="113"/>
          <w:bookmarkEnd w:id="114"/>
          <w:bookmarkEnd w:id="115"/>
          <w:r w:rsidR="00934C0D" w:rsidRPr="00FF027F">
            <w:rPr>
              <w:color w:val="4F81BD" w:themeColor="accent1"/>
            </w:rPr>
            <w:t xml:space="preserve"> </w:t>
          </w:r>
        </w:p>
        <w:p w14:paraId="48F429B7" w14:textId="1F4BB67E" w:rsidR="00F973FA" w:rsidRPr="00FF027F" w:rsidRDefault="00192E9E" w:rsidP="00192E9E">
          <w:pPr>
            <w:spacing w:before="360" w:after="240" w:line="360" w:lineRule="auto"/>
            <w:rPr>
              <w:rFonts w:ascii="Arial" w:hAnsi="Arial" w:cs="Arial"/>
              <w:lang w:val="en-GB"/>
            </w:rPr>
          </w:pPr>
          <w:r w:rsidRPr="00FF027F">
            <w:rPr>
              <w:rFonts w:ascii="Arial" w:hAnsi="Arial" w:cs="Arial"/>
              <w:lang w:val="en-GB"/>
            </w:rPr>
            <w:t>The activities</w:t>
          </w:r>
          <w:r w:rsidR="00F973FA" w:rsidRPr="00FF027F">
            <w:rPr>
              <w:rFonts w:ascii="Arial" w:hAnsi="Arial" w:cs="Arial"/>
              <w:lang w:val="en-GB"/>
            </w:rPr>
            <w:t xml:space="preserve"> of the Agency </w:t>
          </w:r>
          <w:r w:rsidRPr="00FF027F">
            <w:rPr>
              <w:rFonts w:ascii="Arial" w:hAnsi="Arial" w:cs="Arial"/>
              <w:lang w:val="en-GB"/>
            </w:rPr>
            <w:t xml:space="preserve">are </w:t>
          </w:r>
          <w:r w:rsidR="00F973FA" w:rsidRPr="00FF027F">
            <w:rPr>
              <w:rFonts w:ascii="Arial" w:hAnsi="Arial" w:cs="Arial"/>
              <w:lang w:val="en-GB"/>
            </w:rPr>
            <w:t>regularly evaluated by</w:t>
          </w:r>
          <w:r w:rsidR="00774B50" w:rsidRPr="00FF027F">
            <w:rPr>
              <w:rFonts w:ascii="Arial" w:hAnsi="Arial" w:cs="Arial"/>
              <w:lang w:val="en-GB"/>
            </w:rPr>
            <w:t xml:space="preserve"> the Internal Audit S</w:t>
          </w:r>
          <w:r w:rsidR="00F973FA" w:rsidRPr="00FF027F">
            <w:rPr>
              <w:rFonts w:ascii="Arial" w:hAnsi="Arial" w:cs="Arial"/>
              <w:lang w:val="en-GB"/>
            </w:rPr>
            <w:t xml:space="preserve">ervices </w:t>
          </w:r>
          <w:r w:rsidR="0025377A" w:rsidRPr="00FF027F">
            <w:rPr>
              <w:rFonts w:ascii="Arial" w:hAnsi="Arial" w:cs="Arial"/>
              <w:lang w:val="en-GB"/>
            </w:rPr>
            <w:t xml:space="preserve">(IAS) </w:t>
          </w:r>
          <w:r w:rsidR="00F973FA" w:rsidRPr="00FF027F">
            <w:rPr>
              <w:rFonts w:ascii="Arial" w:hAnsi="Arial" w:cs="Arial"/>
              <w:lang w:val="en-GB"/>
            </w:rPr>
            <w:t xml:space="preserve">of the </w:t>
          </w:r>
          <w:r w:rsidR="00774B50" w:rsidRPr="00FF027F">
            <w:rPr>
              <w:rFonts w:ascii="Arial" w:hAnsi="Arial" w:cs="Arial"/>
              <w:lang w:val="en-GB"/>
            </w:rPr>
            <w:t xml:space="preserve">European </w:t>
          </w:r>
          <w:r w:rsidR="00F973FA" w:rsidRPr="00FF027F">
            <w:rPr>
              <w:rFonts w:ascii="Arial" w:hAnsi="Arial" w:cs="Arial"/>
              <w:lang w:val="en-GB"/>
            </w:rPr>
            <w:t xml:space="preserve">Commission and </w:t>
          </w:r>
          <w:r w:rsidRPr="00FF027F">
            <w:rPr>
              <w:rFonts w:ascii="Arial" w:hAnsi="Arial" w:cs="Arial"/>
              <w:lang w:val="en-GB"/>
            </w:rPr>
            <w:t xml:space="preserve">by </w:t>
          </w:r>
          <w:r w:rsidR="00F973FA" w:rsidRPr="00FF027F">
            <w:rPr>
              <w:rFonts w:ascii="Arial" w:hAnsi="Arial" w:cs="Arial"/>
              <w:lang w:val="en-GB"/>
            </w:rPr>
            <w:t>the European Court of Auditors</w:t>
          </w:r>
          <w:r w:rsidR="0025377A" w:rsidRPr="00FF027F">
            <w:rPr>
              <w:rFonts w:ascii="Arial" w:hAnsi="Arial" w:cs="Arial"/>
              <w:lang w:val="en-GB"/>
            </w:rPr>
            <w:t xml:space="preserve"> (ECA)</w:t>
          </w:r>
          <w:r w:rsidR="00F973FA" w:rsidRPr="00FF027F">
            <w:rPr>
              <w:rFonts w:ascii="Arial" w:hAnsi="Arial" w:cs="Arial"/>
              <w:lang w:val="en-GB"/>
            </w:rPr>
            <w:t>.</w:t>
          </w:r>
        </w:p>
        <w:p w14:paraId="59F13E0D" w14:textId="77777777" w:rsidR="00774B50" w:rsidRPr="00FF027F" w:rsidRDefault="0025377A" w:rsidP="00192E9E">
          <w:pPr>
            <w:spacing w:before="360" w:after="240" w:line="360" w:lineRule="auto"/>
            <w:rPr>
              <w:rFonts w:ascii="Arial" w:hAnsi="Arial" w:cs="Arial"/>
              <w:lang w:val="en-GB"/>
            </w:rPr>
          </w:pPr>
          <w:r w:rsidRPr="00FF027F">
            <w:rPr>
              <w:rFonts w:ascii="Arial" w:hAnsi="Arial" w:cs="Arial"/>
              <w:lang w:val="en-GB"/>
            </w:rPr>
            <w:t xml:space="preserve">According to the Strategic Audit Plan </w:t>
          </w:r>
          <w:r w:rsidR="009A2433" w:rsidRPr="00FF027F">
            <w:rPr>
              <w:rFonts w:ascii="Arial" w:hAnsi="Arial" w:cs="Arial"/>
              <w:lang w:val="en-GB"/>
            </w:rPr>
            <w:t>2013</w:t>
          </w:r>
          <w:r w:rsidR="00934C0D" w:rsidRPr="00FF027F">
            <w:rPr>
              <w:rFonts w:ascii="Arial" w:hAnsi="Arial" w:cs="Arial"/>
              <w:lang w:val="en-GB"/>
            </w:rPr>
            <w:t xml:space="preserve"> – </w:t>
          </w:r>
          <w:r w:rsidR="009A2433" w:rsidRPr="00FF027F">
            <w:rPr>
              <w:rFonts w:ascii="Arial" w:hAnsi="Arial" w:cs="Arial"/>
              <w:lang w:val="en-GB"/>
            </w:rPr>
            <w:t>2015</w:t>
          </w:r>
          <w:r w:rsidR="00934C0D" w:rsidRPr="00FF027F">
            <w:rPr>
              <w:rFonts w:ascii="Arial" w:hAnsi="Arial" w:cs="Arial"/>
              <w:lang w:val="en-GB"/>
            </w:rPr>
            <w:t xml:space="preserve"> </w:t>
          </w:r>
          <w:r w:rsidRPr="00FF027F">
            <w:rPr>
              <w:rFonts w:ascii="Arial" w:hAnsi="Arial" w:cs="Arial"/>
              <w:lang w:val="en-GB"/>
            </w:rPr>
            <w:t>of IAS</w:t>
          </w:r>
          <w:r w:rsidR="00D52AE2" w:rsidRPr="00FF027F">
            <w:rPr>
              <w:rFonts w:ascii="Arial" w:hAnsi="Arial" w:cs="Arial"/>
              <w:lang w:val="en-GB"/>
            </w:rPr>
            <w:t>,</w:t>
          </w:r>
          <w:r w:rsidRPr="00FF027F">
            <w:rPr>
              <w:rFonts w:ascii="Arial" w:hAnsi="Arial" w:cs="Arial"/>
              <w:lang w:val="en-GB"/>
            </w:rPr>
            <w:t xml:space="preserve"> the audit topics for this period will focus on:</w:t>
          </w:r>
        </w:p>
        <w:p w14:paraId="16E65A22" w14:textId="6EB02B14" w:rsidR="009A2433" w:rsidRPr="00FF027F" w:rsidRDefault="009A2433" w:rsidP="00A57637">
          <w:pPr>
            <w:pStyle w:val="ListParagraph"/>
            <w:numPr>
              <w:ilvl w:val="0"/>
              <w:numId w:val="44"/>
            </w:numPr>
            <w:autoSpaceDE w:val="0"/>
            <w:autoSpaceDN w:val="0"/>
            <w:adjustRightInd w:val="0"/>
            <w:spacing w:before="360" w:after="240" w:line="360" w:lineRule="auto"/>
            <w:ind w:left="426"/>
            <w:rPr>
              <w:rFonts w:ascii="Arial" w:hAnsi="Arial" w:cs="Arial"/>
              <w:lang w:val="en-GB"/>
            </w:rPr>
          </w:pPr>
          <w:r w:rsidRPr="00FF027F">
            <w:rPr>
              <w:rFonts w:ascii="Arial" w:hAnsi="Arial" w:cs="Arial"/>
              <w:lang w:val="en-GB"/>
            </w:rPr>
            <w:t>Budget execution and procurement</w:t>
          </w:r>
          <w:r w:rsidR="00FA371D" w:rsidRPr="00FF027F">
            <w:rPr>
              <w:rFonts w:ascii="Arial" w:hAnsi="Arial" w:cs="Arial"/>
              <w:lang w:val="en-GB"/>
            </w:rPr>
            <w:t>;</w:t>
          </w:r>
        </w:p>
        <w:p w14:paraId="1E1C82ED" w14:textId="77718E81" w:rsidR="009A2433" w:rsidRPr="00FF027F" w:rsidRDefault="009A2433" w:rsidP="00A57637">
          <w:pPr>
            <w:pStyle w:val="ListParagraph"/>
            <w:numPr>
              <w:ilvl w:val="0"/>
              <w:numId w:val="44"/>
            </w:numPr>
            <w:autoSpaceDE w:val="0"/>
            <w:autoSpaceDN w:val="0"/>
            <w:adjustRightInd w:val="0"/>
            <w:spacing w:before="360" w:after="240" w:line="360" w:lineRule="auto"/>
            <w:ind w:left="426"/>
            <w:rPr>
              <w:rFonts w:ascii="Arial" w:hAnsi="Arial" w:cs="Arial"/>
              <w:lang w:val="en-GB"/>
            </w:rPr>
          </w:pPr>
          <w:r w:rsidRPr="00FF027F">
            <w:rPr>
              <w:rFonts w:ascii="Arial" w:hAnsi="Arial" w:cs="Arial"/>
              <w:lang w:val="en-GB"/>
            </w:rPr>
            <w:t>IT governance (in the context of preparedness for REMIT)</w:t>
          </w:r>
          <w:r w:rsidR="00FA371D" w:rsidRPr="00FF027F">
            <w:rPr>
              <w:rFonts w:ascii="Arial" w:hAnsi="Arial" w:cs="Arial"/>
              <w:lang w:val="en-GB"/>
            </w:rPr>
            <w:t>;</w:t>
          </w:r>
        </w:p>
        <w:p w14:paraId="46D776E5" w14:textId="5A74EEF6" w:rsidR="009A2433" w:rsidRPr="00FF027F" w:rsidRDefault="009A2433" w:rsidP="00A57637">
          <w:pPr>
            <w:pStyle w:val="ListParagraph"/>
            <w:numPr>
              <w:ilvl w:val="0"/>
              <w:numId w:val="44"/>
            </w:numPr>
            <w:autoSpaceDE w:val="0"/>
            <w:autoSpaceDN w:val="0"/>
            <w:adjustRightInd w:val="0"/>
            <w:spacing w:before="360" w:after="240" w:line="360" w:lineRule="auto"/>
            <w:ind w:left="426"/>
            <w:rPr>
              <w:rFonts w:ascii="Arial" w:hAnsi="Arial" w:cs="Arial"/>
              <w:lang w:val="en-GB"/>
            </w:rPr>
          </w:pPr>
          <w:r w:rsidRPr="00FF027F">
            <w:rPr>
              <w:rFonts w:ascii="Arial" w:hAnsi="Arial" w:cs="Arial"/>
              <w:lang w:val="en-GB"/>
            </w:rPr>
            <w:t>Planning, budgeting and monitoring</w:t>
          </w:r>
          <w:r w:rsidR="00FA371D" w:rsidRPr="00FF027F">
            <w:rPr>
              <w:rFonts w:ascii="Arial" w:hAnsi="Arial" w:cs="Arial"/>
              <w:lang w:val="en-GB"/>
            </w:rPr>
            <w:t>;</w:t>
          </w:r>
        </w:p>
        <w:p w14:paraId="52F8FCE4" w14:textId="53003632" w:rsidR="009A2433" w:rsidRPr="00FF027F" w:rsidRDefault="009A2433" w:rsidP="00A57637">
          <w:pPr>
            <w:pStyle w:val="ListParagraph"/>
            <w:numPr>
              <w:ilvl w:val="0"/>
              <w:numId w:val="44"/>
            </w:numPr>
            <w:autoSpaceDE w:val="0"/>
            <w:autoSpaceDN w:val="0"/>
            <w:adjustRightInd w:val="0"/>
            <w:spacing w:before="360" w:after="240" w:line="360" w:lineRule="auto"/>
            <w:ind w:left="426"/>
            <w:rPr>
              <w:rFonts w:ascii="Arial" w:hAnsi="Arial" w:cs="Arial"/>
              <w:lang w:val="en-GB"/>
            </w:rPr>
          </w:pPr>
          <w:r w:rsidRPr="00FF027F">
            <w:rPr>
              <w:rFonts w:ascii="Arial" w:hAnsi="Arial" w:cs="Arial"/>
              <w:lang w:val="en-GB"/>
            </w:rPr>
            <w:t xml:space="preserve">Development of </w:t>
          </w:r>
          <w:r w:rsidR="0017513A" w:rsidRPr="00FF027F">
            <w:rPr>
              <w:rFonts w:ascii="Arial" w:hAnsi="Arial" w:cs="Arial"/>
              <w:lang w:val="en-GB"/>
            </w:rPr>
            <w:t>F</w:t>
          </w:r>
          <w:r w:rsidRPr="00FF027F">
            <w:rPr>
              <w:rFonts w:ascii="Arial" w:hAnsi="Arial" w:cs="Arial"/>
              <w:lang w:val="en-GB"/>
            </w:rPr>
            <w:t xml:space="preserve">ramework </w:t>
          </w:r>
          <w:r w:rsidR="0017513A" w:rsidRPr="00FF027F">
            <w:rPr>
              <w:rFonts w:ascii="Arial" w:hAnsi="Arial" w:cs="Arial"/>
              <w:lang w:val="en-GB"/>
            </w:rPr>
            <w:t>G</w:t>
          </w:r>
          <w:r w:rsidRPr="00FF027F">
            <w:rPr>
              <w:rFonts w:ascii="Arial" w:hAnsi="Arial" w:cs="Arial"/>
              <w:lang w:val="en-GB"/>
            </w:rPr>
            <w:t xml:space="preserve">uidelines and opinion on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w:t>
          </w:r>
          <w:r w:rsidR="00FA371D" w:rsidRPr="00FF027F">
            <w:rPr>
              <w:rFonts w:ascii="Arial" w:hAnsi="Arial" w:cs="Arial"/>
              <w:lang w:val="en-GB"/>
            </w:rPr>
            <w:t>.</w:t>
          </w:r>
        </w:p>
        <w:p w14:paraId="350A9E88" w14:textId="77777777" w:rsidR="0026702C" w:rsidRPr="00FF027F" w:rsidRDefault="0026702C" w:rsidP="00192E9E">
          <w:pPr>
            <w:spacing w:before="360" w:after="240" w:line="360" w:lineRule="auto"/>
            <w:rPr>
              <w:rFonts w:ascii="Arial" w:hAnsi="Arial" w:cs="Arial"/>
              <w:lang w:val="en-GB"/>
            </w:rPr>
          </w:pPr>
          <w:r w:rsidRPr="00FF027F">
            <w:rPr>
              <w:rFonts w:ascii="Arial" w:hAnsi="Arial" w:cs="Arial"/>
              <w:lang w:val="en-GB"/>
            </w:rPr>
            <w:t>The audit performed by ECA is mainly focused on the financial, HR and procurement areas.</w:t>
          </w:r>
        </w:p>
        <w:p w14:paraId="737089DD" w14:textId="77777777" w:rsidR="009A2433" w:rsidRPr="00FF027F" w:rsidRDefault="009A2433" w:rsidP="009A2433">
          <w:pPr>
            <w:autoSpaceDE w:val="0"/>
            <w:autoSpaceDN w:val="0"/>
            <w:adjustRightInd w:val="0"/>
            <w:spacing w:after="0" w:line="240" w:lineRule="auto"/>
            <w:rPr>
              <w:rFonts w:ascii="Arial" w:hAnsi="Arial" w:cs="Arial"/>
              <w:lang w:val="en-GB"/>
            </w:rPr>
          </w:pPr>
        </w:p>
        <w:tbl>
          <w:tblPr>
            <w:tblStyle w:val="TableGrid8"/>
            <w:tblW w:w="0" w:type="auto"/>
            <w:tblInd w:w="108" w:type="dxa"/>
            <w:tblLook w:val="04A0" w:firstRow="1" w:lastRow="0" w:firstColumn="1" w:lastColumn="0" w:noHBand="0" w:noVBand="1"/>
          </w:tblPr>
          <w:tblGrid>
            <w:gridCol w:w="2676"/>
            <w:gridCol w:w="6227"/>
          </w:tblGrid>
          <w:tr w:rsidR="00A221D7" w:rsidRPr="00FF027F" w14:paraId="6B4A9A4E" w14:textId="77777777" w:rsidTr="00897435">
            <w:trPr>
              <w:cnfStyle w:val="100000000000" w:firstRow="1" w:lastRow="0" w:firstColumn="0" w:lastColumn="0" w:oddVBand="0" w:evenVBand="0" w:oddHBand="0" w:evenHBand="0" w:firstRowFirstColumn="0" w:firstRowLastColumn="0" w:lastRowFirstColumn="0" w:lastRowLastColumn="0"/>
            </w:trPr>
            <w:tc>
              <w:tcPr>
                <w:tcW w:w="2710" w:type="dxa"/>
              </w:tcPr>
              <w:p w14:paraId="3F65E7E9" w14:textId="77777777" w:rsidR="00A221D7" w:rsidRPr="00FF027F" w:rsidRDefault="00642E07" w:rsidP="00642E07">
                <w:pPr>
                  <w:spacing w:line="240" w:lineRule="auto"/>
                  <w:jc w:val="left"/>
                  <w:rPr>
                    <w:rFonts w:ascii="Arial" w:hAnsi="Arial" w:cs="Arial"/>
                    <w:sz w:val="22"/>
                    <w:szCs w:val="22"/>
                    <w:lang w:val="en-GB"/>
                  </w:rPr>
                </w:pPr>
                <w:r w:rsidRPr="00FF027F">
                  <w:rPr>
                    <w:rFonts w:ascii="Arial" w:hAnsi="Arial" w:cs="Arial"/>
                    <w:color w:val="FFFFFF" w:themeColor="background1"/>
                    <w:sz w:val="22"/>
                    <w:szCs w:val="22"/>
                    <w:lang w:val="en-GB"/>
                  </w:rPr>
                  <w:t>Activity</w:t>
                </w:r>
              </w:p>
            </w:tc>
            <w:tc>
              <w:tcPr>
                <w:tcW w:w="6362" w:type="dxa"/>
              </w:tcPr>
              <w:p w14:paraId="437E9C9A" w14:textId="77777777" w:rsidR="00642E07" w:rsidRPr="00FF027F" w:rsidRDefault="00642E07" w:rsidP="00FE0C2A">
                <w:pPr>
                  <w:pStyle w:val="ListParagraph"/>
                  <w:spacing w:after="120"/>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Budget Implementation and Audit</w:t>
                </w:r>
              </w:p>
            </w:tc>
          </w:tr>
          <w:tr w:rsidR="00897435" w:rsidRPr="00FF027F" w14:paraId="7A8B55D0" w14:textId="77777777" w:rsidTr="00897435">
            <w:tc>
              <w:tcPr>
                <w:tcW w:w="2710" w:type="dxa"/>
              </w:tcPr>
              <w:p w14:paraId="280EA4CA" w14:textId="77777777" w:rsidR="00897435" w:rsidRPr="00FF027F" w:rsidRDefault="00897435" w:rsidP="00192E9E">
                <w:pPr>
                  <w:ind w:left="202"/>
                  <w:rPr>
                    <w:rFonts w:ascii="Arial" w:hAnsi="Arial" w:cs="Arial"/>
                    <w:sz w:val="22"/>
                    <w:szCs w:val="22"/>
                    <w:lang w:val="en-GB"/>
                  </w:rPr>
                </w:pPr>
                <w:r w:rsidRPr="00FF027F">
                  <w:rPr>
                    <w:rFonts w:ascii="Arial" w:hAnsi="Arial" w:cs="Arial"/>
                    <w:sz w:val="22"/>
                    <w:szCs w:val="22"/>
                    <w:lang w:val="en-GB"/>
                  </w:rPr>
                  <w:t>Overview (status)</w:t>
                </w:r>
              </w:p>
            </w:tc>
            <w:tc>
              <w:tcPr>
                <w:tcW w:w="6362" w:type="dxa"/>
              </w:tcPr>
              <w:p w14:paraId="54D49600" w14:textId="55D594F5" w:rsidR="00897435" w:rsidRPr="00FF027F" w:rsidRDefault="008A5C00" w:rsidP="00FA371D">
                <w:pPr>
                  <w:spacing w:after="0" w:line="240" w:lineRule="auto"/>
                  <w:ind w:left="202"/>
                  <w:rPr>
                    <w:rFonts w:ascii="Arial" w:hAnsi="Arial" w:cs="Arial"/>
                    <w:sz w:val="22"/>
                    <w:szCs w:val="22"/>
                    <w:lang w:val="en-GB"/>
                  </w:rPr>
                </w:pPr>
                <w:r w:rsidRPr="00FF027F">
                  <w:rPr>
                    <w:rFonts w:ascii="Arial" w:hAnsi="Arial" w:cs="Arial"/>
                    <w:sz w:val="22"/>
                    <w:szCs w:val="22"/>
                    <w:lang w:val="en-GB"/>
                  </w:rPr>
                  <w:t>Since its establishment, the Agency has not received any critical recommendations from the inte</w:t>
                </w:r>
                <w:r w:rsidR="00F93D47" w:rsidRPr="00FF027F">
                  <w:rPr>
                    <w:rFonts w:ascii="Arial" w:hAnsi="Arial" w:cs="Arial"/>
                    <w:sz w:val="22"/>
                    <w:szCs w:val="22"/>
                    <w:lang w:val="en-GB"/>
                  </w:rPr>
                  <w:t xml:space="preserve">rnal and external auditors. </w:t>
                </w:r>
                <w:r w:rsidRPr="00FF027F">
                  <w:rPr>
                    <w:rFonts w:ascii="Arial" w:hAnsi="Arial" w:cs="Arial"/>
                    <w:sz w:val="22"/>
                    <w:szCs w:val="22"/>
                    <w:lang w:val="en-GB"/>
                  </w:rPr>
                  <w:t xml:space="preserve">Furthermore, all recommendations from previous years have been implemented as planned, reported in </w:t>
                </w:r>
                <w:r w:rsidR="0021711A" w:rsidRPr="00FF027F">
                  <w:rPr>
                    <w:rFonts w:ascii="Arial" w:hAnsi="Arial" w:cs="Arial"/>
                    <w:sz w:val="22"/>
                    <w:szCs w:val="22"/>
                    <w:lang w:val="en-GB"/>
                  </w:rPr>
                  <w:t xml:space="preserve">a </w:t>
                </w:r>
                <w:r w:rsidRPr="00FF027F">
                  <w:rPr>
                    <w:rFonts w:ascii="Arial" w:hAnsi="Arial" w:cs="Arial"/>
                    <w:sz w:val="22"/>
                    <w:szCs w:val="22"/>
                    <w:lang w:val="en-GB"/>
                  </w:rPr>
                  <w:t xml:space="preserve">timely manner and approved by the respective authority. </w:t>
                </w:r>
              </w:p>
            </w:tc>
          </w:tr>
          <w:tr w:rsidR="00897435" w:rsidRPr="00FF027F" w14:paraId="50836CC7" w14:textId="77777777" w:rsidTr="00897435">
            <w:tc>
              <w:tcPr>
                <w:tcW w:w="2710" w:type="dxa"/>
              </w:tcPr>
              <w:p w14:paraId="4E680845" w14:textId="77777777" w:rsidR="00897435" w:rsidRPr="00FF027F" w:rsidRDefault="00897435" w:rsidP="00192E9E">
                <w:pPr>
                  <w:ind w:left="202"/>
                  <w:rPr>
                    <w:rFonts w:ascii="Arial" w:hAnsi="Arial" w:cs="Arial"/>
                    <w:sz w:val="22"/>
                    <w:szCs w:val="22"/>
                    <w:lang w:val="en-GB"/>
                  </w:rPr>
                </w:pPr>
                <w:r w:rsidRPr="00FF027F">
                  <w:rPr>
                    <w:rFonts w:ascii="Arial" w:hAnsi="Arial" w:cs="Arial"/>
                    <w:sz w:val="22"/>
                    <w:szCs w:val="22"/>
                    <w:lang w:val="en-GB"/>
                  </w:rPr>
                  <w:t xml:space="preserve">Objectives and Outputs </w:t>
                </w:r>
              </w:p>
            </w:tc>
            <w:tc>
              <w:tcPr>
                <w:tcW w:w="6362" w:type="dxa"/>
              </w:tcPr>
              <w:p w14:paraId="081214B7" w14:textId="77777777" w:rsidR="0026702C" w:rsidRPr="00FF027F" w:rsidRDefault="008A5C00" w:rsidP="00192E9E">
                <w:pPr>
                  <w:spacing w:line="240" w:lineRule="auto"/>
                  <w:ind w:left="202"/>
                  <w:rPr>
                    <w:rFonts w:ascii="Arial" w:hAnsi="Arial" w:cs="Arial"/>
                    <w:sz w:val="22"/>
                    <w:szCs w:val="22"/>
                    <w:lang w:val="en-GB"/>
                  </w:rPr>
                </w:pPr>
                <w:r w:rsidRPr="00FF027F">
                  <w:rPr>
                    <w:rFonts w:ascii="Arial" w:hAnsi="Arial" w:cs="Arial"/>
                    <w:sz w:val="22"/>
                    <w:szCs w:val="22"/>
                    <w:lang w:val="en-GB"/>
                  </w:rPr>
                  <w:t>The Agency’s objectives</w:t>
                </w:r>
                <w:r w:rsidR="00AE5050" w:rsidRPr="00FF027F">
                  <w:rPr>
                    <w:rFonts w:ascii="Arial" w:hAnsi="Arial" w:cs="Arial"/>
                    <w:sz w:val="22"/>
                    <w:szCs w:val="22"/>
                    <w:lang w:val="en-GB"/>
                  </w:rPr>
                  <w:t xml:space="preserve"> for 2015</w:t>
                </w:r>
                <w:r w:rsidR="0026702C" w:rsidRPr="00FF027F">
                  <w:rPr>
                    <w:rFonts w:ascii="Arial" w:hAnsi="Arial" w:cs="Arial"/>
                    <w:sz w:val="22"/>
                    <w:szCs w:val="22"/>
                    <w:lang w:val="en-GB"/>
                  </w:rPr>
                  <w:t xml:space="preserve"> are to achieve:</w:t>
                </w:r>
              </w:p>
              <w:p w14:paraId="38B15532" w14:textId="77777777" w:rsidR="0026702C" w:rsidRPr="00FF027F" w:rsidRDefault="0026702C" w:rsidP="006D214F">
                <w:pPr>
                  <w:pStyle w:val="ListParagraph"/>
                  <w:numPr>
                    <w:ilvl w:val="0"/>
                    <w:numId w:val="45"/>
                  </w:numPr>
                  <w:spacing w:after="120"/>
                  <w:ind w:left="562"/>
                  <w:rPr>
                    <w:rFonts w:ascii="Arial" w:hAnsi="Arial" w:cs="Arial"/>
                    <w:sz w:val="22"/>
                    <w:szCs w:val="22"/>
                    <w:lang w:val="en-GB"/>
                  </w:rPr>
                </w:pPr>
                <w:r w:rsidRPr="00FF027F">
                  <w:rPr>
                    <w:rFonts w:ascii="Arial" w:hAnsi="Arial" w:cs="Arial"/>
                    <w:sz w:val="22"/>
                    <w:szCs w:val="22"/>
                    <w:lang w:val="en-GB"/>
                  </w:rPr>
                  <w:t>A high level of budget implementation for both commitment and payment appropriations.</w:t>
                </w:r>
              </w:p>
              <w:p w14:paraId="061E3928" w14:textId="3361227F" w:rsidR="00897435" w:rsidRPr="00FF027F" w:rsidRDefault="00FA371D" w:rsidP="00FA371D">
                <w:pPr>
                  <w:pStyle w:val="ListParagraph"/>
                  <w:numPr>
                    <w:ilvl w:val="0"/>
                    <w:numId w:val="45"/>
                  </w:numPr>
                  <w:spacing w:after="120"/>
                  <w:ind w:left="562"/>
                  <w:rPr>
                    <w:rFonts w:ascii="Arial" w:hAnsi="Arial" w:cs="Arial"/>
                    <w:sz w:val="22"/>
                    <w:szCs w:val="22"/>
                    <w:lang w:val="en-GB" w:eastAsia="fr-FR"/>
                  </w:rPr>
                </w:pPr>
                <w:r w:rsidRPr="00FF027F">
                  <w:rPr>
                    <w:rFonts w:ascii="Arial" w:hAnsi="Arial" w:cs="Arial"/>
                    <w:sz w:val="22"/>
                    <w:szCs w:val="22"/>
                    <w:lang w:val="en-GB" w:eastAsia="fr-FR"/>
                  </w:rPr>
                  <w:t>Receive p</w:t>
                </w:r>
                <w:r w:rsidR="0026702C" w:rsidRPr="00FF027F">
                  <w:rPr>
                    <w:rFonts w:ascii="Arial" w:hAnsi="Arial" w:cs="Arial"/>
                    <w:sz w:val="22"/>
                    <w:szCs w:val="22"/>
                    <w:lang w:val="en-GB" w:eastAsia="fr-FR"/>
                  </w:rPr>
                  <w:t>ositive evaluation results from both IAS and ECA.</w:t>
                </w:r>
              </w:p>
            </w:tc>
          </w:tr>
          <w:tr w:rsidR="00897435" w:rsidRPr="00FF027F" w14:paraId="6DA18355" w14:textId="77777777" w:rsidTr="00897435">
            <w:tc>
              <w:tcPr>
                <w:tcW w:w="2710" w:type="dxa"/>
              </w:tcPr>
              <w:p w14:paraId="5CF0DF70" w14:textId="77777777" w:rsidR="00897435" w:rsidRPr="00FF027F" w:rsidRDefault="00897435" w:rsidP="00192E9E">
                <w:pPr>
                  <w:spacing w:line="240" w:lineRule="auto"/>
                  <w:ind w:left="202"/>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362" w:type="dxa"/>
              </w:tcPr>
              <w:p w14:paraId="1FB8C107" w14:textId="77777777" w:rsidR="0026702C" w:rsidRPr="00FF027F" w:rsidRDefault="0026702C" w:rsidP="00192E9E">
                <w:pPr>
                  <w:spacing w:line="240" w:lineRule="auto"/>
                  <w:ind w:left="202"/>
                  <w:rPr>
                    <w:rFonts w:ascii="Arial" w:hAnsi="Arial" w:cs="Arial"/>
                    <w:sz w:val="22"/>
                    <w:szCs w:val="22"/>
                    <w:lang w:val="en-GB" w:eastAsia="en-US"/>
                  </w:rPr>
                </w:pPr>
                <w:r w:rsidRPr="00FF027F">
                  <w:rPr>
                    <w:rFonts w:ascii="Arial" w:hAnsi="Arial" w:cs="Arial"/>
                    <w:sz w:val="22"/>
                    <w:szCs w:val="22"/>
                    <w:lang w:val="en-GB" w:eastAsia="en-US"/>
                  </w:rPr>
                  <w:t xml:space="preserve">At least 95% </w:t>
                </w:r>
                <w:r w:rsidR="00D813DC" w:rsidRPr="00FF027F">
                  <w:rPr>
                    <w:rFonts w:ascii="Arial" w:hAnsi="Arial" w:cs="Arial"/>
                    <w:sz w:val="22"/>
                    <w:szCs w:val="22"/>
                    <w:lang w:val="en-GB" w:eastAsia="en-US"/>
                  </w:rPr>
                  <w:t>execution of 2015</w:t>
                </w:r>
                <w:r w:rsidRPr="00FF027F">
                  <w:rPr>
                    <w:rFonts w:ascii="Arial" w:hAnsi="Arial" w:cs="Arial"/>
                    <w:sz w:val="22"/>
                    <w:szCs w:val="22"/>
                    <w:lang w:val="en-GB" w:eastAsia="en-US"/>
                  </w:rPr>
                  <w:t xml:space="preserve"> commitment appropriations</w:t>
                </w:r>
                <w:r w:rsidR="002F202E" w:rsidRPr="00FF027F">
                  <w:rPr>
                    <w:rFonts w:ascii="Arial" w:hAnsi="Arial" w:cs="Arial"/>
                    <w:sz w:val="22"/>
                    <w:szCs w:val="22"/>
                    <w:lang w:val="en-GB" w:eastAsia="en-US"/>
                  </w:rPr>
                  <w:t xml:space="preserve"> by the end of Q4</w:t>
                </w:r>
                <w:r w:rsidRPr="00FF027F">
                  <w:rPr>
                    <w:rFonts w:ascii="Arial" w:hAnsi="Arial" w:cs="Arial"/>
                    <w:sz w:val="22"/>
                    <w:szCs w:val="22"/>
                    <w:lang w:val="en-GB" w:eastAsia="en-US"/>
                  </w:rPr>
                  <w:t>.</w:t>
                </w:r>
              </w:p>
              <w:p w14:paraId="0DD1EE41" w14:textId="77777777" w:rsidR="0026702C" w:rsidRPr="00FF027F" w:rsidRDefault="00D813DC" w:rsidP="00192E9E">
                <w:pPr>
                  <w:spacing w:line="240" w:lineRule="auto"/>
                  <w:ind w:left="202"/>
                  <w:rPr>
                    <w:rFonts w:ascii="Arial" w:hAnsi="Arial" w:cs="Arial"/>
                    <w:sz w:val="22"/>
                    <w:szCs w:val="22"/>
                    <w:lang w:val="en-GB" w:eastAsia="en-US"/>
                  </w:rPr>
                </w:pPr>
                <w:r w:rsidRPr="00FF027F">
                  <w:rPr>
                    <w:rFonts w:ascii="Arial" w:hAnsi="Arial" w:cs="Arial"/>
                    <w:sz w:val="22"/>
                    <w:szCs w:val="22"/>
                    <w:lang w:val="en-GB" w:eastAsia="en-US"/>
                  </w:rPr>
                  <w:t>Minimum 75% execution of 2015</w:t>
                </w:r>
                <w:r w:rsidR="0026702C" w:rsidRPr="00FF027F">
                  <w:rPr>
                    <w:rFonts w:ascii="Arial" w:hAnsi="Arial" w:cs="Arial"/>
                    <w:sz w:val="22"/>
                    <w:szCs w:val="22"/>
                    <w:lang w:val="en-GB" w:eastAsia="en-US"/>
                  </w:rPr>
                  <w:t xml:space="preserve"> payment appropriations</w:t>
                </w:r>
                <w:r w:rsidR="002F202E" w:rsidRPr="00FF027F">
                  <w:rPr>
                    <w:rFonts w:ascii="Arial" w:hAnsi="Arial" w:cs="Arial"/>
                    <w:sz w:val="22"/>
                    <w:szCs w:val="22"/>
                    <w:lang w:val="en-GB" w:eastAsia="en-US"/>
                  </w:rPr>
                  <w:t xml:space="preserve"> by the end of Q4</w:t>
                </w:r>
                <w:r w:rsidR="0026702C" w:rsidRPr="00FF027F">
                  <w:rPr>
                    <w:rFonts w:ascii="Arial" w:hAnsi="Arial" w:cs="Arial"/>
                    <w:sz w:val="22"/>
                    <w:szCs w:val="22"/>
                    <w:lang w:val="en-GB" w:eastAsia="en-US"/>
                  </w:rPr>
                  <w:t>.</w:t>
                </w:r>
              </w:p>
              <w:p w14:paraId="49ADFCBE" w14:textId="77777777" w:rsidR="0026702C" w:rsidRPr="00FF027F" w:rsidRDefault="0026702C" w:rsidP="00192E9E">
                <w:pPr>
                  <w:spacing w:line="240" w:lineRule="auto"/>
                  <w:ind w:left="202"/>
                  <w:rPr>
                    <w:rFonts w:ascii="Arial" w:hAnsi="Arial" w:cs="Arial"/>
                    <w:sz w:val="22"/>
                    <w:szCs w:val="22"/>
                    <w:lang w:val="en-GB" w:eastAsia="en-US"/>
                  </w:rPr>
                </w:pPr>
                <w:r w:rsidRPr="00FF027F">
                  <w:rPr>
                    <w:rFonts w:ascii="Arial" w:hAnsi="Arial" w:cs="Arial"/>
                    <w:sz w:val="22"/>
                    <w:szCs w:val="22"/>
                    <w:lang w:val="en-GB" w:eastAsia="en-US"/>
                  </w:rPr>
                  <w:t>Positive opinion of the IAS.</w:t>
                </w:r>
              </w:p>
              <w:p w14:paraId="32C5E9A7" w14:textId="77777777" w:rsidR="00897435" w:rsidRPr="00FF027F" w:rsidRDefault="0026702C" w:rsidP="00192E9E">
                <w:pPr>
                  <w:spacing w:line="240" w:lineRule="auto"/>
                  <w:ind w:left="202"/>
                  <w:jc w:val="left"/>
                  <w:rPr>
                    <w:rFonts w:ascii="Arial" w:hAnsi="Arial" w:cs="Arial"/>
                    <w:sz w:val="22"/>
                    <w:szCs w:val="22"/>
                    <w:lang w:val="en-GB"/>
                  </w:rPr>
                </w:pPr>
                <w:r w:rsidRPr="00FF027F">
                  <w:rPr>
                    <w:rFonts w:ascii="Arial" w:hAnsi="Arial" w:cs="Arial"/>
                    <w:sz w:val="22"/>
                    <w:szCs w:val="22"/>
                    <w:lang w:val="en-GB"/>
                  </w:rPr>
                  <w:t>Non-qualified opinion from ECA.</w:t>
                </w:r>
              </w:p>
            </w:tc>
          </w:tr>
          <w:tr w:rsidR="00897435" w:rsidRPr="00FF027F" w14:paraId="6D263121" w14:textId="77777777" w:rsidTr="00897435">
            <w:tc>
              <w:tcPr>
                <w:tcW w:w="2710" w:type="dxa"/>
              </w:tcPr>
              <w:p w14:paraId="683841A6" w14:textId="77777777" w:rsidR="00897435" w:rsidRPr="00FF027F" w:rsidRDefault="00897435" w:rsidP="00192E9E">
                <w:pPr>
                  <w:ind w:left="202"/>
                  <w:rPr>
                    <w:rFonts w:ascii="Arial" w:hAnsi="Arial" w:cs="Arial"/>
                    <w:sz w:val="22"/>
                    <w:szCs w:val="22"/>
                    <w:lang w:val="en-GB"/>
                  </w:rPr>
                </w:pPr>
                <w:r w:rsidRPr="00FF027F">
                  <w:rPr>
                    <w:rFonts w:ascii="Arial" w:hAnsi="Arial" w:cs="Arial"/>
                    <w:sz w:val="22"/>
                    <w:szCs w:val="22"/>
                    <w:lang w:val="en-GB"/>
                  </w:rPr>
                  <w:t>Staff</w:t>
                </w:r>
              </w:p>
            </w:tc>
            <w:tc>
              <w:tcPr>
                <w:tcW w:w="6362" w:type="dxa"/>
              </w:tcPr>
              <w:p w14:paraId="513B5B30" w14:textId="5D4CE4F6" w:rsidR="00897435" w:rsidRPr="00FF027F" w:rsidRDefault="00957EE5" w:rsidP="00EB3D78">
                <w:pPr>
                  <w:spacing w:line="240" w:lineRule="auto"/>
                  <w:ind w:left="202"/>
                  <w:rPr>
                    <w:rFonts w:ascii="Arial" w:hAnsi="Arial" w:cs="Arial"/>
                    <w:sz w:val="22"/>
                    <w:szCs w:val="22"/>
                    <w:lang w:val="en-GB"/>
                  </w:rPr>
                </w:pPr>
                <w:r w:rsidRPr="00FF027F">
                  <w:rPr>
                    <w:rFonts w:ascii="Arial" w:hAnsi="Arial" w:cs="Arial"/>
                    <w:sz w:val="22"/>
                    <w:szCs w:val="22"/>
                    <w:lang w:val="en-GB"/>
                  </w:rPr>
                  <w:t>2</w:t>
                </w:r>
                <w:r w:rsidR="00C41D31" w:rsidRPr="00FF027F">
                  <w:rPr>
                    <w:rFonts w:ascii="Arial" w:hAnsi="Arial" w:cs="Arial"/>
                    <w:sz w:val="22"/>
                    <w:szCs w:val="22"/>
                    <w:lang w:val="en-GB"/>
                  </w:rPr>
                  <w:t xml:space="preserve"> FTE</w:t>
                </w:r>
                <w:r w:rsidRPr="00FF027F">
                  <w:rPr>
                    <w:rFonts w:ascii="Arial" w:hAnsi="Arial" w:cs="Arial"/>
                    <w:sz w:val="22"/>
                    <w:szCs w:val="22"/>
                    <w:lang w:val="en-GB"/>
                  </w:rPr>
                  <w:t xml:space="preserve"> </w:t>
                </w:r>
                <w:r w:rsidR="00EB3D78" w:rsidRPr="00FF027F">
                  <w:rPr>
                    <w:rFonts w:ascii="Arial" w:hAnsi="Arial" w:cs="Arial"/>
                    <w:sz w:val="22"/>
                    <w:szCs w:val="22"/>
                    <w:lang w:val="en-GB"/>
                  </w:rPr>
                  <w:t xml:space="preserve">+ </w:t>
                </w:r>
                <w:r w:rsidRPr="00FF027F">
                  <w:rPr>
                    <w:rFonts w:ascii="Arial" w:hAnsi="Arial" w:cs="Arial"/>
                    <w:sz w:val="22"/>
                    <w:szCs w:val="22"/>
                    <w:lang w:val="en-GB"/>
                  </w:rPr>
                  <w:t>3</w:t>
                </w:r>
                <w:r w:rsidR="00051124" w:rsidRPr="00FF027F">
                  <w:rPr>
                    <w:rFonts w:ascii="Arial" w:hAnsi="Arial" w:cs="Arial"/>
                    <w:sz w:val="22"/>
                    <w:szCs w:val="22"/>
                    <w:lang w:val="en-GB"/>
                  </w:rPr>
                  <w:t xml:space="preserve"> </w:t>
                </w:r>
                <w:r w:rsidRPr="00FF027F">
                  <w:rPr>
                    <w:rFonts w:ascii="Arial" w:hAnsi="Arial" w:cs="Arial"/>
                    <w:sz w:val="22"/>
                    <w:szCs w:val="22"/>
                    <w:lang w:val="en-GB"/>
                  </w:rPr>
                  <w:t>FTE</w:t>
                </w:r>
                <w:r w:rsidR="00EB3D78" w:rsidRPr="00FF027F">
                  <w:rPr>
                    <w:rFonts w:ascii="Arial" w:hAnsi="Arial" w:cs="Arial"/>
                    <w:sz w:val="22"/>
                    <w:szCs w:val="22"/>
                    <w:lang w:val="en-GB"/>
                  </w:rPr>
                  <w:t xml:space="preserve"> in the Agency’s horizontal Financial Cell</w:t>
                </w:r>
              </w:p>
            </w:tc>
          </w:tr>
          <w:tr w:rsidR="00897435" w:rsidRPr="00FF027F" w14:paraId="26E6A4C7" w14:textId="77777777" w:rsidTr="00897435">
            <w:tc>
              <w:tcPr>
                <w:tcW w:w="2710" w:type="dxa"/>
              </w:tcPr>
              <w:p w14:paraId="6D37A005" w14:textId="77777777" w:rsidR="00897435" w:rsidRPr="00FF027F" w:rsidRDefault="001013B8" w:rsidP="00192E9E">
                <w:pPr>
                  <w:ind w:left="202"/>
                  <w:rPr>
                    <w:rFonts w:ascii="Arial" w:hAnsi="Arial" w:cs="Arial"/>
                    <w:sz w:val="22"/>
                    <w:szCs w:val="22"/>
                    <w:lang w:val="en-GB"/>
                  </w:rPr>
                </w:pPr>
                <w:r w:rsidRPr="00FF027F">
                  <w:rPr>
                    <w:rFonts w:ascii="Arial" w:hAnsi="Arial" w:cs="Arial"/>
                    <w:sz w:val="22"/>
                    <w:szCs w:val="22"/>
                    <w:lang w:val="en-GB"/>
                  </w:rPr>
                  <w:t>Risks</w:t>
                </w:r>
              </w:p>
            </w:tc>
            <w:tc>
              <w:tcPr>
                <w:tcW w:w="6362" w:type="dxa"/>
              </w:tcPr>
              <w:p w14:paraId="0A02C25A" w14:textId="77777777" w:rsidR="00897435" w:rsidRPr="00FF027F" w:rsidRDefault="00957EE5" w:rsidP="00897435">
                <w:pPr>
                  <w:spacing w:line="240" w:lineRule="auto"/>
                  <w:ind w:left="197"/>
                  <w:rPr>
                    <w:rFonts w:ascii="Arial" w:hAnsi="Arial" w:cs="Arial"/>
                    <w:sz w:val="22"/>
                    <w:szCs w:val="22"/>
                    <w:lang w:val="en-GB"/>
                  </w:rPr>
                </w:pPr>
                <w:r w:rsidRPr="00FF027F">
                  <w:rPr>
                    <w:rFonts w:ascii="Arial" w:hAnsi="Arial" w:cs="Arial"/>
                    <w:sz w:val="22"/>
                    <w:szCs w:val="22"/>
                    <w:lang w:val="en-GB"/>
                  </w:rPr>
                  <w:t>Procurement procedures implemented on time. Proper and timely implementation of contracts by the project managers.</w:t>
                </w:r>
              </w:p>
            </w:tc>
          </w:tr>
        </w:tbl>
        <w:p w14:paraId="794C34F7" w14:textId="5C289F3A" w:rsidR="00544C04" w:rsidRPr="00FF027F" w:rsidRDefault="005668C6" w:rsidP="00544C04">
          <w:pPr>
            <w:pStyle w:val="Heading3"/>
            <w:rPr>
              <w:color w:val="4F81BD" w:themeColor="accent1"/>
            </w:rPr>
          </w:pPr>
          <w:bookmarkStart w:id="116" w:name="_Toc358640725"/>
          <w:bookmarkStart w:id="117" w:name="_Toc358640938"/>
          <w:r w:rsidRPr="00FF027F">
            <w:rPr>
              <w:color w:val="4F81BD" w:themeColor="accent1"/>
            </w:rPr>
            <w:tab/>
          </w:r>
          <w:bookmarkStart w:id="118" w:name="_Toc396913805"/>
          <w:r w:rsidR="00A221D7" w:rsidRPr="00FF027F">
            <w:rPr>
              <w:color w:val="4F81BD" w:themeColor="accent1"/>
            </w:rPr>
            <w:t>ICT Infrastructure</w:t>
          </w:r>
          <w:bookmarkEnd w:id="116"/>
          <w:bookmarkEnd w:id="117"/>
          <w:bookmarkEnd w:id="118"/>
          <w:r w:rsidR="00934C0D" w:rsidRPr="00FF027F">
            <w:rPr>
              <w:color w:val="4F81BD" w:themeColor="accent1"/>
            </w:rPr>
            <w:t xml:space="preserve"> </w:t>
          </w:r>
        </w:p>
        <w:tbl>
          <w:tblPr>
            <w:tblStyle w:val="TableGrid8"/>
            <w:tblW w:w="9120" w:type="dxa"/>
            <w:tblInd w:w="108" w:type="dxa"/>
            <w:tblLook w:val="04A0" w:firstRow="1" w:lastRow="0" w:firstColumn="1" w:lastColumn="0" w:noHBand="0" w:noVBand="1"/>
          </w:tblPr>
          <w:tblGrid>
            <w:gridCol w:w="2694"/>
            <w:gridCol w:w="6426"/>
          </w:tblGrid>
          <w:tr w:rsidR="00D458E0" w:rsidRPr="00FF027F" w14:paraId="48E43C20" w14:textId="77777777" w:rsidTr="005A0056">
            <w:trPr>
              <w:cnfStyle w:val="100000000000" w:firstRow="1" w:lastRow="0" w:firstColumn="0" w:lastColumn="0" w:oddVBand="0" w:evenVBand="0" w:oddHBand="0" w:evenHBand="0" w:firstRowFirstColumn="0" w:firstRowLastColumn="0" w:lastRowFirstColumn="0" w:lastRowLastColumn="0"/>
              <w:trHeight w:val="627"/>
            </w:trPr>
            <w:tc>
              <w:tcPr>
                <w:tcW w:w="2694" w:type="dxa"/>
              </w:tcPr>
              <w:p w14:paraId="2D4E483D" w14:textId="77777777" w:rsidR="00D458E0" w:rsidRPr="00FF027F" w:rsidRDefault="00D458E0" w:rsidP="00192E9E">
                <w:pPr>
                  <w:spacing w:line="240" w:lineRule="auto"/>
                  <w:ind w:left="202"/>
                  <w:jc w:val="left"/>
                  <w:rPr>
                    <w:rFonts w:ascii="Arial" w:hAnsi="Arial" w:cs="Arial"/>
                    <w:color w:val="FFFFFF" w:themeColor="background1"/>
                    <w:sz w:val="22"/>
                    <w:szCs w:val="22"/>
                    <w:lang w:val="en-GB"/>
                  </w:rPr>
                </w:pPr>
                <w:r w:rsidRPr="00FF027F">
                  <w:rPr>
                    <w:rFonts w:ascii="Arial" w:hAnsi="Arial" w:cs="Arial"/>
                    <w:sz w:val="22"/>
                    <w:szCs w:val="22"/>
                    <w:lang w:val="en-GB"/>
                  </w:rPr>
                  <w:br w:type="page"/>
                </w:r>
                <w:r w:rsidRPr="00FF027F">
                  <w:rPr>
                    <w:rFonts w:ascii="Arial" w:hAnsi="Arial" w:cs="Arial"/>
                    <w:color w:val="FFFFFF" w:themeColor="background1"/>
                    <w:sz w:val="22"/>
                    <w:szCs w:val="22"/>
                    <w:lang w:val="en-GB"/>
                  </w:rPr>
                  <w:t>Activity</w:t>
                </w:r>
              </w:p>
            </w:tc>
            <w:tc>
              <w:tcPr>
                <w:tcW w:w="6426" w:type="dxa"/>
              </w:tcPr>
              <w:p w14:paraId="2F361584" w14:textId="77777777" w:rsidR="00D458E0" w:rsidRPr="00FF027F" w:rsidRDefault="00D458E0" w:rsidP="00192E9E">
                <w:pPr>
                  <w:spacing w:line="240" w:lineRule="auto"/>
                  <w:ind w:left="202"/>
                  <w:jc w:val="left"/>
                  <w:rPr>
                    <w:rFonts w:ascii="Arial" w:hAnsi="Arial" w:cs="Arial"/>
                    <w:color w:val="FFFFFF" w:themeColor="background1"/>
                    <w:sz w:val="22"/>
                    <w:szCs w:val="22"/>
                    <w:lang w:val="en-GB"/>
                  </w:rPr>
                </w:pPr>
                <w:r w:rsidRPr="00FF027F">
                  <w:rPr>
                    <w:rFonts w:ascii="Arial" w:hAnsi="Arial" w:cs="Arial"/>
                    <w:color w:val="FFFFFF" w:themeColor="background1"/>
                    <w:sz w:val="22"/>
                    <w:szCs w:val="22"/>
                    <w:lang w:val="en-GB"/>
                  </w:rPr>
                  <w:t>ICT Development</w:t>
                </w:r>
              </w:p>
            </w:tc>
          </w:tr>
          <w:tr w:rsidR="00D458E0" w:rsidRPr="00FF027F" w14:paraId="7283A396" w14:textId="77777777" w:rsidTr="005A0056">
            <w:tc>
              <w:tcPr>
                <w:tcW w:w="2694" w:type="dxa"/>
              </w:tcPr>
              <w:p w14:paraId="76E362ED" w14:textId="77777777" w:rsidR="00D458E0" w:rsidRPr="00FF027F" w:rsidRDefault="00D458E0" w:rsidP="00192E9E">
                <w:pPr>
                  <w:ind w:left="202"/>
                  <w:rPr>
                    <w:rFonts w:ascii="Arial" w:hAnsi="Arial" w:cs="Arial"/>
                    <w:sz w:val="22"/>
                    <w:szCs w:val="22"/>
                    <w:lang w:val="en-GB"/>
                  </w:rPr>
                </w:pPr>
                <w:r w:rsidRPr="00FF027F">
                  <w:rPr>
                    <w:rFonts w:ascii="Arial" w:hAnsi="Arial" w:cs="Arial"/>
                    <w:sz w:val="22"/>
                    <w:szCs w:val="22"/>
                    <w:lang w:val="en-GB"/>
                  </w:rPr>
                  <w:t>Overview (status)</w:t>
                </w:r>
              </w:p>
            </w:tc>
            <w:tc>
              <w:tcPr>
                <w:tcW w:w="6426" w:type="dxa"/>
              </w:tcPr>
              <w:p w14:paraId="029A3F86" w14:textId="346652EA" w:rsidR="00D458E0" w:rsidRPr="00FF027F" w:rsidRDefault="00FA371D" w:rsidP="004D65C7">
                <w:pPr>
                  <w:pStyle w:val="11ptVerdanaBold"/>
                  <w:spacing w:after="120"/>
                  <w:ind w:left="202"/>
                  <w:jc w:val="left"/>
                  <w:rPr>
                    <w:rFonts w:ascii="Arial" w:hAnsi="Arial" w:cs="Arial"/>
                    <w:b w:val="0"/>
                    <w:noProof w:val="0"/>
                    <w:snapToGrid/>
                    <w:sz w:val="22"/>
                    <w:szCs w:val="22"/>
                    <w:lang w:eastAsia="fr-FR"/>
                  </w:rPr>
                </w:pPr>
                <w:r w:rsidRPr="00FF027F">
                  <w:rPr>
                    <w:rFonts w:ascii="Arial" w:hAnsi="Arial" w:cs="Arial"/>
                    <w:b w:val="0"/>
                    <w:noProof w:val="0"/>
                    <w:snapToGrid/>
                    <w:sz w:val="22"/>
                    <w:szCs w:val="22"/>
                    <w:lang w:eastAsia="fr-FR"/>
                  </w:rPr>
                  <w:t>I</w:t>
                </w:r>
                <w:r w:rsidR="00192E9E" w:rsidRPr="00FF027F">
                  <w:rPr>
                    <w:rFonts w:ascii="Arial" w:hAnsi="Arial" w:cs="Arial"/>
                    <w:b w:val="0"/>
                    <w:noProof w:val="0"/>
                    <w:snapToGrid/>
                    <w:sz w:val="22"/>
                    <w:szCs w:val="22"/>
                    <w:lang w:eastAsia="fr-FR"/>
                  </w:rPr>
                  <w:t xml:space="preserve">n 2015 </w:t>
                </w:r>
                <w:r w:rsidRPr="00FF027F">
                  <w:rPr>
                    <w:rFonts w:ascii="Arial" w:hAnsi="Arial" w:cs="Arial"/>
                    <w:b w:val="0"/>
                    <w:noProof w:val="0"/>
                    <w:snapToGrid/>
                    <w:sz w:val="22"/>
                    <w:szCs w:val="22"/>
                    <w:lang w:eastAsia="fr-FR"/>
                  </w:rPr>
                  <w:t xml:space="preserve">the Agency will be entering </w:t>
                </w:r>
                <w:r w:rsidR="00192E9E" w:rsidRPr="00FF027F">
                  <w:rPr>
                    <w:rFonts w:ascii="Arial" w:hAnsi="Arial" w:cs="Arial"/>
                    <w:b w:val="0"/>
                    <w:noProof w:val="0"/>
                    <w:snapToGrid/>
                    <w:sz w:val="22"/>
                    <w:szCs w:val="22"/>
                    <w:lang w:eastAsia="fr-FR"/>
                  </w:rPr>
                  <w:t>its</w:t>
                </w:r>
                <w:r w:rsidR="0021711A" w:rsidRPr="00FF027F">
                  <w:rPr>
                    <w:rFonts w:ascii="Arial" w:hAnsi="Arial" w:cs="Arial"/>
                    <w:b w:val="0"/>
                    <w:noProof w:val="0"/>
                    <w:snapToGrid/>
                    <w:sz w:val="22"/>
                    <w:szCs w:val="22"/>
                    <w:lang w:eastAsia="fr-FR"/>
                  </w:rPr>
                  <w:t xml:space="preserve"> fifth year of operation</w:t>
                </w:r>
                <w:r w:rsidRPr="00FF027F">
                  <w:rPr>
                    <w:rFonts w:ascii="Arial" w:hAnsi="Arial" w:cs="Arial"/>
                    <w:b w:val="0"/>
                    <w:noProof w:val="0"/>
                    <w:snapToGrid/>
                    <w:sz w:val="22"/>
                    <w:szCs w:val="22"/>
                    <w:lang w:eastAsia="fr-FR"/>
                  </w:rPr>
                  <w:t>;</w:t>
                </w:r>
                <w:r w:rsidR="0021711A" w:rsidRPr="00FF027F">
                  <w:rPr>
                    <w:rFonts w:ascii="Arial" w:hAnsi="Arial" w:cs="Arial"/>
                    <w:b w:val="0"/>
                    <w:noProof w:val="0"/>
                    <w:snapToGrid/>
                    <w:sz w:val="22"/>
                    <w:szCs w:val="22"/>
                    <w:lang w:eastAsia="fr-FR"/>
                  </w:rPr>
                  <w:t xml:space="preserve"> a renewal of t</w:t>
                </w:r>
                <w:r w:rsidR="00192E9E" w:rsidRPr="00FF027F">
                  <w:rPr>
                    <w:rFonts w:ascii="Arial" w:hAnsi="Arial" w:cs="Arial"/>
                    <w:b w:val="0"/>
                    <w:noProof w:val="0"/>
                    <w:snapToGrid/>
                    <w:sz w:val="22"/>
                    <w:szCs w:val="22"/>
                    <w:lang w:eastAsia="fr-FR"/>
                  </w:rPr>
                  <w:t xml:space="preserve">he ICT strategy and </w:t>
                </w:r>
                <w:r w:rsidR="009E4248" w:rsidRPr="00FF027F">
                  <w:rPr>
                    <w:rFonts w:ascii="Arial" w:hAnsi="Arial" w:cs="Arial"/>
                    <w:b w:val="0"/>
                    <w:noProof w:val="0"/>
                    <w:snapToGrid/>
                    <w:sz w:val="22"/>
                    <w:szCs w:val="22"/>
                    <w:lang w:eastAsia="fr-FR"/>
                  </w:rPr>
                  <w:t xml:space="preserve">parts of its </w:t>
                </w:r>
                <w:r w:rsidR="00192E9E" w:rsidRPr="00FF027F">
                  <w:rPr>
                    <w:rFonts w:ascii="Arial" w:hAnsi="Arial" w:cs="Arial"/>
                    <w:b w:val="0"/>
                    <w:noProof w:val="0"/>
                    <w:snapToGrid/>
                    <w:sz w:val="22"/>
                    <w:szCs w:val="22"/>
                    <w:lang w:eastAsia="fr-FR"/>
                  </w:rPr>
                  <w:t>IT i</w:t>
                </w:r>
                <w:r w:rsidR="0021711A" w:rsidRPr="00FF027F">
                  <w:rPr>
                    <w:rFonts w:ascii="Arial" w:hAnsi="Arial" w:cs="Arial"/>
                    <w:b w:val="0"/>
                    <w:noProof w:val="0"/>
                    <w:snapToGrid/>
                    <w:sz w:val="22"/>
                    <w:szCs w:val="22"/>
                    <w:lang w:eastAsia="fr-FR"/>
                  </w:rPr>
                  <w:t xml:space="preserve">nfrastructure will </w:t>
                </w:r>
                <w:r w:rsidRPr="00FF027F">
                  <w:rPr>
                    <w:rFonts w:ascii="Arial" w:hAnsi="Arial" w:cs="Arial"/>
                    <w:b w:val="0"/>
                    <w:noProof w:val="0"/>
                    <w:snapToGrid/>
                    <w:sz w:val="22"/>
                    <w:szCs w:val="22"/>
                    <w:lang w:eastAsia="fr-FR"/>
                  </w:rPr>
                  <w:t xml:space="preserve">be necessary to meet </w:t>
                </w:r>
                <w:r w:rsidR="0021711A" w:rsidRPr="00FF027F">
                  <w:rPr>
                    <w:rFonts w:ascii="Arial" w:hAnsi="Arial" w:cs="Arial"/>
                    <w:b w:val="0"/>
                    <w:noProof w:val="0"/>
                    <w:snapToGrid/>
                    <w:sz w:val="22"/>
                    <w:szCs w:val="22"/>
                    <w:lang w:eastAsia="fr-FR"/>
                  </w:rPr>
                  <w:t xml:space="preserve">the Agency’s evolving needs and </w:t>
                </w:r>
                <w:r w:rsidRPr="00FF027F">
                  <w:rPr>
                    <w:rFonts w:ascii="Arial" w:hAnsi="Arial" w:cs="Arial"/>
                    <w:b w:val="0"/>
                    <w:noProof w:val="0"/>
                    <w:snapToGrid/>
                    <w:sz w:val="22"/>
                    <w:szCs w:val="22"/>
                    <w:lang w:eastAsia="fr-FR"/>
                  </w:rPr>
                  <w:t xml:space="preserve">to adjust to </w:t>
                </w:r>
                <w:r w:rsidR="009E4248" w:rsidRPr="00FF027F">
                  <w:rPr>
                    <w:rFonts w:ascii="Arial" w:hAnsi="Arial" w:cs="Arial"/>
                    <w:b w:val="0"/>
                    <w:noProof w:val="0"/>
                    <w:snapToGrid/>
                    <w:sz w:val="22"/>
                    <w:szCs w:val="22"/>
                    <w:lang w:eastAsia="fr-FR"/>
                  </w:rPr>
                  <w:t>technological</w:t>
                </w:r>
                <w:r w:rsidR="0021711A" w:rsidRPr="00FF027F">
                  <w:rPr>
                    <w:rFonts w:ascii="Arial" w:hAnsi="Arial" w:cs="Arial"/>
                    <w:b w:val="0"/>
                    <w:noProof w:val="0"/>
                    <w:snapToGrid/>
                    <w:sz w:val="22"/>
                    <w:szCs w:val="22"/>
                    <w:lang w:eastAsia="fr-FR"/>
                  </w:rPr>
                  <w:t xml:space="preserve"> trends. At the same time, </w:t>
                </w:r>
                <w:r w:rsidR="009E4248" w:rsidRPr="00FF027F">
                  <w:rPr>
                    <w:rFonts w:ascii="Arial" w:hAnsi="Arial" w:cs="Arial"/>
                    <w:b w:val="0"/>
                    <w:noProof w:val="0"/>
                    <w:snapToGrid/>
                    <w:sz w:val="22"/>
                    <w:szCs w:val="22"/>
                    <w:lang w:eastAsia="fr-FR"/>
                  </w:rPr>
                  <w:t xml:space="preserve">high standard </w:t>
                </w:r>
                <w:r w:rsidR="0021711A" w:rsidRPr="00FF027F">
                  <w:rPr>
                    <w:rFonts w:ascii="Arial" w:hAnsi="Arial" w:cs="Arial"/>
                    <w:b w:val="0"/>
                    <w:noProof w:val="0"/>
                    <w:snapToGrid/>
                    <w:sz w:val="22"/>
                    <w:szCs w:val="22"/>
                    <w:lang w:eastAsia="fr-FR"/>
                  </w:rPr>
                  <w:t>IT service</w:t>
                </w:r>
                <w:r w:rsidR="009E4248" w:rsidRPr="00FF027F">
                  <w:rPr>
                    <w:rFonts w:ascii="Arial" w:hAnsi="Arial" w:cs="Arial"/>
                    <w:b w:val="0"/>
                    <w:noProof w:val="0"/>
                    <w:snapToGrid/>
                    <w:sz w:val="22"/>
                    <w:szCs w:val="22"/>
                    <w:lang w:eastAsia="fr-FR"/>
                  </w:rPr>
                  <w:t>s</w:t>
                </w:r>
                <w:r w:rsidR="0021711A" w:rsidRPr="00FF027F">
                  <w:rPr>
                    <w:rFonts w:ascii="Arial" w:hAnsi="Arial" w:cs="Arial"/>
                    <w:b w:val="0"/>
                    <w:noProof w:val="0"/>
                    <w:snapToGrid/>
                    <w:sz w:val="22"/>
                    <w:szCs w:val="22"/>
                    <w:lang w:eastAsia="fr-FR"/>
                  </w:rPr>
                  <w:t xml:space="preserve"> </w:t>
                </w:r>
                <w:r w:rsidR="009E4248" w:rsidRPr="00FF027F">
                  <w:rPr>
                    <w:rFonts w:ascii="Arial" w:hAnsi="Arial" w:cs="Arial"/>
                    <w:b w:val="0"/>
                    <w:noProof w:val="0"/>
                    <w:snapToGrid/>
                    <w:sz w:val="22"/>
                    <w:szCs w:val="22"/>
                    <w:lang w:eastAsia="fr-FR"/>
                  </w:rPr>
                  <w:t xml:space="preserve">must </w:t>
                </w:r>
                <w:r w:rsidR="0021711A" w:rsidRPr="00FF027F">
                  <w:rPr>
                    <w:rFonts w:ascii="Arial" w:hAnsi="Arial" w:cs="Arial"/>
                    <w:b w:val="0"/>
                    <w:noProof w:val="0"/>
                    <w:snapToGrid/>
                    <w:sz w:val="22"/>
                    <w:szCs w:val="22"/>
                    <w:lang w:eastAsia="fr-FR"/>
                  </w:rPr>
                  <w:t xml:space="preserve">continue to </w:t>
                </w:r>
                <w:r w:rsidR="009E4248" w:rsidRPr="00FF027F">
                  <w:rPr>
                    <w:rFonts w:ascii="Arial" w:hAnsi="Arial" w:cs="Arial"/>
                    <w:b w:val="0"/>
                    <w:noProof w:val="0"/>
                    <w:snapToGrid/>
                    <w:sz w:val="22"/>
                    <w:szCs w:val="22"/>
                    <w:lang w:eastAsia="fr-FR"/>
                  </w:rPr>
                  <w:t>provide</w:t>
                </w:r>
                <w:r w:rsidR="0021711A" w:rsidRPr="00FF027F">
                  <w:rPr>
                    <w:rFonts w:ascii="Arial" w:hAnsi="Arial" w:cs="Arial"/>
                    <w:b w:val="0"/>
                    <w:noProof w:val="0"/>
                    <w:snapToGrid/>
                    <w:sz w:val="22"/>
                    <w:szCs w:val="22"/>
                    <w:lang w:eastAsia="fr-FR"/>
                  </w:rPr>
                  <w:t xml:space="preserve"> all the necessary IT tools and applications for the </w:t>
                </w:r>
                <w:r w:rsidR="009E4248" w:rsidRPr="00FF027F">
                  <w:rPr>
                    <w:rFonts w:ascii="Arial" w:hAnsi="Arial" w:cs="Arial"/>
                    <w:b w:val="0"/>
                    <w:noProof w:val="0"/>
                    <w:snapToGrid/>
                    <w:sz w:val="22"/>
                    <w:szCs w:val="22"/>
                    <w:lang w:eastAsia="fr-FR"/>
                  </w:rPr>
                  <w:t xml:space="preserve">attainment of the </w:t>
                </w:r>
                <w:r w:rsidR="00192E9E" w:rsidRPr="00FF027F">
                  <w:rPr>
                    <w:rFonts w:ascii="Arial" w:hAnsi="Arial" w:cs="Arial"/>
                    <w:b w:val="0"/>
                    <w:noProof w:val="0"/>
                    <w:snapToGrid/>
                    <w:sz w:val="22"/>
                    <w:szCs w:val="22"/>
                    <w:lang w:eastAsia="fr-FR"/>
                  </w:rPr>
                  <w:t>Agency’s objectives.</w:t>
                </w:r>
              </w:p>
            </w:tc>
          </w:tr>
          <w:tr w:rsidR="00D458E0" w:rsidRPr="00FF027F" w14:paraId="61C689C3" w14:textId="77777777" w:rsidTr="005A0056">
            <w:tc>
              <w:tcPr>
                <w:tcW w:w="2694" w:type="dxa"/>
              </w:tcPr>
              <w:p w14:paraId="3F279C45" w14:textId="77777777" w:rsidR="00D458E0" w:rsidRPr="00FF027F" w:rsidRDefault="00D458E0" w:rsidP="004D65C7">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Objectives and Outputs </w:t>
                </w:r>
              </w:p>
            </w:tc>
            <w:tc>
              <w:tcPr>
                <w:tcW w:w="6426" w:type="dxa"/>
              </w:tcPr>
              <w:p w14:paraId="6DA2C753" w14:textId="10934987" w:rsidR="00D458E0" w:rsidRPr="00FF027F" w:rsidRDefault="00D458E0" w:rsidP="004D65C7">
                <w:pPr>
                  <w:spacing w:line="240" w:lineRule="auto"/>
                  <w:ind w:left="202"/>
                  <w:jc w:val="left"/>
                  <w:rPr>
                    <w:rFonts w:ascii="Arial" w:hAnsi="Arial" w:cs="Arial"/>
                    <w:sz w:val="22"/>
                    <w:szCs w:val="22"/>
                    <w:lang w:val="en-GB"/>
                  </w:rPr>
                </w:pPr>
                <w:r w:rsidRPr="00FF027F">
                  <w:rPr>
                    <w:rFonts w:ascii="Arial" w:hAnsi="Arial" w:cs="Arial"/>
                    <w:sz w:val="22"/>
                    <w:szCs w:val="22"/>
                    <w:lang w:val="en-GB"/>
                  </w:rPr>
                  <w:t>-</w:t>
                </w:r>
                <w:r w:rsidR="009E4248" w:rsidRPr="00FF027F">
                  <w:rPr>
                    <w:rFonts w:ascii="Arial" w:hAnsi="Arial" w:cs="Arial"/>
                    <w:sz w:val="22"/>
                    <w:szCs w:val="22"/>
                    <w:lang w:val="en-GB"/>
                  </w:rPr>
                  <w:t xml:space="preserve"> </w:t>
                </w:r>
                <w:r w:rsidRPr="00FF027F">
                  <w:rPr>
                    <w:rFonts w:ascii="Arial" w:hAnsi="Arial" w:cs="Arial"/>
                    <w:sz w:val="22"/>
                    <w:szCs w:val="22"/>
                    <w:lang w:val="en-GB"/>
                  </w:rPr>
                  <w:t>The Agency’s current ICT strat</w:t>
                </w:r>
                <w:r w:rsidR="009E4248" w:rsidRPr="00FF027F">
                  <w:rPr>
                    <w:rFonts w:ascii="Arial" w:hAnsi="Arial" w:cs="Arial"/>
                    <w:sz w:val="22"/>
                    <w:szCs w:val="22"/>
                    <w:lang w:val="en-GB"/>
                  </w:rPr>
                  <w:t xml:space="preserve">egy covers the years 2013-2015. A </w:t>
                </w:r>
                <w:r w:rsidRPr="00FF027F">
                  <w:rPr>
                    <w:rFonts w:ascii="Arial" w:hAnsi="Arial" w:cs="Arial"/>
                    <w:sz w:val="22"/>
                    <w:szCs w:val="22"/>
                    <w:lang w:val="en-GB"/>
                  </w:rPr>
                  <w:t xml:space="preserve">new ACER ICT Strategy 2016-2018 will </w:t>
                </w:r>
                <w:r w:rsidR="0021711A" w:rsidRPr="00FF027F">
                  <w:rPr>
                    <w:rFonts w:ascii="Arial" w:hAnsi="Arial" w:cs="Arial"/>
                    <w:sz w:val="22"/>
                    <w:szCs w:val="22"/>
                    <w:lang w:val="en-GB"/>
                  </w:rPr>
                  <w:t>be drafted and approved</w:t>
                </w:r>
                <w:r w:rsidR="009E4248" w:rsidRPr="00FF027F">
                  <w:rPr>
                    <w:rFonts w:ascii="Arial" w:hAnsi="Arial" w:cs="Arial"/>
                    <w:sz w:val="22"/>
                    <w:szCs w:val="22"/>
                    <w:lang w:val="en-GB"/>
                  </w:rPr>
                  <w:t xml:space="preserve"> in 2015</w:t>
                </w:r>
                <w:r w:rsidR="0021711A" w:rsidRPr="00FF027F">
                  <w:rPr>
                    <w:rFonts w:ascii="Arial" w:hAnsi="Arial" w:cs="Arial"/>
                    <w:sz w:val="22"/>
                    <w:szCs w:val="22"/>
                    <w:lang w:val="en-GB"/>
                  </w:rPr>
                  <w:t>;</w:t>
                </w:r>
              </w:p>
              <w:p w14:paraId="18C5A734" w14:textId="2AE052D0" w:rsidR="00D458E0" w:rsidRPr="00FF027F" w:rsidRDefault="00D458E0" w:rsidP="004D65C7">
                <w:pPr>
                  <w:spacing w:before="240" w:line="240" w:lineRule="auto"/>
                  <w:ind w:left="202"/>
                  <w:jc w:val="left"/>
                  <w:rPr>
                    <w:rFonts w:ascii="Arial" w:hAnsi="Arial" w:cs="Arial"/>
                    <w:sz w:val="22"/>
                    <w:szCs w:val="22"/>
                    <w:lang w:val="en-GB"/>
                  </w:rPr>
                </w:pPr>
                <w:r w:rsidRPr="00FF027F">
                  <w:rPr>
                    <w:rFonts w:ascii="Arial" w:hAnsi="Arial" w:cs="Arial"/>
                    <w:sz w:val="22"/>
                    <w:szCs w:val="22"/>
                    <w:lang w:val="en-GB"/>
                  </w:rPr>
                  <w:t xml:space="preserve">- Further development and acquisition of applications and </w:t>
                </w:r>
                <w:r w:rsidR="0021711A" w:rsidRPr="00FF027F">
                  <w:rPr>
                    <w:rFonts w:ascii="Arial" w:hAnsi="Arial" w:cs="Arial"/>
                    <w:sz w:val="22"/>
                    <w:szCs w:val="22"/>
                    <w:lang w:val="en-GB"/>
                  </w:rPr>
                  <w:t>services to cover the Agency</w:t>
                </w:r>
                <w:r w:rsidRPr="00FF027F">
                  <w:rPr>
                    <w:rFonts w:ascii="Arial" w:hAnsi="Arial" w:cs="Arial"/>
                    <w:sz w:val="22"/>
                    <w:szCs w:val="22"/>
                    <w:lang w:val="en-GB"/>
                  </w:rPr>
                  <w:t xml:space="preserve"> departments’ needs and the maintenance </w:t>
                </w:r>
                <w:r w:rsidR="0021711A" w:rsidRPr="00FF027F">
                  <w:rPr>
                    <w:rFonts w:ascii="Arial" w:hAnsi="Arial" w:cs="Arial"/>
                    <w:sz w:val="22"/>
                    <w:szCs w:val="22"/>
                    <w:lang w:val="en-GB"/>
                  </w:rPr>
                  <w:t>or renewal of the existing ones.</w:t>
                </w:r>
                <w:r w:rsidRPr="00FF027F">
                  <w:rPr>
                    <w:rFonts w:ascii="Arial" w:hAnsi="Arial" w:cs="Arial"/>
                    <w:sz w:val="22"/>
                    <w:szCs w:val="22"/>
                    <w:lang w:val="en-GB"/>
                  </w:rPr>
                  <w:t xml:space="preserve"> The IT Team </w:t>
                </w:r>
                <w:r w:rsidR="0021711A" w:rsidRPr="00FF027F">
                  <w:rPr>
                    <w:rFonts w:ascii="Arial" w:hAnsi="Arial" w:cs="Arial"/>
                    <w:sz w:val="22"/>
                    <w:szCs w:val="22"/>
                    <w:lang w:val="en-GB"/>
                  </w:rPr>
                  <w:t>shall</w:t>
                </w:r>
                <w:r w:rsidR="000E6E65" w:rsidRPr="00FF027F">
                  <w:rPr>
                    <w:rFonts w:ascii="Arial" w:hAnsi="Arial" w:cs="Arial"/>
                    <w:sz w:val="22"/>
                    <w:szCs w:val="22"/>
                    <w:lang w:val="en-GB"/>
                  </w:rPr>
                  <w:t xml:space="preserve"> collect </w:t>
                </w:r>
                <w:r w:rsidRPr="00FF027F">
                  <w:rPr>
                    <w:rFonts w:ascii="Arial" w:hAnsi="Arial" w:cs="Arial"/>
                    <w:sz w:val="22"/>
                    <w:szCs w:val="22"/>
                    <w:lang w:val="en-GB"/>
                  </w:rPr>
                  <w:t>and asses</w:t>
                </w:r>
                <w:r w:rsidR="000E6E65" w:rsidRPr="00FF027F">
                  <w:rPr>
                    <w:rFonts w:ascii="Arial" w:hAnsi="Arial" w:cs="Arial"/>
                    <w:sz w:val="22"/>
                    <w:szCs w:val="22"/>
                    <w:lang w:val="en-GB"/>
                  </w:rPr>
                  <w:t>s</w:t>
                </w:r>
                <w:r w:rsidRPr="00FF027F">
                  <w:rPr>
                    <w:rFonts w:ascii="Arial" w:hAnsi="Arial" w:cs="Arial"/>
                    <w:sz w:val="22"/>
                    <w:szCs w:val="22"/>
                    <w:lang w:val="en-GB"/>
                  </w:rPr>
                  <w:t xml:space="preserve"> business requirements and proceed with all the necessary procedures that will contribute to the more efficient functioning of the Agency</w:t>
                </w:r>
                <w:r w:rsidR="0021711A" w:rsidRPr="00FF027F">
                  <w:rPr>
                    <w:rFonts w:ascii="Arial" w:hAnsi="Arial" w:cs="Arial"/>
                    <w:sz w:val="22"/>
                    <w:szCs w:val="22"/>
                    <w:lang w:val="en-GB"/>
                  </w:rPr>
                  <w:t>;</w:t>
                </w:r>
              </w:p>
              <w:p w14:paraId="71AC26AB" w14:textId="5487A0C4" w:rsidR="00D458E0" w:rsidRPr="00FF027F" w:rsidRDefault="00D458E0" w:rsidP="004D65C7">
                <w:pPr>
                  <w:spacing w:before="240" w:line="240" w:lineRule="auto"/>
                  <w:ind w:left="202"/>
                  <w:jc w:val="left"/>
                  <w:rPr>
                    <w:rFonts w:ascii="Arial" w:hAnsi="Arial" w:cs="Arial"/>
                    <w:sz w:val="22"/>
                    <w:szCs w:val="22"/>
                    <w:lang w:val="en-GB"/>
                  </w:rPr>
                </w:pPr>
                <w:r w:rsidRPr="00FF027F">
                  <w:rPr>
                    <w:rFonts w:ascii="Arial" w:hAnsi="Arial" w:cs="Arial"/>
                    <w:sz w:val="22"/>
                    <w:szCs w:val="22"/>
                    <w:lang w:val="en-GB"/>
                  </w:rPr>
                  <w:t>- Where needed, of ICT equipment, software and hardware infrastructure of the Agency</w:t>
                </w:r>
                <w:r w:rsidR="000E6E65" w:rsidRPr="00FF027F">
                  <w:rPr>
                    <w:rFonts w:ascii="Arial" w:hAnsi="Arial" w:cs="Arial"/>
                    <w:sz w:val="22"/>
                    <w:szCs w:val="22"/>
                    <w:lang w:val="en-GB"/>
                  </w:rPr>
                  <w:t xml:space="preserve"> will be upgraded or renewed</w:t>
                </w:r>
                <w:r w:rsidRPr="00FF027F">
                  <w:rPr>
                    <w:rFonts w:ascii="Arial" w:hAnsi="Arial" w:cs="Arial"/>
                    <w:sz w:val="22"/>
                    <w:szCs w:val="22"/>
                    <w:lang w:val="en-GB"/>
                  </w:rPr>
                  <w:t xml:space="preserve">. </w:t>
                </w:r>
                <w:r w:rsidR="000E6E65" w:rsidRPr="00FF027F">
                  <w:rPr>
                    <w:rFonts w:ascii="Arial" w:hAnsi="Arial" w:cs="Arial"/>
                    <w:sz w:val="22"/>
                    <w:szCs w:val="22"/>
                    <w:lang w:val="en-GB"/>
                  </w:rPr>
                  <w:t>In addition, at the end of 2014</w:t>
                </w:r>
                <w:r w:rsidRPr="00FF027F">
                  <w:rPr>
                    <w:rFonts w:ascii="Arial" w:hAnsi="Arial" w:cs="Arial"/>
                    <w:sz w:val="22"/>
                    <w:szCs w:val="22"/>
                    <w:lang w:val="en-GB"/>
                  </w:rPr>
                  <w:t xml:space="preserve"> a significant amount of the Agency’s IT equipment will have reached its retention period and therefore new equipment will need to be ordered. The new equipment will be delivered in 2015 and the IT Team will have to ensure a </w:t>
                </w:r>
                <w:r w:rsidR="0021711A" w:rsidRPr="00FF027F">
                  <w:rPr>
                    <w:rFonts w:ascii="Arial" w:hAnsi="Arial" w:cs="Arial"/>
                    <w:sz w:val="22"/>
                    <w:szCs w:val="22"/>
                    <w:lang w:val="en-GB"/>
                  </w:rPr>
                  <w:t xml:space="preserve">smooth </w:t>
                </w:r>
                <w:r w:rsidRPr="00FF027F">
                  <w:rPr>
                    <w:rFonts w:ascii="Arial" w:hAnsi="Arial" w:cs="Arial"/>
                    <w:sz w:val="22"/>
                    <w:szCs w:val="22"/>
                    <w:lang w:val="en-GB"/>
                  </w:rPr>
                  <w:t xml:space="preserve">transition between </w:t>
                </w:r>
                <w:r w:rsidR="000E6E65" w:rsidRPr="00FF027F">
                  <w:rPr>
                    <w:rFonts w:ascii="Arial" w:hAnsi="Arial" w:cs="Arial"/>
                    <w:sz w:val="22"/>
                    <w:szCs w:val="22"/>
                    <w:lang w:val="en-GB"/>
                  </w:rPr>
                  <w:t xml:space="preserve">the </w:t>
                </w:r>
                <w:r w:rsidRPr="00FF027F">
                  <w:rPr>
                    <w:rFonts w:ascii="Arial" w:hAnsi="Arial" w:cs="Arial"/>
                    <w:sz w:val="22"/>
                    <w:szCs w:val="22"/>
                    <w:lang w:val="en-GB"/>
                  </w:rPr>
                  <w:t>old and new equipment</w:t>
                </w:r>
                <w:r w:rsidR="0021711A" w:rsidRPr="00FF027F">
                  <w:rPr>
                    <w:rFonts w:ascii="Arial" w:hAnsi="Arial" w:cs="Arial"/>
                    <w:sz w:val="22"/>
                    <w:szCs w:val="22"/>
                    <w:lang w:val="en-GB"/>
                  </w:rPr>
                  <w:t>;</w:t>
                </w:r>
              </w:p>
              <w:p w14:paraId="74545179" w14:textId="5CAAF505" w:rsidR="00D458E0" w:rsidRPr="00FF027F" w:rsidRDefault="000E6E65" w:rsidP="004D65C7">
                <w:pPr>
                  <w:spacing w:before="240" w:line="240" w:lineRule="auto"/>
                  <w:ind w:left="202"/>
                  <w:jc w:val="left"/>
                  <w:rPr>
                    <w:rFonts w:ascii="Arial" w:hAnsi="Arial" w:cs="Arial"/>
                    <w:sz w:val="22"/>
                    <w:szCs w:val="22"/>
                    <w:lang w:val="en-GB"/>
                  </w:rPr>
                </w:pPr>
                <w:r w:rsidRPr="00FF027F">
                  <w:rPr>
                    <w:rFonts w:ascii="Arial" w:hAnsi="Arial" w:cs="Arial"/>
                    <w:sz w:val="22"/>
                    <w:szCs w:val="22"/>
                    <w:lang w:val="en-GB"/>
                  </w:rPr>
                  <w:t>- Continue</w:t>
                </w:r>
                <w:r w:rsidR="00D458E0" w:rsidRPr="00FF027F">
                  <w:rPr>
                    <w:rFonts w:ascii="Arial" w:hAnsi="Arial" w:cs="Arial"/>
                    <w:sz w:val="22"/>
                    <w:szCs w:val="22"/>
                    <w:lang w:val="en-GB"/>
                  </w:rPr>
                  <w:t xml:space="preserve"> providing high level IT support services that enable the Agency staff to perform their tasks</w:t>
                </w:r>
                <w:r w:rsidR="00FA371D" w:rsidRPr="00FF027F">
                  <w:rPr>
                    <w:rFonts w:ascii="Arial" w:hAnsi="Arial" w:cs="Arial"/>
                    <w:sz w:val="22"/>
                    <w:szCs w:val="22"/>
                    <w:lang w:val="en-GB"/>
                  </w:rPr>
                  <w:t xml:space="preserve"> effectively</w:t>
                </w:r>
                <w:r w:rsidR="0021711A" w:rsidRPr="00FF027F">
                  <w:rPr>
                    <w:rFonts w:ascii="Arial" w:hAnsi="Arial" w:cs="Arial"/>
                    <w:sz w:val="22"/>
                    <w:szCs w:val="22"/>
                    <w:lang w:val="en-GB"/>
                  </w:rPr>
                  <w:t>.</w:t>
                </w:r>
              </w:p>
            </w:tc>
          </w:tr>
          <w:tr w:rsidR="00D458E0" w:rsidRPr="00FF027F" w14:paraId="43658B09" w14:textId="77777777" w:rsidTr="005A0056">
            <w:tc>
              <w:tcPr>
                <w:tcW w:w="2694" w:type="dxa"/>
              </w:tcPr>
              <w:p w14:paraId="189FF2F5" w14:textId="77777777" w:rsidR="00D458E0" w:rsidRPr="00FF027F" w:rsidRDefault="00D458E0" w:rsidP="009E4248">
                <w:pPr>
                  <w:spacing w:line="240" w:lineRule="auto"/>
                  <w:ind w:left="202"/>
                  <w:rPr>
                    <w:rFonts w:ascii="Arial" w:hAnsi="Arial" w:cs="Arial"/>
                    <w:sz w:val="22"/>
                    <w:szCs w:val="22"/>
                    <w:lang w:val="en-GB"/>
                  </w:rPr>
                </w:pPr>
                <w:r w:rsidRPr="00FF027F">
                  <w:rPr>
                    <w:rFonts w:ascii="Arial" w:hAnsi="Arial" w:cs="Arial"/>
                    <w:sz w:val="22"/>
                    <w:szCs w:val="22"/>
                    <w:lang w:val="en-GB"/>
                  </w:rPr>
                  <w:t>Performance indicators and targets (deadlines)</w:t>
                </w:r>
              </w:p>
            </w:tc>
            <w:tc>
              <w:tcPr>
                <w:tcW w:w="6426" w:type="dxa"/>
              </w:tcPr>
              <w:p w14:paraId="4B3850CF" w14:textId="77777777" w:rsidR="00D458E0" w:rsidRPr="00FF027F" w:rsidRDefault="00D458E0" w:rsidP="004D65C7">
                <w:pPr>
                  <w:pStyle w:val="ListParagraph"/>
                  <w:numPr>
                    <w:ilvl w:val="0"/>
                    <w:numId w:val="45"/>
                  </w:numPr>
                  <w:spacing w:after="120"/>
                  <w:ind w:left="360"/>
                  <w:jc w:val="left"/>
                  <w:rPr>
                    <w:rFonts w:ascii="Arial" w:hAnsi="Arial" w:cs="Arial"/>
                    <w:sz w:val="22"/>
                    <w:szCs w:val="22"/>
                    <w:lang w:val="en-GB" w:eastAsia="fr-FR"/>
                  </w:rPr>
                </w:pPr>
                <w:r w:rsidRPr="00FF027F">
                  <w:rPr>
                    <w:rFonts w:ascii="Arial" w:hAnsi="Arial" w:cs="Arial"/>
                    <w:sz w:val="22"/>
                    <w:szCs w:val="22"/>
                    <w:lang w:val="en-GB" w:eastAsia="fr-FR"/>
                  </w:rPr>
                  <w:t>Approval of the ICT Strategy by Q4 of 2015</w:t>
                </w:r>
                <w:r w:rsidR="0021711A" w:rsidRPr="00FF027F">
                  <w:rPr>
                    <w:rFonts w:ascii="Arial" w:hAnsi="Arial" w:cs="Arial"/>
                    <w:sz w:val="22"/>
                    <w:szCs w:val="22"/>
                    <w:lang w:val="en-GB" w:eastAsia="fr-FR"/>
                  </w:rPr>
                  <w:t>;</w:t>
                </w:r>
              </w:p>
              <w:p w14:paraId="4A80EAB1" w14:textId="79238FF5" w:rsidR="00D458E0" w:rsidRPr="00FF027F" w:rsidRDefault="0021711A" w:rsidP="004D65C7">
                <w:pPr>
                  <w:pStyle w:val="ListParagraph"/>
                  <w:numPr>
                    <w:ilvl w:val="0"/>
                    <w:numId w:val="45"/>
                  </w:numPr>
                  <w:spacing w:after="120"/>
                  <w:ind w:left="360"/>
                  <w:jc w:val="left"/>
                  <w:rPr>
                    <w:rFonts w:ascii="Arial" w:hAnsi="Arial" w:cs="Arial"/>
                    <w:sz w:val="22"/>
                    <w:szCs w:val="22"/>
                    <w:lang w:val="en-GB" w:eastAsia="fr-FR"/>
                  </w:rPr>
                </w:pPr>
                <w:r w:rsidRPr="00FF027F">
                  <w:rPr>
                    <w:rFonts w:ascii="Arial" w:hAnsi="Arial" w:cs="Arial"/>
                    <w:sz w:val="22"/>
                    <w:szCs w:val="22"/>
                    <w:lang w:val="en-GB" w:eastAsia="fr-FR"/>
                  </w:rPr>
                  <w:t xml:space="preserve">Successful and </w:t>
                </w:r>
                <w:r w:rsidR="00D458E0" w:rsidRPr="00FF027F">
                  <w:rPr>
                    <w:rFonts w:ascii="Arial" w:hAnsi="Arial" w:cs="Arial"/>
                    <w:sz w:val="22"/>
                    <w:szCs w:val="22"/>
                    <w:lang w:val="en-GB" w:eastAsia="fr-FR"/>
                  </w:rPr>
                  <w:t>time</w:t>
                </w:r>
                <w:r w:rsidRPr="00FF027F">
                  <w:rPr>
                    <w:rFonts w:ascii="Arial" w:hAnsi="Arial" w:cs="Arial"/>
                    <w:sz w:val="22"/>
                    <w:szCs w:val="22"/>
                    <w:lang w:val="en-GB" w:eastAsia="fr-FR"/>
                  </w:rPr>
                  <w:t>ly</w:t>
                </w:r>
                <w:r w:rsidR="00D458E0" w:rsidRPr="00FF027F">
                  <w:rPr>
                    <w:rFonts w:ascii="Arial" w:hAnsi="Arial" w:cs="Arial"/>
                    <w:sz w:val="22"/>
                    <w:szCs w:val="22"/>
                    <w:lang w:val="en-GB" w:eastAsia="fr-FR"/>
                  </w:rPr>
                  <w:t xml:space="preserve"> completion of the</w:t>
                </w:r>
                <w:r w:rsidR="00FA371D" w:rsidRPr="00FF027F">
                  <w:rPr>
                    <w:rFonts w:ascii="Arial" w:hAnsi="Arial" w:cs="Arial"/>
                    <w:sz w:val="22"/>
                    <w:szCs w:val="22"/>
                    <w:lang w:val="en-GB" w:eastAsia="fr-FR"/>
                  </w:rPr>
                  <w:t xml:space="preserve"> tasks necessary to meet the</w:t>
                </w:r>
                <w:r w:rsidR="00D458E0" w:rsidRPr="00FF027F">
                  <w:rPr>
                    <w:rFonts w:ascii="Arial" w:hAnsi="Arial" w:cs="Arial"/>
                    <w:sz w:val="22"/>
                    <w:szCs w:val="22"/>
                    <w:lang w:val="en-GB" w:eastAsia="fr-FR"/>
                  </w:rPr>
                  <w:t xml:space="preserve"> Departments’ needs included in the 2015 IT Action Plan</w:t>
                </w:r>
                <w:r w:rsidRPr="00FF027F">
                  <w:rPr>
                    <w:rFonts w:ascii="Arial" w:hAnsi="Arial" w:cs="Arial"/>
                    <w:sz w:val="22"/>
                    <w:szCs w:val="22"/>
                    <w:lang w:val="en-GB" w:eastAsia="fr-FR"/>
                  </w:rPr>
                  <w:t>;</w:t>
                </w:r>
                <w:r w:rsidR="00D458E0" w:rsidRPr="00FF027F">
                  <w:rPr>
                    <w:rFonts w:ascii="Arial" w:hAnsi="Arial" w:cs="Arial"/>
                    <w:sz w:val="22"/>
                    <w:szCs w:val="22"/>
                    <w:lang w:val="en-GB" w:eastAsia="fr-FR"/>
                  </w:rPr>
                  <w:t xml:space="preserve"> </w:t>
                </w:r>
              </w:p>
              <w:p w14:paraId="4EB86BCE" w14:textId="77777777" w:rsidR="00D458E0" w:rsidRPr="00FF027F" w:rsidRDefault="0021711A" w:rsidP="004D65C7">
                <w:pPr>
                  <w:pStyle w:val="ListParagraph"/>
                  <w:numPr>
                    <w:ilvl w:val="0"/>
                    <w:numId w:val="45"/>
                  </w:numPr>
                  <w:spacing w:after="120"/>
                  <w:ind w:left="360"/>
                  <w:jc w:val="left"/>
                  <w:rPr>
                    <w:rFonts w:ascii="Arial" w:hAnsi="Arial" w:cs="Arial"/>
                    <w:sz w:val="22"/>
                    <w:szCs w:val="22"/>
                    <w:lang w:val="en-GB" w:eastAsia="fr-FR"/>
                  </w:rPr>
                </w:pPr>
                <w:r w:rsidRPr="00FF027F">
                  <w:rPr>
                    <w:rFonts w:ascii="Arial" w:hAnsi="Arial" w:cs="Arial"/>
                    <w:sz w:val="22"/>
                    <w:szCs w:val="22"/>
                    <w:lang w:val="en-GB" w:eastAsia="fr-FR"/>
                  </w:rPr>
                  <w:t>Smooth</w:t>
                </w:r>
                <w:r w:rsidR="00D458E0" w:rsidRPr="00FF027F">
                  <w:rPr>
                    <w:rFonts w:ascii="Arial" w:hAnsi="Arial" w:cs="Arial"/>
                    <w:sz w:val="22"/>
                    <w:szCs w:val="22"/>
                    <w:lang w:val="en-GB" w:eastAsia="fr-FR"/>
                  </w:rPr>
                  <w:t xml:space="preserve"> transition between old and new equipment within Q1</w:t>
                </w:r>
                <w:r w:rsidRPr="00FF027F">
                  <w:rPr>
                    <w:rFonts w:ascii="Arial" w:hAnsi="Arial" w:cs="Arial"/>
                    <w:sz w:val="22"/>
                    <w:szCs w:val="22"/>
                    <w:lang w:val="en-GB" w:eastAsia="fr-FR"/>
                  </w:rPr>
                  <w:t>;</w:t>
                </w:r>
              </w:p>
              <w:p w14:paraId="140CA012" w14:textId="77777777" w:rsidR="00D458E0" w:rsidRPr="00FF027F" w:rsidRDefault="00D458E0" w:rsidP="004D65C7">
                <w:pPr>
                  <w:pStyle w:val="ListParagraph"/>
                  <w:numPr>
                    <w:ilvl w:val="0"/>
                    <w:numId w:val="45"/>
                  </w:numPr>
                  <w:spacing w:after="120"/>
                  <w:ind w:left="360"/>
                  <w:jc w:val="left"/>
                  <w:rPr>
                    <w:rFonts w:ascii="Arial" w:hAnsi="Arial" w:cs="Arial"/>
                    <w:sz w:val="22"/>
                    <w:szCs w:val="22"/>
                    <w:lang w:val="en-GB" w:eastAsia="fr-FR"/>
                  </w:rPr>
                </w:pPr>
                <w:r w:rsidRPr="00FF027F">
                  <w:rPr>
                    <w:rFonts w:ascii="Arial" w:hAnsi="Arial" w:cs="Arial"/>
                    <w:sz w:val="22"/>
                    <w:szCs w:val="22"/>
                    <w:lang w:val="en-GB" w:eastAsia="fr-FR"/>
                  </w:rPr>
                  <w:t>80% of staff satisfied or very satisfied with IT services on the basis of an annual satisfaction survey</w:t>
                </w:r>
                <w:r w:rsidR="0021711A" w:rsidRPr="00FF027F">
                  <w:rPr>
                    <w:rFonts w:ascii="Arial" w:hAnsi="Arial" w:cs="Arial"/>
                    <w:sz w:val="22"/>
                    <w:szCs w:val="22"/>
                    <w:lang w:val="en-GB" w:eastAsia="fr-FR"/>
                  </w:rPr>
                  <w:t>.</w:t>
                </w:r>
              </w:p>
            </w:tc>
          </w:tr>
          <w:tr w:rsidR="00D458E0" w:rsidRPr="00FF027F" w14:paraId="7A20F743" w14:textId="77777777" w:rsidTr="005A0056">
            <w:tc>
              <w:tcPr>
                <w:tcW w:w="2694" w:type="dxa"/>
              </w:tcPr>
              <w:p w14:paraId="2993B076" w14:textId="77777777" w:rsidR="00D458E0" w:rsidRPr="00FF027F" w:rsidRDefault="00D458E0" w:rsidP="00192E9E">
                <w:pPr>
                  <w:ind w:left="202"/>
                  <w:rPr>
                    <w:rFonts w:ascii="Arial" w:hAnsi="Arial" w:cs="Arial"/>
                    <w:sz w:val="22"/>
                    <w:szCs w:val="22"/>
                    <w:lang w:val="en-GB"/>
                  </w:rPr>
                </w:pPr>
                <w:r w:rsidRPr="00FF027F">
                  <w:rPr>
                    <w:rFonts w:ascii="Arial" w:hAnsi="Arial" w:cs="Arial"/>
                    <w:sz w:val="22"/>
                    <w:szCs w:val="22"/>
                    <w:lang w:val="en-GB"/>
                  </w:rPr>
                  <w:t>Staff</w:t>
                </w:r>
              </w:p>
            </w:tc>
            <w:tc>
              <w:tcPr>
                <w:tcW w:w="6426" w:type="dxa"/>
              </w:tcPr>
              <w:p w14:paraId="21E570B1" w14:textId="5701E146" w:rsidR="00D458E0" w:rsidRPr="00FF027F" w:rsidRDefault="00EB3D78" w:rsidP="004D65C7">
                <w:pPr>
                  <w:spacing w:line="240" w:lineRule="auto"/>
                  <w:ind w:left="202"/>
                  <w:jc w:val="left"/>
                  <w:rPr>
                    <w:rFonts w:ascii="Arial" w:hAnsi="Arial" w:cs="Arial"/>
                    <w:sz w:val="22"/>
                    <w:szCs w:val="22"/>
                    <w:lang w:val="en-GB"/>
                  </w:rPr>
                </w:pPr>
                <w:r w:rsidRPr="00FF027F">
                  <w:rPr>
                    <w:rFonts w:ascii="Arial" w:hAnsi="Arial" w:cs="Arial"/>
                    <w:sz w:val="22"/>
                    <w:szCs w:val="22"/>
                    <w:lang w:val="en-GB"/>
                  </w:rPr>
                  <w:t>4.0</w:t>
                </w:r>
                <w:r w:rsidR="00D458E0" w:rsidRPr="00FF027F">
                  <w:rPr>
                    <w:rFonts w:ascii="Arial" w:hAnsi="Arial" w:cs="Arial"/>
                    <w:sz w:val="22"/>
                    <w:szCs w:val="22"/>
                    <w:lang w:val="en-GB"/>
                  </w:rPr>
                  <w:t xml:space="preserve"> FTE</w:t>
                </w:r>
              </w:p>
            </w:tc>
          </w:tr>
          <w:tr w:rsidR="00D458E0" w:rsidRPr="00FF027F" w14:paraId="5D467D5D" w14:textId="77777777" w:rsidTr="005A0056">
            <w:tc>
              <w:tcPr>
                <w:tcW w:w="2694" w:type="dxa"/>
              </w:tcPr>
              <w:p w14:paraId="5DBAB1AF" w14:textId="77777777" w:rsidR="00D458E0" w:rsidRPr="00FF027F" w:rsidRDefault="00D458E0" w:rsidP="00192E9E">
                <w:pPr>
                  <w:ind w:left="202"/>
                  <w:rPr>
                    <w:rFonts w:ascii="Arial" w:hAnsi="Arial" w:cs="Arial"/>
                    <w:sz w:val="22"/>
                    <w:szCs w:val="22"/>
                    <w:lang w:val="en-GB"/>
                  </w:rPr>
                </w:pPr>
                <w:r w:rsidRPr="00FF027F">
                  <w:rPr>
                    <w:rFonts w:ascii="Arial" w:hAnsi="Arial" w:cs="Arial"/>
                    <w:sz w:val="22"/>
                    <w:szCs w:val="22"/>
                    <w:lang w:val="en-GB"/>
                  </w:rPr>
                  <w:t>Risks</w:t>
                </w:r>
              </w:p>
            </w:tc>
            <w:tc>
              <w:tcPr>
                <w:tcW w:w="6426" w:type="dxa"/>
              </w:tcPr>
              <w:p w14:paraId="5E3F7996" w14:textId="77777777" w:rsidR="0021711A" w:rsidRPr="00FF027F" w:rsidRDefault="00D458E0" w:rsidP="004D65C7">
                <w:pPr>
                  <w:spacing w:line="240" w:lineRule="auto"/>
                  <w:ind w:left="202"/>
                  <w:jc w:val="left"/>
                  <w:rPr>
                    <w:rFonts w:ascii="Arial" w:hAnsi="Arial" w:cs="Arial"/>
                    <w:sz w:val="22"/>
                    <w:szCs w:val="22"/>
                    <w:lang w:val="en-GB"/>
                  </w:rPr>
                </w:pPr>
                <w:r w:rsidRPr="00FF027F">
                  <w:rPr>
                    <w:rFonts w:ascii="Arial" w:hAnsi="Arial" w:cs="Arial"/>
                    <w:sz w:val="22"/>
                    <w:szCs w:val="22"/>
                    <w:lang w:val="en-GB"/>
                  </w:rPr>
                  <w:t xml:space="preserve">Human resource constraints and mobility of IT staff may impact the timely delivery and the quality of the objectives. </w:t>
                </w:r>
              </w:p>
              <w:p w14:paraId="442868BA" w14:textId="50F4D648" w:rsidR="00D458E0" w:rsidRPr="00FF027F" w:rsidRDefault="0021711A" w:rsidP="004D65C7">
                <w:pPr>
                  <w:spacing w:line="240" w:lineRule="auto"/>
                  <w:ind w:left="202"/>
                  <w:jc w:val="left"/>
                  <w:rPr>
                    <w:rFonts w:ascii="Arial" w:hAnsi="Arial" w:cs="Arial"/>
                    <w:sz w:val="22"/>
                    <w:szCs w:val="22"/>
                    <w:lang w:val="en-GB"/>
                  </w:rPr>
                </w:pPr>
                <w:r w:rsidRPr="00FF027F">
                  <w:rPr>
                    <w:rFonts w:ascii="Arial" w:hAnsi="Arial" w:cs="Arial"/>
                    <w:sz w:val="22"/>
                    <w:szCs w:val="22"/>
                    <w:lang w:val="en-GB"/>
                  </w:rPr>
                  <w:t>C</w:t>
                </w:r>
                <w:r w:rsidR="00D458E0" w:rsidRPr="00FF027F">
                  <w:rPr>
                    <w:rFonts w:ascii="Arial" w:hAnsi="Arial" w:cs="Arial"/>
                    <w:sz w:val="22"/>
                    <w:szCs w:val="22"/>
                    <w:lang w:val="en-GB"/>
                  </w:rPr>
                  <w:t>lose collaboration with the Agency’s Departments is needed in order to effectively define and implement their IT needs</w:t>
                </w:r>
                <w:r w:rsidRPr="00FF027F">
                  <w:rPr>
                    <w:rFonts w:ascii="Arial" w:hAnsi="Arial" w:cs="Arial"/>
                    <w:sz w:val="22"/>
                    <w:szCs w:val="22"/>
                    <w:lang w:val="en-GB"/>
                  </w:rPr>
                  <w:t>.</w:t>
                </w:r>
              </w:p>
            </w:tc>
          </w:tr>
        </w:tbl>
        <w:p w14:paraId="744431CC" w14:textId="4AFA6F48" w:rsidR="00544C04" w:rsidRPr="00FF027F" w:rsidRDefault="00B12EAA" w:rsidP="00544C04">
          <w:pPr>
            <w:pStyle w:val="Heading3"/>
            <w:rPr>
              <w:color w:val="4F81BD" w:themeColor="accent1"/>
            </w:rPr>
          </w:pPr>
          <w:bookmarkStart w:id="119" w:name="_Toc396913806"/>
          <w:r w:rsidRPr="00FF027F">
            <w:rPr>
              <w:color w:val="4F81BD" w:themeColor="accent1"/>
            </w:rPr>
            <w:t>Internal and Horizontal Activities</w:t>
          </w:r>
          <w:bookmarkEnd w:id="119"/>
          <w:r w:rsidR="00934C0D" w:rsidRPr="00FF027F">
            <w:rPr>
              <w:color w:val="4F81BD" w:themeColor="accent1"/>
            </w:rPr>
            <w:t xml:space="preserve"> </w:t>
          </w:r>
        </w:p>
        <w:p w14:paraId="2119DFC7" w14:textId="6BFF536B" w:rsidR="00072E72" w:rsidRPr="00FF027F" w:rsidRDefault="004151F0" w:rsidP="006C5894">
          <w:pPr>
            <w:autoSpaceDE w:val="0"/>
            <w:autoSpaceDN w:val="0"/>
            <w:adjustRightInd w:val="0"/>
            <w:spacing w:before="360" w:after="240" w:line="360" w:lineRule="auto"/>
            <w:jc w:val="both"/>
            <w:rPr>
              <w:rFonts w:ascii="Arial" w:hAnsi="Arial" w:cs="Arial"/>
              <w:lang w:val="en-GB"/>
            </w:rPr>
          </w:pPr>
          <w:r w:rsidRPr="00FF027F">
            <w:rPr>
              <w:rFonts w:ascii="Arial" w:hAnsi="Arial" w:cs="Arial"/>
              <w:lang w:val="en-GB"/>
            </w:rPr>
            <w:t>Apart from</w:t>
          </w:r>
          <w:r w:rsidR="00072E72" w:rsidRPr="00FF027F">
            <w:rPr>
              <w:rFonts w:ascii="Arial" w:hAnsi="Arial" w:cs="Arial"/>
              <w:lang w:val="en-GB"/>
            </w:rPr>
            <w:t xml:space="preserve"> the specific activities and deliverables presented in this Work Programme, the Agency needs to maintain administrative support and a number of central services. Strategic direction</w:t>
          </w:r>
          <w:r w:rsidRPr="00FF027F">
            <w:rPr>
              <w:rFonts w:ascii="Arial" w:hAnsi="Arial" w:cs="Arial"/>
              <w:lang w:val="en-GB"/>
            </w:rPr>
            <w:t>,</w:t>
          </w:r>
          <w:r w:rsidR="00072E72" w:rsidRPr="00FF027F">
            <w:rPr>
              <w:rFonts w:ascii="Arial" w:hAnsi="Arial" w:cs="Arial"/>
              <w:lang w:val="en-GB"/>
            </w:rPr>
            <w:t xml:space="preserve"> leadership and coordination across the differe</w:t>
          </w:r>
          <w:r w:rsidRPr="00FF027F">
            <w:rPr>
              <w:rFonts w:ascii="Arial" w:hAnsi="Arial" w:cs="Arial"/>
              <w:lang w:val="en-GB"/>
            </w:rPr>
            <w:t xml:space="preserve">nt departments are also essential </w:t>
          </w:r>
          <w:r w:rsidR="00072E72" w:rsidRPr="00FF027F">
            <w:rPr>
              <w:rFonts w:ascii="Arial" w:hAnsi="Arial" w:cs="Arial"/>
              <w:lang w:val="en-GB"/>
            </w:rPr>
            <w:t>to ensure the effective and efficient operation of the Agency in delivering on its mission and meeting its objectives.</w:t>
          </w:r>
        </w:p>
        <w:p w14:paraId="78AAA670" w14:textId="216A15F0" w:rsidR="004151F0" w:rsidRPr="00FF027F" w:rsidRDefault="00961063" w:rsidP="00FE1C6F">
          <w:pPr>
            <w:autoSpaceDE w:val="0"/>
            <w:autoSpaceDN w:val="0"/>
            <w:adjustRightInd w:val="0"/>
            <w:spacing w:before="360" w:after="120" w:line="360" w:lineRule="auto"/>
            <w:jc w:val="both"/>
            <w:rPr>
              <w:rFonts w:ascii="Arial" w:hAnsi="Arial" w:cs="Arial"/>
              <w:lang w:val="en-GB"/>
            </w:rPr>
          </w:pPr>
          <w:r w:rsidRPr="00FF027F">
            <w:rPr>
              <w:rFonts w:ascii="Arial" w:hAnsi="Arial" w:cs="Arial"/>
              <w:lang w:val="en-GB"/>
            </w:rPr>
            <w:t>Therefore, b</w:t>
          </w:r>
          <w:r w:rsidR="004151F0" w:rsidRPr="00FF027F">
            <w:rPr>
              <w:rFonts w:ascii="Arial" w:hAnsi="Arial" w:cs="Arial"/>
              <w:lang w:val="en-GB"/>
            </w:rPr>
            <w:t>eyond the staff devoted to specific activities and deliverables, the following positions have a more strategic and coordination role:</w:t>
          </w:r>
        </w:p>
        <w:p w14:paraId="45C00C06" w14:textId="09716198" w:rsidR="004151F0" w:rsidRPr="00FF027F" w:rsidRDefault="004151F0" w:rsidP="001B61D2">
          <w:pPr>
            <w:pStyle w:val="ListParagraph"/>
            <w:numPr>
              <w:ilvl w:val="0"/>
              <w:numId w:val="21"/>
            </w:numPr>
            <w:spacing w:before="240" w:after="120" w:line="360" w:lineRule="auto"/>
            <w:ind w:hanging="432"/>
            <w:contextualSpacing w:val="0"/>
            <w:jc w:val="both"/>
            <w:rPr>
              <w:rFonts w:ascii="Arial" w:hAnsi="Arial" w:cs="Arial"/>
              <w:lang w:val="en-GB"/>
            </w:rPr>
          </w:pPr>
          <w:r w:rsidRPr="00FF027F">
            <w:rPr>
              <w:rFonts w:ascii="Arial" w:hAnsi="Arial" w:cs="Arial"/>
              <w:lang w:val="en-GB"/>
            </w:rPr>
            <w:t>Director, Assistant to the Director and Secretary of the Director</w:t>
          </w:r>
          <w:r w:rsidR="00D44B8F" w:rsidRPr="00FF027F">
            <w:rPr>
              <w:rFonts w:ascii="Arial" w:hAnsi="Arial" w:cs="Arial"/>
              <w:lang w:val="en-GB"/>
            </w:rPr>
            <w:t xml:space="preserve">: </w:t>
          </w:r>
          <w:r w:rsidR="00051124" w:rsidRPr="00FF027F">
            <w:rPr>
              <w:rFonts w:ascii="Arial" w:hAnsi="Arial" w:cs="Arial"/>
              <w:lang w:val="en-GB"/>
            </w:rPr>
            <w:t>3</w:t>
          </w:r>
          <w:r w:rsidR="00934C0D" w:rsidRPr="00FF027F">
            <w:rPr>
              <w:rFonts w:ascii="Arial" w:hAnsi="Arial" w:cs="Arial"/>
              <w:lang w:val="en-GB"/>
            </w:rPr>
            <w:t xml:space="preserve"> </w:t>
          </w:r>
          <w:r w:rsidR="00D44B8F" w:rsidRPr="00FF027F">
            <w:rPr>
              <w:rFonts w:ascii="Arial" w:hAnsi="Arial" w:cs="Arial"/>
              <w:lang w:val="en-GB"/>
            </w:rPr>
            <w:t>FTE</w:t>
          </w:r>
          <w:r w:rsidRPr="00FF027F">
            <w:rPr>
              <w:rFonts w:ascii="Arial" w:hAnsi="Arial" w:cs="Arial"/>
              <w:lang w:val="en-GB"/>
            </w:rPr>
            <w:t>;</w:t>
          </w:r>
        </w:p>
        <w:p w14:paraId="739A2D66" w14:textId="5DB9B1EC" w:rsidR="00737517" w:rsidRPr="00FF027F" w:rsidRDefault="00737517" w:rsidP="001B61D2">
          <w:pPr>
            <w:pStyle w:val="ListParagraph"/>
            <w:numPr>
              <w:ilvl w:val="0"/>
              <w:numId w:val="21"/>
            </w:numPr>
            <w:spacing w:before="240" w:after="120" w:line="360" w:lineRule="auto"/>
            <w:ind w:left="709" w:hanging="425"/>
            <w:contextualSpacing w:val="0"/>
            <w:jc w:val="both"/>
            <w:rPr>
              <w:rFonts w:ascii="Arial" w:hAnsi="Arial" w:cs="Arial"/>
              <w:lang w:val="en-GB"/>
            </w:rPr>
          </w:pPr>
          <w:r w:rsidRPr="00FF027F">
            <w:rPr>
              <w:rFonts w:ascii="Arial" w:hAnsi="Arial" w:cs="Arial"/>
              <w:lang w:val="en-GB"/>
            </w:rPr>
            <w:t>Head of Administration, Assistant to the Head of Administrat</w:t>
          </w:r>
          <w:r w:rsidR="00D44B8F" w:rsidRPr="00FF027F">
            <w:rPr>
              <w:rFonts w:ascii="Arial" w:hAnsi="Arial" w:cs="Arial"/>
              <w:lang w:val="en-GB"/>
            </w:rPr>
            <w:t xml:space="preserve">ion/Internal Control Assistant: </w:t>
          </w:r>
          <w:r w:rsidR="00051124" w:rsidRPr="00FF027F">
            <w:rPr>
              <w:rFonts w:ascii="Arial" w:hAnsi="Arial" w:cs="Arial"/>
              <w:lang w:val="en-GB"/>
            </w:rPr>
            <w:t>2</w:t>
          </w:r>
          <w:r w:rsidR="00934C0D" w:rsidRPr="00FF027F">
            <w:rPr>
              <w:rFonts w:ascii="Arial" w:hAnsi="Arial" w:cs="Arial"/>
              <w:lang w:val="en-GB"/>
            </w:rPr>
            <w:t xml:space="preserve"> </w:t>
          </w:r>
          <w:r w:rsidR="00D44B8F" w:rsidRPr="00FF027F">
            <w:rPr>
              <w:rFonts w:ascii="Arial" w:hAnsi="Arial" w:cs="Arial"/>
              <w:lang w:val="en-GB"/>
            </w:rPr>
            <w:t>FTEs</w:t>
          </w:r>
          <w:r w:rsidRPr="00FF027F">
            <w:rPr>
              <w:rFonts w:ascii="Arial" w:hAnsi="Arial" w:cs="Arial"/>
              <w:lang w:val="en-GB"/>
            </w:rPr>
            <w:t>;</w:t>
          </w:r>
        </w:p>
        <w:p w14:paraId="7CCC9F7B" w14:textId="63EECCBE" w:rsidR="004151F0" w:rsidRPr="00FF027F" w:rsidRDefault="00CA412F" w:rsidP="001B61D2">
          <w:pPr>
            <w:pStyle w:val="ListParagraph"/>
            <w:numPr>
              <w:ilvl w:val="0"/>
              <w:numId w:val="21"/>
            </w:numPr>
            <w:spacing w:before="240" w:after="120" w:line="360" w:lineRule="auto"/>
            <w:ind w:left="709" w:hanging="425"/>
            <w:contextualSpacing w:val="0"/>
            <w:jc w:val="both"/>
            <w:rPr>
              <w:rFonts w:ascii="Arial" w:hAnsi="Arial" w:cs="Arial"/>
              <w:lang w:val="en-GB"/>
            </w:rPr>
          </w:pPr>
          <w:r w:rsidRPr="00FF027F">
            <w:rPr>
              <w:rFonts w:ascii="Arial" w:hAnsi="Arial" w:cs="Arial"/>
              <w:lang w:val="en-GB"/>
            </w:rPr>
            <w:t>Strategy</w:t>
          </w:r>
          <w:r w:rsidR="004151F0" w:rsidRPr="00FF027F">
            <w:rPr>
              <w:rFonts w:ascii="Arial" w:hAnsi="Arial" w:cs="Arial"/>
              <w:lang w:val="en-GB"/>
            </w:rPr>
            <w:t xml:space="preserve">, Coordination and Compliance </w:t>
          </w:r>
          <w:r w:rsidR="00D44B8F" w:rsidRPr="00FF027F">
            <w:rPr>
              <w:rFonts w:ascii="Arial" w:hAnsi="Arial" w:cs="Arial"/>
              <w:lang w:val="en-GB"/>
            </w:rPr>
            <w:t xml:space="preserve">adviser: </w:t>
          </w:r>
          <w:r w:rsidR="00051124" w:rsidRPr="00FF027F">
            <w:rPr>
              <w:rFonts w:ascii="Arial" w:hAnsi="Arial" w:cs="Arial"/>
              <w:lang w:val="en-GB"/>
            </w:rPr>
            <w:t>1</w:t>
          </w:r>
          <w:r w:rsidR="00737517" w:rsidRPr="00FF027F">
            <w:rPr>
              <w:rFonts w:ascii="Arial" w:hAnsi="Arial" w:cs="Arial"/>
              <w:lang w:val="en-GB"/>
            </w:rPr>
            <w:t xml:space="preserve"> </w:t>
          </w:r>
          <w:r w:rsidR="004151F0" w:rsidRPr="00FF027F">
            <w:rPr>
              <w:rFonts w:ascii="Arial" w:hAnsi="Arial" w:cs="Arial"/>
              <w:lang w:val="en-GB"/>
            </w:rPr>
            <w:t>FTE.</w:t>
          </w:r>
        </w:p>
        <w:p w14:paraId="510F3495" w14:textId="0412C278" w:rsidR="00FE7BEB" w:rsidRPr="00FF027F" w:rsidRDefault="00FE7BEB" w:rsidP="001B61D2">
          <w:pPr>
            <w:spacing w:before="240" w:after="240" w:line="360" w:lineRule="auto"/>
            <w:ind w:left="284"/>
            <w:jc w:val="both"/>
            <w:rPr>
              <w:rFonts w:ascii="Arial" w:hAnsi="Arial" w:cs="Arial"/>
              <w:lang w:val="en-GB"/>
            </w:rPr>
          </w:pPr>
          <w:r w:rsidRPr="00FF027F">
            <w:rPr>
              <w:rFonts w:ascii="Arial" w:hAnsi="Arial" w:cs="Arial"/>
              <w:lang w:val="en-GB"/>
            </w:rPr>
            <w:t xml:space="preserve">In addition, staff </w:t>
          </w:r>
          <w:r w:rsidR="00BD30FF" w:rsidRPr="00FF027F">
            <w:rPr>
              <w:rFonts w:ascii="Arial" w:hAnsi="Arial" w:cs="Arial"/>
              <w:lang w:val="en-GB"/>
            </w:rPr>
            <w:t xml:space="preserve">members </w:t>
          </w:r>
          <w:r w:rsidRPr="00FF027F">
            <w:rPr>
              <w:rFonts w:ascii="Arial" w:hAnsi="Arial" w:cs="Arial"/>
              <w:lang w:val="en-GB"/>
            </w:rPr>
            <w:t xml:space="preserve">allocated to the following positions also have a more horizontal role not </w:t>
          </w:r>
          <w:r w:rsidR="00BD30FF" w:rsidRPr="00FF027F">
            <w:rPr>
              <w:rFonts w:ascii="Arial" w:hAnsi="Arial" w:cs="Arial"/>
              <w:lang w:val="en-GB"/>
            </w:rPr>
            <w:t xml:space="preserve">assigned </w:t>
          </w:r>
          <w:r w:rsidRPr="00FF027F">
            <w:rPr>
              <w:rFonts w:ascii="Arial" w:hAnsi="Arial" w:cs="Arial"/>
              <w:lang w:val="en-GB"/>
            </w:rPr>
            <w:t xml:space="preserve">to specific </w:t>
          </w:r>
          <w:r w:rsidR="00FE1C6F" w:rsidRPr="00FF027F">
            <w:rPr>
              <w:rFonts w:ascii="Arial" w:hAnsi="Arial" w:cs="Arial"/>
              <w:lang w:val="en-GB"/>
            </w:rPr>
            <w:t xml:space="preserve">activities / </w:t>
          </w:r>
          <w:r w:rsidRPr="00FF027F">
            <w:rPr>
              <w:rFonts w:ascii="Arial" w:hAnsi="Arial" w:cs="Arial"/>
              <w:lang w:val="en-GB"/>
            </w:rPr>
            <w:t>deliverables within this Work Programme:</w:t>
          </w:r>
        </w:p>
        <w:p w14:paraId="4F611E8E" w14:textId="1FFF569D" w:rsidR="00FE7BEB" w:rsidRPr="00FF027F" w:rsidRDefault="00FE7BEB" w:rsidP="001B61D2">
          <w:pPr>
            <w:pStyle w:val="ListParagraph"/>
            <w:numPr>
              <w:ilvl w:val="0"/>
              <w:numId w:val="21"/>
            </w:numPr>
            <w:spacing w:before="240" w:after="240" w:line="360" w:lineRule="auto"/>
            <w:ind w:hanging="432"/>
            <w:contextualSpacing w:val="0"/>
            <w:jc w:val="both"/>
            <w:rPr>
              <w:rFonts w:ascii="Arial" w:hAnsi="Arial" w:cs="Arial"/>
              <w:lang w:val="en-GB"/>
            </w:rPr>
          </w:pPr>
          <w:r w:rsidRPr="00FF027F">
            <w:rPr>
              <w:rFonts w:ascii="Arial" w:hAnsi="Arial" w:cs="Arial"/>
              <w:lang w:val="en-GB"/>
            </w:rPr>
            <w:t>Legal advisers</w:t>
          </w:r>
          <w:r w:rsidR="00D44B8F" w:rsidRPr="00FF027F">
            <w:rPr>
              <w:rFonts w:ascii="Arial" w:hAnsi="Arial" w:cs="Arial"/>
              <w:lang w:val="en-GB"/>
            </w:rPr>
            <w:t xml:space="preserve">: </w:t>
          </w:r>
          <w:r w:rsidR="00051124" w:rsidRPr="00FF027F">
            <w:rPr>
              <w:rFonts w:ascii="Arial" w:hAnsi="Arial" w:cs="Arial"/>
              <w:lang w:val="en-GB"/>
            </w:rPr>
            <w:t>3</w:t>
          </w:r>
          <w:r w:rsidRPr="00FF027F">
            <w:rPr>
              <w:rFonts w:ascii="Arial" w:hAnsi="Arial" w:cs="Arial"/>
              <w:lang w:val="en-GB"/>
            </w:rPr>
            <w:t xml:space="preserve"> FTE</w:t>
          </w:r>
          <w:r w:rsidR="00D44B8F" w:rsidRPr="00FF027F">
            <w:rPr>
              <w:rFonts w:ascii="Arial" w:hAnsi="Arial" w:cs="Arial"/>
              <w:lang w:val="en-GB"/>
            </w:rPr>
            <w:t>;</w:t>
          </w:r>
          <w:r w:rsidR="00EB3D78" w:rsidRPr="00FF027F">
            <w:rPr>
              <w:rFonts w:ascii="Arial" w:hAnsi="Arial" w:cs="Arial"/>
              <w:lang w:val="en-GB"/>
            </w:rPr>
            <w:t xml:space="preserve"> </w:t>
          </w:r>
        </w:p>
        <w:p w14:paraId="0F0AEA56" w14:textId="321FAEF1" w:rsidR="003D0124" w:rsidRPr="00FF027F" w:rsidRDefault="00311B29" w:rsidP="001B61D2">
          <w:pPr>
            <w:pStyle w:val="ListParagraph"/>
            <w:numPr>
              <w:ilvl w:val="0"/>
              <w:numId w:val="21"/>
            </w:numPr>
            <w:spacing w:before="240" w:after="240" w:line="360" w:lineRule="auto"/>
            <w:ind w:left="709" w:hanging="425"/>
            <w:contextualSpacing w:val="0"/>
            <w:jc w:val="both"/>
            <w:rPr>
              <w:rFonts w:ascii="Arial" w:hAnsi="Arial" w:cs="Arial"/>
              <w:lang w:val="en-GB"/>
            </w:rPr>
          </w:pPr>
          <w:r w:rsidRPr="00FF027F">
            <w:rPr>
              <w:rFonts w:ascii="Arial" w:hAnsi="Arial" w:cs="Arial"/>
              <w:lang w:val="en-GB"/>
            </w:rPr>
            <w:t xml:space="preserve">National Regulatory Agencies </w:t>
          </w:r>
          <w:r w:rsidR="003D0124" w:rsidRPr="00FF027F">
            <w:rPr>
              <w:rFonts w:ascii="Arial" w:hAnsi="Arial" w:cs="Arial"/>
              <w:lang w:val="en-GB"/>
            </w:rPr>
            <w:t>Cooperation</w:t>
          </w:r>
          <w:r w:rsidR="00B331B8" w:rsidRPr="00FF027F">
            <w:rPr>
              <w:rFonts w:ascii="Arial" w:hAnsi="Arial" w:cs="Arial"/>
              <w:lang w:val="en-GB"/>
            </w:rPr>
            <w:t xml:space="preserve"> Officers</w:t>
          </w:r>
          <w:r w:rsidR="00D44B8F" w:rsidRPr="00FF027F">
            <w:rPr>
              <w:rFonts w:ascii="Arial" w:hAnsi="Arial" w:cs="Arial"/>
              <w:lang w:val="en-GB"/>
            </w:rPr>
            <w:t>: 3 FTE;</w:t>
          </w:r>
          <w:r w:rsidR="006A1854" w:rsidRPr="00FF027F">
            <w:rPr>
              <w:rFonts w:ascii="Arial" w:hAnsi="Arial" w:cs="Arial"/>
              <w:lang w:val="en-GB"/>
            </w:rPr>
            <w:t xml:space="preserve"> </w:t>
          </w:r>
        </w:p>
        <w:p w14:paraId="4C4F1AE7" w14:textId="45CE1037" w:rsidR="00EC14BA" w:rsidRPr="00FF027F" w:rsidRDefault="00EC14BA" w:rsidP="00EC14BA">
          <w:pPr>
            <w:pStyle w:val="ListParagraph"/>
            <w:numPr>
              <w:ilvl w:val="0"/>
              <w:numId w:val="21"/>
            </w:numPr>
            <w:spacing w:before="240" w:after="240" w:line="360" w:lineRule="auto"/>
            <w:contextualSpacing w:val="0"/>
            <w:jc w:val="both"/>
            <w:rPr>
              <w:rFonts w:ascii="Arial" w:hAnsi="Arial" w:cs="Arial"/>
              <w:lang w:val="en-GB"/>
            </w:rPr>
          </w:pPr>
          <w:r w:rsidRPr="00FF027F">
            <w:rPr>
              <w:rFonts w:ascii="Arial" w:hAnsi="Arial" w:cs="Arial"/>
              <w:lang w:val="en-GB"/>
            </w:rPr>
            <w:t>Knowledge Manager: 1 FTE;</w:t>
          </w:r>
        </w:p>
        <w:p w14:paraId="030DE972" w14:textId="12726EDD" w:rsidR="00FA0959" w:rsidRPr="00FF027F" w:rsidRDefault="00FA0959" w:rsidP="00EC14BA">
          <w:pPr>
            <w:pStyle w:val="ListParagraph"/>
            <w:numPr>
              <w:ilvl w:val="0"/>
              <w:numId w:val="21"/>
            </w:numPr>
            <w:spacing w:before="240" w:after="240" w:line="360" w:lineRule="auto"/>
            <w:ind w:left="288" w:firstLine="0"/>
            <w:jc w:val="both"/>
            <w:rPr>
              <w:rFonts w:ascii="Arial" w:hAnsi="Arial" w:cs="Arial"/>
              <w:lang w:val="en-GB"/>
            </w:rPr>
          </w:pPr>
          <w:r w:rsidRPr="00FF027F">
            <w:rPr>
              <w:rFonts w:ascii="Arial" w:hAnsi="Arial" w:cs="Arial"/>
              <w:lang w:val="en-GB"/>
            </w:rPr>
            <w:t>Relations with Stakeholders</w:t>
          </w:r>
          <w:r w:rsidR="00D44B8F" w:rsidRPr="00FF027F">
            <w:rPr>
              <w:rFonts w:ascii="Arial" w:hAnsi="Arial" w:cs="Arial"/>
              <w:lang w:val="en-GB"/>
            </w:rPr>
            <w:t xml:space="preserve"> (requests): </w:t>
          </w:r>
          <w:r w:rsidR="00C65707" w:rsidRPr="00FF027F">
            <w:rPr>
              <w:rFonts w:ascii="Arial" w:hAnsi="Arial" w:cs="Arial"/>
              <w:lang w:val="en-GB"/>
            </w:rPr>
            <w:t>1 FTE</w:t>
          </w:r>
          <w:r w:rsidR="00EC14BA" w:rsidRPr="00FF027F">
            <w:rPr>
              <w:rFonts w:ascii="Arial" w:hAnsi="Arial" w:cs="Arial"/>
              <w:lang w:val="en-GB"/>
            </w:rPr>
            <w:t>.</w:t>
          </w:r>
        </w:p>
        <w:p w14:paraId="78E71173" w14:textId="23E9FED9" w:rsidR="00C225DE" w:rsidRPr="00FF027F" w:rsidRDefault="00C225DE" w:rsidP="00D5213E">
          <w:pPr>
            <w:spacing w:before="360" w:after="240" w:line="360" w:lineRule="auto"/>
            <w:jc w:val="both"/>
            <w:rPr>
              <w:rFonts w:ascii="Arial" w:eastAsia="Times New Roman" w:hAnsi="Arial" w:cs="Arial"/>
              <w:lang w:val="en-GB" w:eastAsia="sl-SI"/>
            </w:rPr>
          </w:pPr>
          <w:r w:rsidRPr="00FF027F">
            <w:rPr>
              <w:rFonts w:ascii="Arial" w:eastAsia="Times New Roman" w:hAnsi="Arial" w:cs="Arial"/>
              <w:lang w:val="en-GB" w:eastAsia="sl-SI"/>
            </w:rPr>
            <w:t>The Agency has requested 5 additional horizontal posts to be filled in 2015</w:t>
          </w:r>
          <w:r w:rsidR="00D44B8F" w:rsidRPr="00FF027F">
            <w:rPr>
              <w:rFonts w:ascii="Arial" w:eastAsia="Times New Roman" w:hAnsi="Arial" w:cs="Arial"/>
              <w:lang w:val="en-GB" w:eastAsia="sl-SI"/>
            </w:rPr>
            <w:t>. F</w:t>
          </w:r>
          <w:r w:rsidRPr="00FF027F">
            <w:rPr>
              <w:rFonts w:ascii="Arial" w:eastAsia="Times New Roman" w:hAnsi="Arial" w:cs="Arial"/>
              <w:lang w:val="en-GB" w:eastAsia="sl-SI"/>
            </w:rPr>
            <w:t xml:space="preserve">or the purposes of this </w:t>
          </w:r>
          <w:r w:rsidR="00961063" w:rsidRPr="00FF027F">
            <w:rPr>
              <w:rFonts w:ascii="Arial" w:eastAsia="Times New Roman" w:hAnsi="Arial" w:cs="Arial"/>
              <w:lang w:val="en-GB" w:eastAsia="sl-SI"/>
            </w:rPr>
            <w:t>W</w:t>
          </w:r>
          <w:r w:rsidRPr="00FF027F">
            <w:rPr>
              <w:rFonts w:ascii="Arial" w:eastAsia="Times New Roman" w:hAnsi="Arial" w:cs="Arial"/>
              <w:lang w:val="en-GB" w:eastAsia="sl-SI"/>
            </w:rPr>
            <w:t xml:space="preserve">ork </w:t>
          </w:r>
          <w:r w:rsidR="00961063" w:rsidRPr="00FF027F">
            <w:rPr>
              <w:rFonts w:ascii="Arial" w:eastAsia="Times New Roman" w:hAnsi="Arial" w:cs="Arial"/>
              <w:lang w:val="en-GB" w:eastAsia="sl-SI"/>
            </w:rPr>
            <w:t>P</w:t>
          </w:r>
          <w:r w:rsidRPr="00FF027F">
            <w:rPr>
              <w:rFonts w:ascii="Arial" w:eastAsia="Times New Roman" w:hAnsi="Arial" w:cs="Arial"/>
              <w:lang w:val="en-GB" w:eastAsia="sl-SI"/>
            </w:rPr>
            <w:t>rogramme these staff members are counted as ½ FTE each, on the assumptions that the post</w:t>
          </w:r>
          <w:r w:rsidR="00D44B8F" w:rsidRPr="00FF027F">
            <w:rPr>
              <w:rFonts w:ascii="Arial" w:eastAsia="Times New Roman" w:hAnsi="Arial" w:cs="Arial"/>
              <w:lang w:val="en-GB" w:eastAsia="sl-SI"/>
            </w:rPr>
            <w:t>s</w:t>
          </w:r>
          <w:r w:rsidRPr="00FF027F">
            <w:rPr>
              <w:rFonts w:ascii="Arial" w:eastAsia="Times New Roman" w:hAnsi="Arial" w:cs="Arial"/>
              <w:lang w:val="en-GB" w:eastAsia="sl-SI"/>
            </w:rPr>
            <w:t xml:space="preserve"> will indeed be allocated to the Agency during the budgetary procedure and that they will be recruited progressively during the course of the year.</w:t>
          </w:r>
        </w:p>
        <w:p w14:paraId="6D84942E" w14:textId="12953AD5" w:rsidR="00FE1C6F" w:rsidRPr="00FF027F" w:rsidRDefault="00FE1C6F" w:rsidP="00157205">
          <w:pPr>
            <w:spacing w:before="240" w:after="240" w:line="360" w:lineRule="auto"/>
            <w:ind w:left="288"/>
            <w:jc w:val="both"/>
            <w:rPr>
              <w:rFonts w:ascii="Arial" w:eastAsia="Times New Roman" w:hAnsi="Arial" w:cs="Arial"/>
              <w:lang w:val="en-GB" w:eastAsia="sl-SI"/>
            </w:rPr>
          </w:pPr>
          <w:r w:rsidRPr="00FF027F">
            <w:rPr>
              <w:rFonts w:ascii="Arial" w:eastAsia="Times New Roman" w:hAnsi="Arial" w:cs="Arial"/>
              <w:lang w:val="en-GB" w:eastAsia="sl-SI"/>
            </w:rPr>
            <w:t>-</w:t>
          </w:r>
          <w:r w:rsidRPr="00FF027F">
            <w:rPr>
              <w:rFonts w:ascii="Arial" w:eastAsia="Times New Roman" w:hAnsi="Arial" w:cs="Arial"/>
              <w:lang w:val="en-GB" w:eastAsia="sl-SI"/>
            </w:rPr>
            <w:tab/>
            <w:t>Human Resources (1/2 FTE)</w:t>
          </w:r>
          <w:r w:rsidR="001B61D2" w:rsidRPr="00FF027F">
            <w:rPr>
              <w:rFonts w:ascii="Arial" w:eastAsia="Times New Roman" w:hAnsi="Arial" w:cs="Arial"/>
              <w:lang w:val="en-GB" w:eastAsia="sl-SI"/>
            </w:rPr>
            <w:t>;</w:t>
          </w:r>
        </w:p>
        <w:p w14:paraId="2DE05EBA" w14:textId="01FEB56E" w:rsidR="00FE1C6F" w:rsidRPr="00FF027F" w:rsidRDefault="00FE1C6F" w:rsidP="00157205">
          <w:pPr>
            <w:spacing w:before="240" w:after="240" w:line="360" w:lineRule="auto"/>
            <w:ind w:left="288"/>
            <w:jc w:val="both"/>
            <w:rPr>
              <w:rFonts w:ascii="Arial" w:eastAsia="Times New Roman" w:hAnsi="Arial" w:cs="Arial"/>
              <w:lang w:val="en-GB" w:eastAsia="sl-SI"/>
            </w:rPr>
          </w:pPr>
          <w:r w:rsidRPr="00FF027F">
            <w:rPr>
              <w:rFonts w:ascii="Arial" w:eastAsia="Times New Roman" w:hAnsi="Arial" w:cs="Arial"/>
              <w:lang w:val="en-GB" w:eastAsia="sl-SI"/>
            </w:rPr>
            <w:t>-</w:t>
          </w:r>
          <w:r w:rsidRPr="00FF027F">
            <w:rPr>
              <w:rFonts w:ascii="Arial" w:eastAsia="Times New Roman" w:hAnsi="Arial" w:cs="Arial"/>
              <w:lang w:val="en-GB" w:eastAsia="sl-SI"/>
            </w:rPr>
            <w:tab/>
            <w:t>Communication (1/2 FTE)</w:t>
          </w:r>
          <w:r w:rsidR="001B61D2" w:rsidRPr="00FF027F">
            <w:rPr>
              <w:rFonts w:ascii="Arial" w:eastAsia="Times New Roman" w:hAnsi="Arial" w:cs="Arial"/>
              <w:lang w:val="en-GB" w:eastAsia="sl-SI"/>
            </w:rPr>
            <w:t>;</w:t>
          </w:r>
        </w:p>
        <w:p w14:paraId="4ED9C8BE" w14:textId="2382EB58" w:rsidR="00FE1C6F" w:rsidRPr="00FF027F" w:rsidRDefault="00FE1C6F" w:rsidP="00157205">
          <w:pPr>
            <w:spacing w:before="240" w:after="240" w:line="360" w:lineRule="auto"/>
            <w:ind w:left="288"/>
            <w:jc w:val="both"/>
            <w:rPr>
              <w:rFonts w:ascii="Arial" w:eastAsia="Times New Roman" w:hAnsi="Arial" w:cs="Arial"/>
              <w:lang w:val="en-GB" w:eastAsia="sl-SI"/>
            </w:rPr>
          </w:pPr>
          <w:r w:rsidRPr="00FF027F">
            <w:rPr>
              <w:rFonts w:ascii="Arial" w:eastAsia="Times New Roman" w:hAnsi="Arial" w:cs="Arial"/>
              <w:lang w:val="en-GB" w:eastAsia="sl-SI"/>
            </w:rPr>
            <w:t>-</w:t>
          </w:r>
          <w:r w:rsidRPr="00FF027F">
            <w:rPr>
              <w:rFonts w:ascii="Arial" w:eastAsia="Times New Roman" w:hAnsi="Arial" w:cs="Arial"/>
              <w:lang w:val="en-GB" w:eastAsia="sl-SI"/>
            </w:rPr>
            <w:tab/>
            <w:t>Procurement (1/2 FTE)</w:t>
          </w:r>
          <w:r w:rsidR="001B61D2" w:rsidRPr="00FF027F">
            <w:rPr>
              <w:rFonts w:ascii="Arial" w:eastAsia="Times New Roman" w:hAnsi="Arial" w:cs="Arial"/>
              <w:lang w:val="en-GB" w:eastAsia="sl-SI"/>
            </w:rPr>
            <w:t>;</w:t>
          </w:r>
        </w:p>
        <w:p w14:paraId="0436AB25" w14:textId="708B5327" w:rsidR="00FE1C6F" w:rsidRPr="00FF027F" w:rsidRDefault="00FE1C6F" w:rsidP="00157205">
          <w:pPr>
            <w:spacing w:before="240" w:after="240" w:line="360" w:lineRule="auto"/>
            <w:ind w:left="288"/>
            <w:jc w:val="both"/>
            <w:rPr>
              <w:rFonts w:ascii="Arial" w:eastAsia="Times New Roman" w:hAnsi="Arial" w:cs="Arial"/>
              <w:lang w:val="en-GB" w:eastAsia="sl-SI"/>
            </w:rPr>
          </w:pPr>
          <w:r w:rsidRPr="00FF027F">
            <w:rPr>
              <w:rFonts w:ascii="Arial" w:eastAsia="Times New Roman" w:hAnsi="Arial" w:cs="Arial"/>
              <w:lang w:val="en-GB" w:eastAsia="sl-SI"/>
            </w:rPr>
            <w:t>-</w:t>
          </w:r>
          <w:r w:rsidRPr="00FF027F">
            <w:rPr>
              <w:rFonts w:ascii="Arial" w:eastAsia="Times New Roman" w:hAnsi="Arial" w:cs="Arial"/>
              <w:lang w:val="en-GB" w:eastAsia="sl-SI"/>
            </w:rPr>
            <w:tab/>
            <w:t>IT (1/2 FTE)</w:t>
          </w:r>
          <w:r w:rsidR="001B61D2" w:rsidRPr="00FF027F">
            <w:rPr>
              <w:rFonts w:ascii="Arial" w:eastAsia="Times New Roman" w:hAnsi="Arial" w:cs="Arial"/>
              <w:lang w:val="en-GB" w:eastAsia="sl-SI"/>
            </w:rPr>
            <w:t>;</w:t>
          </w:r>
        </w:p>
        <w:p w14:paraId="0ACACF09" w14:textId="2C01FB40" w:rsidR="00FE1C6F" w:rsidRPr="00FF027F" w:rsidRDefault="00FE1C6F" w:rsidP="00157205">
          <w:pPr>
            <w:spacing w:before="240" w:after="240" w:line="360" w:lineRule="auto"/>
            <w:ind w:left="288"/>
            <w:jc w:val="both"/>
            <w:rPr>
              <w:rFonts w:ascii="Arial" w:eastAsia="Times New Roman" w:hAnsi="Arial" w:cs="Arial"/>
              <w:lang w:val="en-GB" w:eastAsia="sl-SI"/>
            </w:rPr>
          </w:pPr>
          <w:r w:rsidRPr="00FF027F">
            <w:rPr>
              <w:rFonts w:ascii="Arial" w:eastAsia="Times New Roman" w:hAnsi="Arial" w:cs="Arial"/>
              <w:lang w:val="en-GB" w:eastAsia="sl-SI"/>
            </w:rPr>
            <w:t>-</w:t>
          </w:r>
          <w:r w:rsidRPr="00FF027F">
            <w:rPr>
              <w:rFonts w:ascii="Arial" w:eastAsia="Times New Roman" w:hAnsi="Arial" w:cs="Arial"/>
              <w:lang w:val="en-GB" w:eastAsia="sl-SI"/>
            </w:rPr>
            <w:tab/>
            <w:t>Legal adviser (1/2 FTE)</w:t>
          </w:r>
          <w:r w:rsidR="001B61D2" w:rsidRPr="00FF027F">
            <w:rPr>
              <w:rFonts w:ascii="Arial" w:eastAsia="Times New Roman" w:hAnsi="Arial" w:cs="Arial"/>
              <w:lang w:val="en-GB" w:eastAsia="sl-SI"/>
            </w:rPr>
            <w:t>.</w:t>
          </w:r>
        </w:p>
        <w:p w14:paraId="5BDE130A" w14:textId="77777777" w:rsidR="00B30F57" w:rsidRPr="00FF027F" w:rsidRDefault="00B30F57">
          <w:pPr>
            <w:rPr>
              <w:rFonts w:ascii="Verdana" w:eastAsia="Times New Roman" w:hAnsi="Verdana" w:cs="Times New Roman Bold"/>
              <w:b/>
              <w:bCs/>
              <w:caps/>
              <w:snapToGrid w:val="0"/>
              <w:color w:val="004494"/>
              <w:sz w:val="32"/>
              <w:szCs w:val="44"/>
              <w:lang w:val="en-GB" w:eastAsia="en-GB"/>
            </w:rPr>
          </w:pPr>
          <w:bookmarkStart w:id="120" w:name="_Toc358640751"/>
          <w:bookmarkStart w:id="121" w:name="_Toc358640964"/>
          <w:bookmarkEnd w:id="6"/>
        </w:p>
        <w:p w14:paraId="4A7C53C1" w14:textId="5DA38038" w:rsidR="00051124" w:rsidRPr="00FF027F" w:rsidRDefault="00051124" w:rsidP="001B61D2">
          <w:pPr>
            <w:pStyle w:val="ListParagraph"/>
            <w:rPr>
              <w:rFonts w:ascii="Verdana" w:hAnsi="Verdana" w:cs="Times New Roman Bold"/>
              <w:b/>
              <w:bCs/>
              <w:caps/>
              <w:snapToGrid w:val="0"/>
              <w:color w:val="004494"/>
              <w:sz w:val="32"/>
              <w:szCs w:val="44"/>
              <w:lang w:val="en-GB" w:eastAsia="en-GB"/>
            </w:rPr>
            <w:sectPr w:rsidR="00051124" w:rsidRPr="00FF027F" w:rsidSect="004D6EB3">
              <w:footerReference w:type="first" r:id="rId20"/>
              <w:pgSz w:w="11907" w:h="16839" w:code="9"/>
              <w:pgMar w:top="1440" w:right="1440" w:bottom="1440" w:left="1440" w:header="720" w:footer="720" w:gutter="0"/>
              <w:cols w:space="720"/>
              <w:titlePg/>
              <w:docGrid w:linePitch="360"/>
            </w:sectPr>
          </w:pPr>
        </w:p>
        <w:p w14:paraId="74FD46D5" w14:textId="77777777" w:rsidR="00FE1C6F" w:rsidRPr="00FF027F" w:rsidRDefault="00FE1C6F" w:rsidP="001B61D2">
          <w:pPr>
            <w:pStyle w:val="Heading1"/>
            <w:numPr>
              <w:ilvl w:val="0"/>
              <w:numId w:val="0"/>
            </w:numPr>
            <w:sectPr w:rsidR="00FE1C6F" w:rsidRPr="00FF027F" w:rsidSect="004D6EB3">
              <w:type w:val="continuous"/>
              <w:pgSz w:w="11907" w:h="16839" w:code="9"/>
              <w:pgMar w:top="1440" w:right="1440" w:bottom="1440" w:left="1440" w:header="720" w:footer="720" w:gutter="0"/>
              <w:cols w:space="720"/>
              <w:titlePg/>
              <w:docGrid w:linePitch="360"/>
            </w:sectPr>
          </w:pPr>
        </w:p>
        <w:p w14:paraId="5298F782" w14:textId="02439023" w:rsidR="00395043" w:rsidRPr="00FF027F" w:rsidRDefault="00B30F57" w:rsidP="00544C04">
          <w:pPr>
            <w:pStyle w:val="Heading1"/>
            <w:numPr>
              <w:ilvl w:val="0"/>
              <w:numId w:val="0"/>
            </w:numPr>
            <w:ind w:left="90"/>
          </w:pPr>
          <w:bookmarkStart w:id="122" w:name="_Toc396913807"/>
          <w:r w:rsidRPr="00FF027F">
            <w:t>annex I</w:t>
          </w:r>
          <w:r w:rsidR="00395043" w:rsidRPr="00FF027F">
            <w:t xml:space="preserve">: </w:t>
          </w:r>
          <w:r w:rsidR="0059751D" w:rsidRPr="00FF027F">
            <w:t xml:space="preserve">2015 </w:t>
          </w:r>
          <w:r w:rsidR="00395043" w:rsidRPr="00FF027F">
            <w:t>rESOURCE ALLOCATION PER ACTIVITY</w:t>
          </w:r>
          <w:bookmarkEnd w:id="122"/>
        </w:p>
        <w:p w14:paraId="5ED01448" w14:textId="126E5BD0" w:rsidR="00147E64" w:rsidRPr="00FF027F" w:rsidRDefault="007B3EDF" w:rsidP="004D65C7">
          <w:pPr>
            <w:spacing w:after="0"/>
            <w:jc w:val="both"/>
            <w:rPr>
              <w:rFonts w:cs="Arial"/>
              <w:lang w:val="en-GB" w:eastAsia="en-IE"/>
            </w:rPr>
          </w:pPr>
          <w:r w:rsidRPr="00FF027F">
            <w:rPr>
              <w:rFonts w:cs="Arial"/>
              <w:lang w:val="en-GB" w:eastAsia="en-IE"/>
            </w:rPr>
            <w:t xml:space="preserve">The human resources allocated to the activities foreseen </w:t>
          </w:r>
          <w:r w:rsidR="00147E64" w:rsidRPr="00FF027F">
            <w:rPr>
              <w:rFonts w:cs="Arial"/>
              <w:lang w:val="en-GB" w:eastAsia="en-IE"/>
            </w:rPr>
            <w:t xml:space="preserve">in the AWP 2015 </w:t>
          </w:r>
          <w:r w:rsidR="00B52858" w:rsidRPr="00FF027F">
            <w:rPr>
              <w:rFonts w:cs="Arial"/>
              <w:lang w:val="en-GB" w:eastAsia="en-IE"/>
            </w:rPr>
            <w:t>are</w:t>
          </w:r>
          <w:r w:rsidR="00147E64" w:rsidRPr="00FF027F">
            <w:rPr>
              <w:rFonts w:cs="Arial"/>
              <w:lang w:val="en-GB" w:eastAsia="en-IE"/>
            </w:rPr>
            <w:t xml:space="preserve"> the following:</w:t>
          </w:r>
        </w:p>
        <w:p w14:paraId="2B387A1F" w14:textId="77777777" w:rsidR="005708DD" w:rsidRPr="00FF027F" w:rsidRDefault="005708DD" w:rsidP="004D65C7">
          <w:pPr>
            <w:spacing w:after="0"/>
            <w:jc w:val="both"/>
            <w:rPr>
              <w:rFonts w:cs="Arial"/>
              <w:lang w:val="en-GB" w:eastAsia="en-IE"/>
            </w:rPr>
          </w:pPr>
        </w:p>
        <w:p w14:paraId="6C624B2A" w14:textId="1AAE3E06" w:rsidR="00147E64" w:rsidRPr="00FF027F" w:rsidRDefault="00147E64" w:rsidP="004D65C7">
          <w:pPr>
            <w:pStyle w:val="ListParagraph"/>
            <w:numPr>
              <w:ilvl w:val="0"/>
              <w:numId w:val="21"/>
            </w:numPr>
            <w:spacing w:line="276" w:lineRule="auto"/>
            <w:ind w:left="0"/>
            <w:jc w:val="both"/>
            <w:rPr>
              <w:rFonts w:asciiTheme="minorHAnsi" w:hAnsiTheme="minorHAnsi" w:cs="Arial"/>
              <w:lang w:val="en-GB" w:eastAsia="en-IE"/>
            </w:rPr>
          </w:pPr>
          <w:r w:rsidRPr="00FF027F">
            <w:rPr>
              <w:rFonts w:asciiTheme="minorHAnsi" w:hAnsiTheme="minorHAnsi" w:cs="Arial"/>
              <w:lang w:val="en-GB" w:eastAsia="en-IE"/>
            </w:rPr>
            <w:t>77</w:t>
          </w:r>
          <w:r w:rsidR="007B3EDF" w:rsidRPr="00FF027F">
            <w:rPr>
              <w:rFonts w:asciiTheme="minorHAnsi" w:hAnsiTheme="minorHAnsi" w:cs="Arial"/>
              <w:lang w:val="en-GB" w:eastAsia="en-IE"/>
            </w:rPr>
            <w:t xml:space="preserve"> Full Time Equivalents (</w:t>
          </w:r>
          <w:r w:rsidRPr="00FF027F">
            <w:rPr>
              <w:rFonts w:asciiTheme="minorHAnsi" w:hAnsiTheme="minorHAnsi" w:cs="Arial"/>
              <w:lang w:val="en-GB" w:eastAsia="en-IE"/>
            </w:rPr>
            <w:t>FTE</w:t>
          </w:r>
          <w:r w:rsidR="007B3EDF" w:rsidRPr="00FF027F">
            <w:rPr>
              <w:rFonts w:asciiTheme="minorHAnsi" w:hAnsiTheme="minorHAnsi" w:cs="Arial"/>
              <w:lang w:val="en-GB" w:eastAsia="en-IE"/>
            </w:rPr>
            <w:t>)</w:t>
          </w:r>
          <w:r w:rsidRPr="00FF027F">
            <w:rPr>
              <w:rFonts w:asciiTheme="minorHAnsi" w:hAnsiTheme="minorHAnsi" w:cs="Arial"/>
              <w:lang w:val="en-GB" w:eastAsia="en-IE"/>
            </w:rPr>
            <w:t xml:space="preserve"> available in 2014 according to the establishment plan;</w:t>
          </w:r>
        </w:p>
        <w:p w14:paraId="5DD93C97" w14:textId="77777777" w:rsidR="001D2489" w:rsidRPr="00FF027F" w:rsidRDefault="001D2489" w:rsidP="004D65C7">
          <w:pPr>
            <w:pStyle w:val="ListParagraph"/>
            <w:spacing w:line="276" w:lineRule="auto"/>
            <w:ind w:left="0"/>
            <w:jc w:val="both"/>
            <w:rPr>
              <w:rFonts w:asciiTheme="minorHAnsi" w:hAnsiTheme="minorHAnsi" w:cs="Arial"/>
              <w:lang w:val="en-GB" w:eastAsia="en-IE"/>
            </w:rPr>
          </w:pPr>
        </w:p>
        <w:p w14:paraId="13AD10B5" w14:textId="051075FE" w:rsidR="002D0097" w:rsidRPr="00FF027F" w:rsidRDefault="00147E64" w:rsidP="004D65C7">
          <w:pPr>
            <w:pStyle w:val="ListParagraph"/>
            <w:numPr>
              <w:ilvl w:val="0"/>
              <w:numId w:val="21"/>
            </w:numPr>
            <w:spacing w:line="276" w:lineRule="auto"/>
            <w:ind w:left="0"/>
            <w:jc w:val="both"/>
            <w:rPr>
              <w:rFonts w:asciiTheme="minorHAnsi" w:hAnsiTheme="minorHAnsi" w:cs="Arial"/>
              <w:lang w:val="en-GB" w:eastAsia="en-IE"/>
            </w:rPr>
          </w:pPr>
          <w:r w:rsidRPr="00FF027F">
            <w:rPr>
              <w:rFonts w:asciiTheme="minorHAnsi" w:hAnsiTheme="minorHAnsi" w:cs="Arial"/>
              <w:lang w:val="en-GB" w:eastAsia="en-IE"/>
            </w:rPr>
            <w:t xml:space="preserve">41 FTE considered necessary by the Agency </w:t>
          </w:r>
          <w:r w:rsidR="001D2489" w:rsidRPr="00FF027F">
            <w:rPr>
              <w:rFonts w:asciiTheme="minorHAnsi" w:hAnsiTheme="minorHAnsi" w:cs="Arial"/>
              <w:lang w:val="en-GB" w:eastAsia="en-IE"/>
            </w:rPr>
            <w:t>to fulfil its tasks related to REMIT (30 FTE), the TEN regulation (</w:t>
          </w:r>
          <w:r w:rsidR="002D0097" w:rsidRPr="00FF027F">
            <w:rPr>
              <w:rFonts w:asciiTheme="minorHAnsi" w:hAnsiTheme="minorHAnsi" w:cs="Arial"/>
              <w:lang w:val="en-GB" w:eastAsia="en-IE"/>
            </w:rPr>
            <w:t>6 FTE) and horizontal tasks (</w:t>
          </w:r>
          <w:r w:rsidR="001D2489" w:rsidRPr="00FF027F">
            <w:rPr>
              <w:rFonts w:asciiTheme="minorHAnsi" w:hAnsiTheme="minorHAnsi" w:cs="Arial"/>
              <w:lang w:val="en-GB" w:eastAsia="en-IE"/>
            </w:rPr>
            <w:t>5 FTE), in line with the Agency’s MSPP for 2015.</w:t>
          </w:r>
          <w:r w:rsidR="002D0097" w:rsidRPr="00FF027F">
            <w:rPr>
              <w:rFonts w:asciiTheme="minorHAnsi" w:hAnsiTheme="minorHAnsi" w:cs="Arial"/>
              <w:lang w:val="en-GB" w:eastAsia="en-IE"/>
            </w:rPr>
            <w:t xml:space="preserve"> The additional 41 staff members are calculated as </w:t>
          </w:r>
          <w:r w:rsidRPr="00FF027F">
            <w:rPr>
              <w:rFonts w:asciiTheme="minorHAnsi" w:hAnsiTheme="minorHAnsi" w:cs="Arial"/>
              <w:lang w:val="en-GB" w:eastAsia="en-IE"/>
            </w:rPr>
            <w:t>½</w:t>
          </w:r>
          <w:r w:rsidR="002D0097" w:rsidRPr="00FF027F">
            <w:rPr>
              <w:rFonts w:asciiTheme="minorHAnsi" w:hAnsiTheme="minorHAnsi" w:cs="Arial"/>
              <w:lang w:val="en-GB" w:eastAsia="en-IE"/>
            </w:rPr>
            <w:t xml:space="preserve"> FTE</w:t>
          </w:r>
          <w:r w:rsidRPr="00FF027F">
            <w:rPr>
              <w:rFonts w:asciiTheme="minorHAnsi" w:hAnsiTheme="minorHAnsi" w:cs="Arial"/>
              <w:lang w:val="en-GB" w:eastAsia="en-IE"/>
            </w:rPr>
            <w:t xml:space="preserve">, on the assumption that </w:t>
          </w:r>
          <w:r w:rsidR="002D0097" w:rsidRPr="00FF027F">
            <w:rPr>
              <w:rFonts w:asciiTheme="minorHAnsi" w:hAnsiTheme="minorHAnsi" w:cs="Arial"/>
              <w:lang w:val="en-GB" w:eastAsia="en-IE"/>
            </w:rPr>
            <w:t xml:space="preserve">they will be </w:t>
          </w:r>
          <w:r w:rsidRPr="00FF027F">
            <w:rPr>
              <w:rFonts w:asciiTheme="minorHAnsi" w:hAnsiTheme="minorHAnsi" w:cs="Arial"/>
              <w:lang w:val="en-GB" w:eastAsia="en-IE"/>
            </w:rPr>
            <w:t>recruited progressively throughout the year</w:t>
          </w:r>
          <w:r w:rsidR="002D0097" w:rsidRPr="00FF027F">
            <w:rPr>
              <w:rFonts w:asciiTheme="minorHAnsi" w:hAnsiTheme="minorHAnsi" w:cs="Arial"/>
              <w:lang w:val="en-GB" w:eastAsia="en-IE"/>
            </w:rPr>
            <w:t>, for a total of 20</w:t>
          </w:r>
          <w:r w:rsidR="00E8369E" w:rsidRPr="00FF027F">
            <w:rPr>
              <w:rFonts w:asciiTheme="minorHAnsi" w:hAnsiTheme="minorHAnsi" w:cs="Arial"/>
              <w:lang w:val="en-GB" w:eastAsia="en-IE"/>
            </w:rPr>
            <w:t>.5</w:t>
          </w:r>
          <w:r w:rsidR="002D0097" w:rsidRPr="00FF027F">
            <w:rPr>
              <w:rFonts w:asciiTheme="minorHAnsi" w:hAnsiTheme="minorHAnsi" w:cs="Arial"/>
              <w:lang w:val="en-GB" w:eastAsia="en-IE"/>
            </w:rPr>
            <w:t xml:space="preserve"> FTE</w:t>
          </w:r>
          <w:r w:rsidRPr="00FF027F">
            <w:rPr>
              <w:rFonts w:asciiTheme="minorHAnsi" w:hAnsiTheme="minorHAnsi" w:cs="Arial"/>
              <w:lang w:val="en-GB" w:eastAsia="en-IE"/>
            </w:rPr>
            <w:t xml:space="preserve">. </w:t>
          </w:r>
          <w:r w:rsidR="002D0097" w:rsidRPr="00FF027F">
            <w:rPr>
              <w:rFonts w:asciiTheme="minorHAnsi" w:hAnsiTheme="minorHAnsi" w:cs="Arial"/>
              <w:lang w:val="en-GB" w:eastAsia="en-IE"/>
            </w:rPr>
            <w:t xml:space="preserve">The total FTEs allocated to the activities and deliverables of the 2015 AWP thus amounts to </w:t>
          </w:r>
          <w:r w:rsidR="002D0097" w:rsidRPr="00FF027F">
            <w:rPr>
              <w:rFonts w:asciiTheme="minorHAnsi" w:hAnsiTheme="minorHAnsi" w:cs="Arial"/>
              <w:b/>
              <w:lang w:val="en-GB" w:eastAsia="en-IE"/>
            </w:rPr>
            <w:t>97</w:t>
          </w:r>
          <w:r w:rsidR="00E8369E" w:rsidRPr="00FF027F">
            <w:rPr>
              <w:rFonts w:asciiTheme="minorHAnsi" w:hAnsiTheme="minorHAnsi" w:cs="Arial"/>
              <w:b/>
              <w:lang w:val="en-GB" w:eastAsia="en-IE"/>
            </w:rPr>
            <w:t>.5</w:t>
          </w:r>
          <w:r w:rsidR="002D0097" w:rsidRPr="00FF027F">
            <w:rPr>
              <w:rFonts w:asciiTheme="minorHAnsi" w:hAnsiTheme="minorHAnsi" w:cs="Arial"/>
              <w:b/>
              <w:lang w:val="en-GB" w:eastAsia="en-IE"/>
            </w:rPr>
            <w:t xml:space="preserve"> </w:t>
          </w:r>
          <w:r w:rsidRPr="00FF027F">
            <w:rPr>
              <w:rFonts w:asciiTheme="minorHAnsi" w:hAnsiTheme="minorHAnsi" w:cs="Arial"/>
              <w:b/>
              <w:lang w:val="en-GB" w:eastAsia="en-IE"/>
            </w:rPr>
            <w:t>FTEs</w:t>
          </w:r>
          <w:r w:rsidRPr="00FF027F">
            <w:rPr>
              <w:rFonts w:asciiTheme="minorHAnsi" w:hAnsiTheme="minorHAnsi" w:cs="Arial"/>
              <w:lang w:val="en-GB" w:eastAsia="en-IE"/>
            </w:rPr>
            <w:t xml:space="preserve">. </w:t>
          </w:r>
        </w:p>
        <w:p w14:paraId="2EF2182A" w14:textId="77777777" w:rsidR="005708DD" w:rsidRPr="00FF027F" w:rsidRDefault="005708DD" w:rsidP="004D65C7">
          <w:pPr>
            <w:spacing w:after="0"/>
            <w:jc w:val="both"/>
            <w:rPr>
              <w:rFonts w:cs="Arial"/>
              <w:lang w:val="en-GB" w:eastAsia="en-IE"/>
            </w:rPr>
          </w:pPr>
        </w:p>
        <w:p w14:paraId="23976D24" w14:textId="77777777" w:rsidR="00FA38DD" w:rsidRPr="00FF027F" w:rsidRDefault="002D0097" w:rsidP="004D65C7">
          <w:pPr>
            <w:spacing w:after="0"/>
            <w:jc w:val="both"/>
            <w:rPr>
              <w:rFonts w:cs="Arial"/>
              <w:lang w:val="en-GB" w:eastAsia="en-IE"/>
            </w:rPr>
          </w:pPr>
          <w:r w:rsidRPr="00FF027F">
            <w:rPr>
              <w:rFonts w:cs="Arial"/>
              <w:lang w:val="en-GB" w:eastAsia="en-IE"/>
            </w:rPr>
            <w:t>These FTE are included without prejudice to the budgetary procedure. If necessary, the Agency will revise and align its 2015 Work Programme to the resources available, following the conclusion of the budgetary procedure.</w:t>
          </w:r>
        </w:p>
        <w:p w14:paraId="165454F4" w14:textId="77777777" w:rsidR="00947D69" w:rsidRPr="00FF027F" w:rsidRDefault="00947D69" w:rsidP="004D65C7">
          <w:pPr>
            <w:spacing w:after="0"/>
            <w:jc w:val="both"/>
            <w:rPr>
              <w:rFonts w:cs="Arial"/>
              <w:lang w:val="en-GB" w:eastAsia="en-IE"/>
            </w:rPr>
          </w:pPr>
        </w:p>
        <w:p w14:paraId="6CA0104D" w14:textId="1D5E9283" w:rsidR="00A83365" w:rsidRPr="00FF027F" w:rsidRDefault="00DB6407" w:rsidP="004D65C7">
          <w:pPr>
            <w:spacing w:after="0"/>
            <w:jc w:val="both"/>
            <w:rPr>
              <w:rFonts w:cs="Arial"/>
              <w:b/>
              <w:lang w:val="en-GB" w:eastAsia="en-IE"/>
            </w:rPr>
          </w:pPr>
          <w:r w:rsidRPr="00FF027F">
            <w:rPr>
              <w:rFonts w:cs="Arial"/>
              <w:b/>
              <w:lang w:val="en-GB" w:eastAsia="en-IE"/>
            </w:rPr>
            <w:t xml:space="preserve">2015 </w:t>
          </w:r>
          <w:r w:rsidR="00A83365" w:rsidRPr="00FF027F">
            <w:rPr>
              <w:rFonts w:cs="Arial"/>
              <w:b/>
              <w:lang w:val="en-GB" w:eastAsia="en-IE"/>
            </w:rPr>
            <w:t>Full Time Equivalents - Breakdown per Activity:</w:t>
          </w:r>
        </w:p>
        <w:p w14:paraId="539E5A79" w14:textId="77777777" w:rsidR="00A83365" w:rsidRPr="00FF027F" w:rsidRDefault="00A83365" w:rsidP="004D65C7">
          <w:pPr>
            <w:spacing w:after="0"/>
            <w:jc w:val="both"/>
            <w:rPr>
              <w:rFonts w:cs="Arial"/>
              <w:lang w:val="en-GB" w:eastAsia="en-IE"/>
            </w:rPr>
          </w:pPr>
        </w:p>
        <w:p w14:paraId="3C4BCF89" w14:textId="1AB030FA" w:rsidR="00947D69" w:rsidRPr="00FF027F" w:rsidRDefault="00947D69" w:rsidP="004D65C7">
          <w:pPr>
            <w:spacing w:after="0"/>
            <w:jc w:val="both"/>
            <w:rPr>
              <w:rFonts w:cs="Arial"/>
              <w:u w:val="single"/>
              <w:lang w:val="en-GB" w:eastAsia="en-IE"/>
            </w:rPr>
          </w:pPr>
          <w:r w:rsidRPr="00FF027F">
            <w:rPr>
              <w:rFonts w:cs="Arial"/>
              <w:u w:val="single"/>
              <w:lang w:val="en-GB" w:eastAsia="en-IE"/>
            </w:rPr>
            <w:t xml:space="preserve">Framework Guidelines and Network Codes </w:t>
          </w:r>
        </w:p>
        <w:p w14:paraId="31C79911" w14:textId="77777777" w:rsidR="00FA38DD" w:rsidRPr="00FF027F" w:rsidRDefault="00FA38DD" w:rsidP="004D65C7">
          <w:pPr>
            <w:spacing w:after="0"/>
            <w:jc w:val="both"/>
            <w:rPr>
              <w:rFonts w:cs="Arial"/>
              <w:lang w:val="en-GB" w:eastAsia="en-IE"/>
            </w:rPr>
          </w:pPr>
        </w:p>
        <w:p w14:paraId="01FA692E" w14:textId="0A5FBFF8" w:rsidR="00947D69" w:rsidRPr="00FF027F" w:rsidRDefault="00947D69"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Electricity Framework Guidelines &amp; Network C</w:t>
          </w:r>
          <w:r w:rsidR="00FA38DD" w:rsidRPr="00FF027F">
            <w:rPr>
              <w:rFonts w:asciiTheme="minorHAnsi" w:hAnsiTheme="minorHAnsi" w:cs="Arial"/>
              <w:lang w:val="en-GB" w:eastAsia="en-IE"/>
            </w:rPr>
            <w:t xml:space="preserve">odes: </w:t>
          </w:r>
          <w:r w:rsidR="00FA38DD" w:rsidRPr="00FF027F">
            <w:rPr>
              <w:rFonts w:asciiTheme="minorHAnsi" w:hAnsiTheme="minorHAnsi" w:cs="Arial"/>
              <w:b/>
              <w:lang w:val="en-GB" w:eastAsia="en-IE"/>
            </w:rPr>
            <w:t>3.6 FTE</w:t>
          </w:r>
          <w:r w:rsidR="00FA38DD" w:rsidRPr="00FF027F">
            <w:rPr>
              <w:rFonts w:asciiTheme="minorHAnsi" w:hAnsiTheme="minorHAnsi" w:cs="Arial"/>
              <w:lang w:val="en-GB" w:eastAsia="en-IE"/>
            </w:rPr>
            <w:t xml:space="preserve"> </w:t>
          </w:r>
        </w:p>
        <w:p w14:paraId="413982A8" w14:textId="77777777" w:rsidR="009801F3" w:rsidRPr="00FF027F" w:rsidRDefault="009801F3" w:rsidP="004D65C7">
          <w:pPr>
            <w:pStyle w:val="ListParagraph"/>
            <w:spacing w:line="276" w:lineRule="auto"/>
            <w:jc w:val="both"/>
            <w:rPr>
              <w:rFonts w:asciiTheme="minorHAnsi" w:hAnsiTheme="minorHAnsi" w:cs="Arial"/>
              <w:lang w:val="en-GB" w:eastAsia="en-IE"/>
            </w:rPr>
          </w:pPr>
        </w:p>
        <w:p w14:paraId="4B5D2866" w14:textId="4FE3C09F" w:rsidR="00947D69" w:rsidRPr="00FF027F" w:rsidRDefault="00947D69"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Gas Framework Guidelines &amp; Network Codes: </w:t>
          </w:r>
          <w:r w:rsidRPr="00FF027F">
            <w:rPr>
              <w:rFonts w:asciiTheme="minorHAnsi" w:hAnsiTheme="minorHAnsi" w:cs="Arial"/>
              <w:b/>
              <w:lang w:val="en-GB" w:eastAsia="en-IE"/>
            </w:rPr>
            <w:t>4.0 FTE</w:t>
          </w:r>
        </w:p>
        <w:p w14:paraId="4CD975DB" w14:textId="77777777" w:rsidR="00A83365" w:rsidRPr="00FF027F" w:rsidRDefault="00A83365" w:rsidP="004D65C7">
          <w:pPr>
            <w:jc w:val="both"/>
            <w:rPr>
              <w:rFonts w:cs="Arial"/>
              <w:sz w:val="16"/>
              <w:szCs w:val="16"/>
              <w:u w:val="single"/>
              <w:lang w:val="en-GB" w:eastAsia="en-IE"/>
            </w:rPr>
          </w:pPr>
        </w:p>
        <w:p w14:paraId="6FA6FE2C" w14:textId="69F9A3AD" w:rsidR="00147E64" w:rsidRPr="00FF027F" w:rsidRDefault="00947D69" w:rsidP="004D65C7">
          <w:pPr>
            <w:jc w:val="both"/>
            <w:rPr>
              <w:rFonts w:cs="Arial"/>
              <w:u w:val="single"/>
              <w:lang w:val="en-GB" w:eastAsia="en-IE"/>
            </w:rPr>
          </w:pPr>
          <w:r w:rsidRPr="00FF027F">
            <w:rPr>
              <w:rFonts w:cs="Arial"/>
              <w:u w:val="single"/>
              <w:lang w:val="en-GB" w:eastAsia="en-IE"/>
            </w:rPr>
            <w:t>Cross-sector (Electricity and Gas)</w:t>
          </w:r>
        </w:p>
        <w:p w14:paraId="29090FF9" w14:textId="450CFA9D" w:rsidR="00947D69" w:rsidRPr="00FF027F" w:rsidRDefault="00947D69"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Monitoring of the internal markets in electricity and natural gas: </w:t>
          </w:r>
          <w:r w:rsidRPr="00FF027F">
            <w:rPr>
              <w:rFonts w:asciiTheme="minorHAnsi" w:hAnsiTheme="minorHAnsi" w:cs="Arial"/>
              <w:b/>
              <w:lang w:val="en-GB" w:eastAsia="en-IE"/>
            </w:rPr>
            <w:t>8.5 FTE</w:t>
          </w:r>
        </w:p>
        <w:p w14:paraId="4286F38D" w14:textId="77777777" w:rsidR="00947D69" w:rsidRPr="00FF027F" w:rsidRDefault="00947D69" w:rsidP="004D65C7">
          <w:pPr>
            <w:pStyle w:val="ListParagraph"/>
            <w:spacing w:line="276" w:lineRule="auto"/>
            <w:jc w:val="both"/>
            <w:rPr>
              <w:rFonts w:asciiTheme="minorHAnsi" w:hAnsiTheme="minorHAnsi" w:cs="Arial"/>
              <w:lang w:val="en-GB" w:eastAsia="en-IE"/>
            </w:rPr>
          </w:pPr>
        </w:p>
        <w:p w14:paraId="029B9963" w14:textId="307425CF" w:rsidR="00947D69" w:rsidRPr="00FF027F" w:rsidRDefault="00947D69"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Regional Initiatives: </w:t>
          </w:r>
          <w:r w:rsidRPr="00FF027F">
            <w:rPr>
              <w:rFonts w:asciiTheme="minorHAnsi" w:hAnsiTheme="minorHAnsi" w:cs="Arial"/>
              <w:b/>
              <w:lang w:val="en-GB" w:eastAsia="en-IE"/>
            </w:rPr>
            <w:t>3.1 FTE</w:t>
          </w:r>
        </w:p>
        <w:p w14:paraId="6A4D255A" w14:textId="77777777" w:rsidR="00947D69" w:rsidRPr="00FF027F" w:rsidRDefault="00947D69" w:rsidP="004D65C7">
          <w:pPr>
            <w:pStyle w:val="ListParagraph"/>
            <w:spacing w:line="276" w:lineRule="auto"/>
            <w:rPr>
              <w:rFonts w:asciiTheme="minorHAnsi" w:hAnsiTheme="minorHAnsi" w:cs="Arial"/>
              <w:lang w:val="en-GB" w:eastAsia="en-IE"/>
            </w:rPr>
          </w:pPr>
        </w:p>
        <w:p w14:paraId="26582184" w14:textId="05D3303D" w:rsidR="00947D69" w:rsidRPr="00FF027F" w:rsidRDefault="00947D69"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TSO Cooperation: </w:t>
          </w:r>
          <w:r w:rsidR="00E8369E" w:rsidRPr="00FF027F">
            <w:rPr>
              <w:rFonts w:asciiTheme="minorHAnsi" w:hAnsiTheme="minorHAnsi" w:cs="Arial"/>
              <w:b/>
              <w:lang w:val="en-GB" w:eastAsia="en-IE"/>
            </w:rPr>
            <w:t>6.9</w:t>
          </w:r>
        </w:p>
        <w:p w14:paraId="7AE3650B" w14:textId="77777777" w:rsidR="00E8369E" w:rsidRPr="00FF027F" w:rsidRDefault="00E8369E" w:rsidP="004D65C7">
          <w:pPr>
            <w:spacing w:after="0"/>
            <w:jc w:val="both"/>
            <w:rPr>
              <w:rFonts w:cs="Arial"/>
              <w:lang w:val="en-GB" w:eastAsia="en-IE"/>
            </w:rPr>
          </w:pPr>
        </w:p>
        <w:p w14:paraId="27D4B7F7" w14:textId="77777777" w:rsidR="009801F3" w:rsidRPr="00FF027F" w:rsidRDefault="00E8369E"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TEN-E Regulation: </w:t>
          </w:r>
          <w:r w:rsidRPr="00FF027F">
            <w:rPr>
              <w:rFonts w:asciiTheme="minorHAnsi" w:hAnsiTheme="minorHAnsi" w:cs="Arial"/>
              <w:b/>
              <w:lang w:val="en-GB" w:eastAsia="en-IE"/>
            </w:rPr>
            <w:t>5</w:t>
          </w:r>
          <w:r w:rsidR="009801F3" w:rsidRPr="00FF027F">
            <w:rPr>
              <w:rFonts w:asciiTheme="minorHAnsi" w:hAnsiTheme="minorHAnsi" w:cs="Arial"/>
              <w:b/>
              <w:lang w:val="en-GB" w:eastAsia="en-IE"/>
            </w:rPr>
            <w:t>.3</w:t>
          </w:r>
          <w:r w:rsidRPr="00FF027F">
            <w:rPr>
              <w:rFonts w:asciiTheme="minorHAnsi" w:hAnsiTheme="minorHAnsi" w:cs="Arial"/>
              <w:b/>
              <w:lang w:val="en-GB" w:eastAsia="en-IE"/>
            </w:rPr>
            <w:t xml:space="preserve"> FTE </w:t>
          </w:r>
        </w:p>
        <w:p w14:paraId="0389AF7E" w14:textId="77777777" w:rsidR="009801F3" w:rsidRPr="00FF027F" w:rsidRDefault="009801F3" w:rsidP="004D65C7">
          <w:pPr>
            <w:pStyle w:val="ListParagraph"/>
            <w:spacing w:line="276" w:lineRule="auto"/>
            <w:jc w:val="both"/>
            <w:rPr>
              <w:rFonts w:asciiTheme="minorHAnsi" w:hAnsiTheme="minorHAnsi" w:cs="Arial"/>
              <w:lang w:val="en-GB" w:eastAsia="en-IE"/>
            </w:rPr>
          </w:pPr>
        </w:p>
        <w:p w14:paraId="49A213AB" w14:textId="4195F90F" w:rsidR="00E8369E" w:rsidRPr="00FF027F" w:rsidRDefault="00E8369E"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Activities subject to specific conditions: </w:t>
          </w:r>
          <w:r w:rsidR="003D3FC9" w:rsidRPr="00FF027F">
            <w:rPr>
              <w:rFonts w:asciiTheme="minorHAnsi" w:hAnsiTheme="minorHAnsi" w:cs="Arial"/>
              <w:b/>
              <w:lang w:val="en-GB" w:eastAsia="en-IE"/>
            </w:rPr>
            <w:t>3.1</w:t>
          </w:r>
          <w:r w:rsidRPr="00FF027F">
            <w:rPr>
              <w:rFonts w:asciiTheme="minorHAnsi" w:hAnsiTheme="minorHAnsi" w:cs="Arial"/>
              <w:b/>
              <w:lang w:val="en-GB" w:eastAsia="en-IE"/>
            </w:rPr>
            <w:t xml:space="preserve"> FTE</w:t>
          </w:r>
        </w:p>
        <w:p w14:paraId="3596FD21" w14:textId="77777777" w:rsidR="00E8369E" w:rsidRPr="00FF027F" w:rsidRDefault="00E8369E" w:rsidP="004D65C7">
          <w:pPr>
            <w:pStyle w:val="ListParagraph"/>
            <w:spacing w:line="276" w:lineRule="auto"/>
            <w:rPr>
              <w:rFonts w:asciiTheme="minorHAnsi" w:hAnsiTheme="minorHAnsi" w:cs="Arial"/>
              <w:lang w:val="en-GB" w:eastAsia="en-IE"/>
            </w:rPr>
          </w:pPr>
        </w:p>
        <w:p w14:paraId="69D972CA" w14:textId="45A8AC39" w:rsidR="00E8369E" w:rsidRPr="00FF027F" w:rsidRDefault="00E8369E"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Opinions and Recommendations on the Agency’s own initiative: </w:t>
          </w:r>
          <w:r w:rsidRPr="00FF027F">
            <w:rPr>
              <w:rFonts w:asciiTheme="minorHAnsi" w:hAnsiTheme="minorHAnsi" w:cs="Arial"/>
              <w:b/>
              <w:lang w:val="en-GB" w:eastAsia="en-IE"/>
            </w:rPr>
            <w:t>0.5 FTE</w:t>
          </w:r>
        </w:p>
        <w:p w14:paraId="6B56848E" w14:textId="3544817A" w:rsidR="00265126" w:rsidRPr="00FF027F" w:rsidRDefault="00265126" w:rsidP="004D65C7">
          <w:pPr>
            <w:jc w:val="both"/>
            <w:rPr>
              <w:rFonts w:cs="Arial"/>
              <w:sz w:val="16"/>
              <w:szCs w:val="16"/>
              <w:u w:val="single"/>
              <w:lang w:val="en-GB" w:eastAsia="en-IE"/>
            </w:rPr>
          </w:pPr>
        </w:p>
        <w:p w14:paraId="79F053C7" w14:textId="13CAE9C3" w:rsidR="00E8369E" w:rsidRPr="00FF027F" w:rsidRDefault="00E8369E" w:rsidP="004D65C7">
          <w:pPr>
            <w:jc w:val="both"/>
            <w:rPr>
              <w:rFonts w:cs="Arial"/>
              <w:u w:val="single"/>
              <w:lang w:val="en-GB" w:eastAsia="en-IE"/>
            </w:rPr>
          </w:pPr>
          <w:r w:rsidRPr="00FF027F">
            <w:rPr>
              <w:rFonts w:cs="Arial"/>
              <w:u w:val="single"/>
              <w:lang w:val="en-GB" w:eastAsia="en-IE"/>
            </w:rPr>
            <w:t>Wholesale Market Monitoring</w:t>
          </w:r>
        </w:p>
        <w:p w14:paraId="1D68F265" w14:textId="0F21BEBB" w:rsidR="00E8369E" w:rsidRPr="00FF027F" w:rsidRDefault="00E8369E" w:rsidP="004D65C7">
          <w:pPr>
            <w:pStyle w:val="ListParagraph"/>
            <w:numPr>
              <w:ilvl w:val="0"/>
              <w:numId w:val="21"/>
            </w:numPr>
            <w:spacing w:line="276" w:lineRule="auto"/>
            <w:jc w:val="both"/>
            <w:rPr>
              <w:rFonts w:asciiTheme="minorHAnsi" w:hAnsiTheme="minorHAnsi" w:cs="Arial"/>
              <w:b/>
              <w:lang w:val="en-GB" w:eastAsia="en-IE"/>
            </w:rPr>
          </w:pPr>
          <w:r w:rsidRPr="00FF027F">
            <w:rPr>
              <w:rFonts w:asciiTheme="minorHAnsi" w:hAnsiTheme="minorHAnsi" w:cs="Arial"/>
              <w:lang w:val="en-GB" w:eastAsia="en-IE"/>
            </w:rPr>
            <w:t>Centralised European Registry for Energy Market Participants (CEREMP</w:t>
          </w:r>
          <w:r w:rsidR="00265126" w:rsidRPr="00FF027F">
            <w:rPr>
              <w:rFonts w:asciiTheme="minorHAnsi" w:hAnsiTheme="minorHAnsi" w:cs="Arial"/>
              <w:lang w:val="en-GB" w:eastAsia="en-IE"/>
            </w:rPr>
            <w:t>),</w:t>
          </w:r>
          <w:r w:rsidRPr="00FF027F">
            <w:rPr>
              <w:rFonts w:asciiTheme="minorHAnsi" w:hAnsiTheme="minorHAnsi" w:cs="Arial"/>
              <w:lang w:val="en-GB" w:eastAsia="en-IE"/>
            </w:rPr>
            <w:t xml:space="preserve"> Agency’s REMIT information system (ARIS): </w:t>
          </w:r>
          <w:r w:rsidRPr="00FF027F">
            <w:rPr>
              <w:rFonts w:asciiTheme="minorHAnsi" w:hAnsiTheme="minorHAnsi" w:cs="Arial"/>
              <w:b/>
              <w:lang w:val="en-GB" w:eastAsia="en-IE"/>
            </w:rPr>
            <w:t>8.5 FTE</w:t>
          </w:r>
        </w:p>
        <w:p w14:paraId="07866DF1" w14:textId="77777777" w:rsidR="00265126" w:rsidRPr="00FF027F" w:rsidRDefault="00265126" w:rsidP="004D65C7">
          <w:pPr>
            <w:pStyle w:val="ListParagraph"/>
            <w:spacing w:line="276" w:lineRule="auto"/>
            <w:jc w:val="both"/>
            <w:rPr>
              <w:rFonts w:asciiTheme="minorHAnsi" w:hAnsiTheme="minorHAnsi" w:cs="Arial"/>
              <w:b/>
              <w:lang w:val="en-GB" w:eastAsia="en-IE"/>
            </w:rPr>
          </w:pPr>
        </w:p>
        <w:p w14:paraId="1C9EBD9D" w14:textId="4B347BC9" w:rsidR="00265126" w:rsidRPr="00FF027F" w:rsidRDefault="00265126"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Market monitoring of trading activity in wholesale energy markets: </w:t>
          </w:r>
          <w:r w:rsidRPr="00FF027F">
            <w:rPr>
              <w:rFonts w:asciiTheme="minorHAnsi" w:hAnsiTheme="minorHAnsi" w:cs="Arial"/>
              <w:b/>
              <w:lang w:val="en-GB" w:eastAsia="en-IE"/>
            </w:rPr>
            <w:t>14 FTE</w:t>
          </w:r>
        </w:p>
        <w:p w14:paraId="69ABFF74" w14:textId="77777777" w:rsidR="00265126" w:rsidRPr="00FF027F" w:rsidRDefault="00265126" w:rsidP="004D65C7">
          <w:pPr>
            <w:pStyle w:val="ListParagraph"/>
            <w:spacing w:line="276" w:lineRule="auto"/>
            <w:rPr>
              <w:rFonts w:asciiTheme="minorHAnsi" w:hAnsiTheme="minorHAnsi" w:cs="Arial"/>
              <w:lang w:val="en-GB" w:eastAsia="en-IE"/>
            </w:rPr>
          </w:pPr>
        </w:p>
        <w:p w14:paraId="377DA191" w14:textId="3578D32A" w:rsidR="00265126" w:rsidRPr="00FF027F" w:rsidRDefault="00265126"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Coordination of NRAs, etc. aiming to promote best practices for REMIT: </w:t>
          </w:r>
          <w:r w:rsidRPr="00FF027F">
            <w:rPr>
              <w:rFonts w:asciiTheme="minorHAnsi" w:hAnsiTheme="minorHAnsi" w:cs="Arial"/>
              <w:b/>
              <w:lang w:val="en-GB" w:eastAsia="en-IE"/>
            </w:rPr>
            <w:t>3 FTE</w:t>
          </w:r>
        </w:p>
        <w:p w14:paraId="63DFFB7F" w14:textId="77777777" w:rsidR="00265126" w:rsidRPr="00FF027F" w:rsidRDefault="00265126" w:rsidP="004D65C7">
          <w:pPr>
            <w:pStyle w:val="ListParagraph"/>
            <w:spacing w:line="276" w:lineRule="auto"/>
            <w:rPr>
              <w:rFonts w:asciiTheme="minorHAnsi" w:hAnsiTheme="minorHAnsi" w:cs="Arial"/>
              <w:lang w:val="en-GB" w:eastAsia="en-IE"/>
            </w:rPr>
          </w:pPr>
        </w:p>
        <w:p w14:paraId="7749C38D" w14:textId="4C2AED2C" w:rsidR="00265126" w:rsidRPr="00FF027F" w:rsidRDefault="00265126"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Cooperation with NRAs, etc. for coordinated approach to market abuse: </w:t>
          </w:r>
          <w:r w:rsidRPr="00FF027F">
            <w:rPr>
              <w:rFonts w:asciiTheme="minorHAnsi" w:hAnsiTheme="minorHAnsi" w:cs="Arial"/>
              <w:b/>
              <w:lang w:val="en-GB" w:eastAsia="en-IE"/>
            </w:rPr>
            <w:t>3 FTE</w:t>
          </w:r>
        </w:p>
        <w:p w14:paraId="254AF6DA" w14:textId="77777777" w:rsidR="00265126" w:rsidRPr="00FF027F" w:rsidRDefault="00265126" w:rsidP="004D65C7">
          <w:pPr>
            <w:pStyle w:val="ListParagraph"/>
            <w:spacing w:line="276" w:lineRule="auto"/>
            <w:rPr>
              <w:rFonts w:asciiTheme="minorHAnsi" w:hAnsiTheme="minorHAnsi" w:cs="Arial"/>
              <w:lang w:val="en-GB" w:eastAsia="en-IE"/>
            </w:rPr>
          </w:pPr>
        </w:p>
        <w:p w14:paraId="49FA74D4" w14:textId="5170C376" w:rsidR="00265126" w:rsidRPr="00FF027F" w:rsidRDefault="00265126" w:rsidP="004D65C7">
          <w:pPr>
            <w:pStyle w:val="ListParagraph"/>
            <w:numPr>
              <w:ilvl w:val="0"/>
              <w:numId w:val="21"/>
            </w:numPr>
            <w:spacing w:line="276" w:lineRule="auto"/>
            <w:jc w:val="both"/>
            <w:rPr>
              <w:rFonts w:asciiTheme="minorHAnsi" w:hAnsiTheme="minorHAnsi" w:cs="Arial"/>
              <w:lang w:val="en-GB" w:eastAsia="en-IE"/>
            </w:rPr>
          </w:pPr>
          <w:r w:rsidRPr="00FF027F">
            <w:rPr>
              <w:rFonts w:asciiTheme="minorHAnsi" w:hAnsiTheme="minorHAnsi" w:cs="Arial"/>
              <w:lang w:val="en-GB" w:eastAsia="en-IE"/>
            </w:rPr>
            <w:t xml:space="preserve">Annual REMIT Report: </w:t>
          </w:r>
          <w:r w:rsidRPr="00FF027F">
            <w:rPr>
              <w:rFonts w:asciiTheme="minorHAnsi" w:hAnsiTheme="minorHAnsi" w:cs="Arial"/>
              <w:b/>
              <w:lang w:val="en-GB" w:eastAsia="en-IE"/>
            </w:rPr>
            <w:t>1.5 FTE</w:t>
          </w:r>
        </w:p>
        <w:p w14:paraId="661AF2CE" w14:textId="77777777" w:rsidR="00265126" w:rsidRPr="00FF027F" w:rsidRDefault="00265126" w:rsidP="004D65C7">
          <w:pPr>
            <w:pStyle w:val="ListParagraph"/>
            <w:spacing w:after="200" w:line="276" w:lineRule="auto"/>
            <w:rPr>
              <w:rFonts w:asciiTheme="minorHAnsi" w:hAnsiTheme="minorHAnsi" w:cs="Arial"/>
              <w:lang w:val="en-GB" w:eastAsia="en-IE"/>
            </w:rPr>
          </w:pPr>
        </w:p>
        <w:p w14:paraId="2E8958A8" w14:textId="3DCBAEB7" w:rsidR="00265126" w:rsidRPr="00FF027F" w:rsidRDefault="00265126" w:rsidP="004D65C7">
          <w:pPr>
            <w:jc w:val="both"/>
            <w:rPr>
              <w:rFonts w:cs="Arial"/>
              <w:u w:val="single"/>
              <w:lang w:val="en-GB" w:eastAsia="en-IE"/>
            </w:rPr>
          </w:pPr>
          <w:r w:rsidRPr="00FF027F">
            <w:rPr>
              <w:rFonts w:cs="Arial"/>
              <w:u w:val="single"/>
              <w:lang w:val="en-GB" w:eastAsia="en-IE"/>
            </w:rPr>
            <w:t>Horizontal Activities</w:t>
          </w:r>
        </w:p>
        <w:p w14:paraId="256DC588" w14:textId="662309D5" w:rsidR="00265126" w:rsidRPr="00FF027F" w:rsidRDefault="00265126" w:rsidP="004D65C7">
          <w:pPr>
            <w:ind w:left="360"/>
            <w:jc w:val="both"/>
            <w:rPr>
              <w:rFonts w:cs="Arial"/>
              <w:lang w:val="en-GB" w:eastAsia="en-IE"/>
            </w:rPr>
          </w:pPr>
          <w:r w:rsidRPr="00FF027F">
            <w:rPr>
              <w:rFonts w:cs="Arial"/>
              <w:lang w:val="en-GB" w:eastAsia="en-IE"/>
            </w:rPr>
            <w:t>-</w:t>
          </w:r>
          <w:r w:rsidRPr="00FF027F">
            <w:rPr>
              <w:rFonts w:cs="Arial"/>
              <w:lang w:val="en-GB" w:eastAsia="en-IE"/>
            </w:rPr>
            <w:tab/>
            <w:t xml:space="preserve">Director and horizontal matters in the DO (including </w:t>
          </w:r>
          <w:r w:rsidR="006D214F" w:rsidRPr="00FF027F">
            <w:rPr>
              <w:rFonts w:cs="Arial"/>
              <w:lang w:val="en-GB" w:eastAsia="en-IE"/>
            </w:rPr>
            <w:t xml:space="preserve">assistants, </w:t>
          </w:r>
          <w:r w:rsidRPr="00FF027F">
            <w:rPr>
              <w:rFonts w:cs="Arial"/>
              <w:lang w:val="en-GB" w:eastAsia="en-IE"/>
            </w:rPr>
            <w:t>relations with stakeholders</w:t>
          </w:r>
          <w:r w:rsidR="006D214F" w:rsidRPr="00FF027F">
            <w:rPr>
              <w:rFonts w:cs="Arial"/>
              <w:lang w:val="en-GB" w:eastAsia="en-IE"/>
            </w:rPr>
            <w:t xml:space="preserve"> and knowledge management</w:t>
          </w:r>
          <w:r w:rsidRPr="00FF027F">
            <w:rPr>
              <w:rFonts w:cs="Arial"/>
              <w:lang w:val="en-GB" w:eastAsia="en-IE"/>
            </w:rPr>
            <w:t xml:space="preserve">): </w:t>
          </w:r>
          <w:r w:rsidR="006D214F" w:rsidRPr="00FF027F">
            <w:rPr>
              <w:rFonts w:cs="Arial"/>
              <w:b/>
              <w:lang w:val="en-GB" w:eastAsia="en-IE"/>
            </w:rPr>
            <w:t>6</w:t>
          </w:r>
          <w:r w:rsidRPr="00FF027F">
            <w:rPr>
              <w:rFonts w:cs="Arial"/>
              <w:b/>
              <w:lang w:val="en-GB" w:eastAsia="en-IE"/>
            </w:rPr>
            <w:t xml:space="preserve"> FTE</w:t>
          </w:r>
          <w:r w:rsidRPr="00FF027F">
            <w:rPr>
              <w:rFonts w:cs="Arial"/>
              <w:lang w:val="en-GB" w:eastAsia="en-IE"/>
            </w:rPr>
            <w:t>;</w:t>
          </w:r>
        </w:p>
        <w:p w14:paraId="2D5B8C5F" w14:textId="1CED576B" w:rsidR="00265126" w:rsidRPr="00FF027F" w:rsidRDefault="00265126" w:rsidP="004D65C7">
          <w:pPr>
            <w:ind w:left="360"/>
            <w:jc w:val="both"/>
            <w:rPr>
              <w:rFonts w:cs="Arial"/>
              <w:lang w:val="en-GB" w:eastAsia="en-IE"/>
            </w:rPr>
          </w:pPr>
          <w:r w:rsidRPr="00FF027F">
            <w:rPr>
              <w:rFonts w:cs="Arial"/>
              <w:lang w:val="en-GB" w:eastAsia="en-IE"/>
            </w:rPr>
            <w:t>-</w:t>
          </w:r>
          <w:r w:rsidRPr="00FF027F">
            <w:rPr>
              <w:rFonts w:cs="Arial"/>
              <w:lang w:val="en-GB" w:eastAsia="en-IE"/>
            </w:rPr>
            <w:tab/>
            <w:t xml:space="preserve">Legal cell in the Director’s Office: </w:t>
          </w:r>
          <w:r w:rsidRPr="00FF027F">
            <w:rPr>
              <w:rFonts w:cs="Arial"/>
              <w:b/>
              <w:lang w:val="en-GB" w:eastAsia="en-IE"/>
            </w:rPr>
            <w:t>3 FTE</w:t>
          </w:r>
          <w:r w:rsidRPr="00FF027F">
            <w:rPr>
              <w:rFonts w:cs="Arial"/>
              <w:lang w:val="en-GB" w:eastAsia="en-IE"/>
            </w:rPr>
            <w:t xml:space="preserve"> + </w:t>
          </w:r>
          <w:r w:rsidRPr="00FF027F">
            <w:rPr>
              <w:rFonts w:cs="Arial"/>
              <w:b/>
              <w:lang w:val="en-GB" w:eastAsia="en-IE"/>
            </w:rPr>
            <w:t>0.5 FTE</w:t>
          </w:r>
          <w:r w:rsidRPr="00FF027F">
            <w:rPr>
              <w:rFonts w:cs="Arial"/>
              <w:lang w:val="en-GB" w:eastAsia="en-IE"/>
            </w:rPr>
            <w:t xml:space="preserve">; </w:t>
          </w:r>
        </w:p>
        <w:p w14:paraId="64D74D53" w14:textId="77777777" w:rsidR="006D214F" w:rsidRPr="00FF027F" w:rsidRDefault="00265126" w:rsidP="004D65C7">
          <w:pPr>
            <w:ind w:left="360"/>
            <w:jc w:val="both"/>
            <w:rPr>
              <w:rFonts w:cs="Arial"/>
              <w:lang w:val="en-GB" w:eastAsia="en-IE"/>
            </w:rPr>
          </w:pPr>
          <w:r w:rsidRPr="00FF027F">
            <w:rPr>
              <w:rFonts w:cs="Arial"/>
              <w:lang w:val="en-GB" w:eastAsia="en-IE"/>
            </w:rPr>
            <w:t>-</w:t>
          </w:r>
          <w:r w:rsidRPr="00FF027F">
            <w:rPr>
              <w:rFonts w:cs="Arial"/>
              <w:lang w:val="en-GB" w:eastAsia="en-IE"/>
            </w:rPr>
            <w:tab/>
            <w:t xml:space="preserve">National Regulatory Agencies Cooperation: </w:t>
          </w:r>
          <w:r w:rsidRPr="00FF027F">
            <w:rPr>
              <w:rFonts w:cs="Arial"/>
              <w:b/>
              <w:lang w:val="en-GB" w:eastAsia="en-IE"/>
            </w:rPr>
            <w:t>3 FTE</w:t>
          </w:r>
          <w:r w:rsidRPr="00FF027F">
            <w:rPr>
              <w:rFonts w:cs="Arial"/>
              <w:lang w:val="en-GB" w:eastAsia="en-IE"/>
            </w:rPr>
            <w:t xml:space="preserve">; </w:t>
          </w:r>
        </w:p>
        <w:p w14:paraId="693D24AB" w14:textId="35102C95" w:rsidR="006D214F" w:rsidRPr="00FF027F" w:rsidRDefault="006D214F" w:rsidP="004D65C7">
          <w:pPr>
            <w:ind w:left="360"/>
            <w:jc w:val="both"/>
            <w:rPr>
              <w:rFonts w:cs="Arial"/>
              <w:lang w:val="en-GB" w:eastAsia="en-IE"/>
            </w:rPr>
          </w:pPr>
          <w:r w:rsidRPr="00FF027F">
            <w:rPr>
              <w:rFonts w:cs="Arial"/>
              <w:lang w:val="en-GB" w:eastAsia="en-IE"/>
            </w:rPr>
            <w:t xml:space="preserve">- </w:t>
          </w:r>
          <w:r w:rsidRPr="00FF027F">
            <w:rPr>
              <w:rFonts w:cs="Arial"/>
              <w:lang w:val="en-GB" w:eastAsia="en-IE"/>
            </w:rPr>
            <w:tab/>
            <w:t xml:space="preserve">Communication: </w:t>
          </w:r>
          <w:r w:rsidRPr="00FF027F">
            <w:rPr>
              <w:rFonts w:cs="Arial"/>
              <w:b/>
              <w:lang w:val="en-GB" w:eastAsia="en-IE"/>
            </w:rPr>
            <w:t>2 FTE</w:t>
          </w:r>
          <w:r w:rsidRPr="00FF027F">
            <w:rPr>
              <w:rFonts w:cs="Arial"/>
              <w:lang w:val="en-GB" w:eastAsia="en-IE"/>
            </w:rPr>
            <w:t xml:space="preserve"> </w:t>
          </w:r>
          <w:r w:rsidRPr="00FF027F">
            <w:rPr>
              <w:rFonts w:cs="Arial"/>
              <w:b/>
              <w:lang w:val="en-GB" w:eastAsia="en-IE"/>
            </w:rPr>
            <w:t>+</w:t>
          </w:r>
          <w:r w:rsidR="00F7464B" w:rsidRPr="00FF027F">
            <w:rPr>
              <w:rFonts w:cs="Arial"/>
              <w:b/>
              <w:lang w:val="en-GB" w:eastAsia="en-IE"/>
            </w:rPr>
            <w:t xml:space="preserve"> </w:t>
          </w:r>
          <w:r w:rsidRPr="00FF027F">
            <w:rPr>
              <w:rFonts w:cs="Arial"/>
              <w:b/>
              <w:lang w:val="en-GB" w:eastAsia="en-IE"/>
            </w:rPr>
            <w:t>0.5 FTE</w:t>
          </w:r>
        </w:p>
        <w:p w14:paraId="7F1A750D" w14:textId="77777777" w:rsidR="006D214F" w:rsidRPr="00FF027F" w:rsidRDefault="006D214F" w:rsidP="004D65C7">
          <w:pPr>
            <w:ind w:left="360"/>
            <w:jc w:val="both"/>
            <w:rPr>
              <w:rFonts w:cs="Arial"/>
              <w:lang w:val="en-GB" w:eastAsia="en-IE"/>
            </w:rPr>
          </w:pPr>
          <w:r w:rsidRPr="00FF027F">
            <w:rPr>
              <w:rFonts w:cs="Arial"/>
              <w:lang w:val="en-GB" w:eastAsia="en-IE"/>
            </w:rPr>
            <w:t>-</w:t>
          </w:r>
          <w:r w:rsidRPr="00FF027F">
            <w:rPr>
              <w:rFonts w:cs="Arial"/>
              <w:lang w:val="en-GB" w:eastAsia="en-IE"/>
            </w:rPr>
            <w:tab/>
            <w:t xml:space="preserve">Head of Administration, Assistant to the Head of Administration/Internal Control Assistant: </w:t>
          </w:r>
          <w:r w:rsidRPr="00FF027F">
            <w:rPr>
              <w:rFonts w:cs="Arial"/>
              <w:b/>
              <w:lang w:val="en-GB" w:eastAsia="en-IE"/>
            </w:rPr>
            <w:t>2 FTEs</w:t>
          </w:r>
          <w:r w:rsidRPr="00FF027F">
            <w:rPr>
              <w:rFonts w:cs="Arial"/>
              <w:lang w:val="en-GB" w:eastAsia="en-IE"/>
            </w:rPr>
            <w:t>;</w:t>
          </w:r>
        </w:p>
        <w:p w14:paraId="6859ABCE" w14:textId="233C68DD" w:rsidR="004307F8" w:rsidRPr="00FF027F" w:rsidRDefault="004307F8" w:rsidP="004D65C7">
          <w:pPr>
            <w:ind w:left="360"/>
            <w:jc w:val="both"/>
            <w:rPr>
              <w:rFonts w:cs="Arial"/>
              <w:lang w:val="en-GB" w:eastAsia="en-IE"/>
            </w:rPr>
          </w:pPr>
          <w:r w:rsidRPr="00FF027F">
            <w:rPr>
              <w:rFonts w:cs="Arial"/>
              <w:lang w:val="en-GB" w:eastAsia="en-IE"/>
            </w:rPr>
            <w:t>-</w:t>
          </w:r>
          <w:r w:rsidRPr="00FF027F">
            <w:rPr>
              <w:rFonts w:cs="Arial"/>
              <w:lang w:val="en-GB" w:eastAsia="en-IE"/>
            </w:rPr>
            <w:tab/>
            <w:t xml:space="preserve">Procurement and facility management </w:t>
          </w:r>
          <w:r w:rsidRPr="00FF027F">
            <w:rPr>
              <w:rFonts w:cs="Arial"/>
              <w:b/>
              <w:lang w:val="en-GB" w:eastAsia="en-IE"/>
            </w:rPr>
            <w:t>2 FTE + 0.5 FTE</w:t>
          </w:r>
        </w:p>
        <w:p w14:paraId="2A686ACB" w14:textId="131B1DA1" w:rsidR="00265126" w:rsidRPr="00FF027F" w:rsidRDefault="00265126" w:rsidP="004D65C7">
          <w:pPr>
            <w:ind w:left="360"/>
            <w:jc w:val="both"/>
            <w:rPr>
              <w:rFonts w:cs="Arial"/>
              <w:lang w:val="en-GB" w:eastAsia="en-IE"/>
            </w:rPr>
          </w:pPr>
          <w:r w:rsidRPr="00FF027F">
            <w:rPr>
              <w:rFonts w:cs="Arial"/>
              <w:lang w:val="en-GB" w:eastAsia="en-IE"/>
            </w:rPr>
            <w:t>-</w:t>
          </w:r>
          <w:r w:rsidRPr="00FF027F">
            <w:rPr>
              <w:rFonts w:cs="Arial"/>
              <w:lang w:val="en-GB" w:eastAsia="en-IE"/>
            </w:rPr>
            <w:tab/>
            <w:t>Human Resources</w:t>
          </w:r>
          <w:r w:rsidR="004307F8" w:rsidRPr="00FF027F">
            <w:rPr>
              <w:rFonts w:cs="Arial"/>
              <w:lang w:val="en-GB" w:eastAsia="en-IE"/>
            </w:rPr>
            <w:t xml:space="preserve">: </w:t>
          </w:r>
          <w:r w:rsidR="004307F8" w:rsidRPr="00FF027F">
            <w:rPr>
              <w:rFonts w:cs="Arial"/>
              <w:b/>
              <w:lang w:val="en-GB" w:eastAsia="en-IE"/>
            </w:rPr>
            <w:t>3 FTE + 0.5</w:t>
          </w:r>
          <w:r w:rsidRPr="00FF027F">
            <w:rPr>
              <w:rFonts w:cs="Arial"/>
              <w:b/>
              <w:lang w:val="en-GB" w:eastAsia="en-IE"/>
            </w:rPr>
            <w:t xml:space="preserve"> FTE</w:t>
          </w:r>
          <w:r w:rsidRPr="00FF027F">
            <w:rPr>
              <w:rFonts w:cs="Arial"/>
              <w:lang w:val="en-GB" w:eastAsia="en-IE"/>
            </w:rPr>
            <w:t>;</w:t>
          </w:r>
        </w:p>
        <w:p w14:paraId="124C52B4" w14:textId="006053CD" w:rsidR="004307F8" w:rsidRPr="00FF027F" w:rsidRDefault="004307F8" w:rsidP="004D65C7">
          <w:pPr>
            <w:ind w:left="360"/>
            <w:jc w:val="both"/>
            <w:rPr>
              <w:rFonts w:cs="Arial"/>
              <w:lang w:val="en-GB" w:eastAsia="en-IE"/>
            </w:rPr>
          </w:pPr>
          <w:r w:rsidRPr="00FF027F">
            <w:rPr>
              <w:rFonts w:cs="Arial"/>
              <w:lang w:val="en-GB" w:eastAsia="en-IE"/>
            </w:rPr>
            <w:t xml:space="preserve">Budget implementation and audit, including Financial Cell: </w:t>
          </w:r>
          <w:r w:rsidRPr="00FF027F">
            <w:rPr>
              <w:rFonts w:cs="Arial"/>
              <w:b/>
              <w:lang w:val="en-GB" w:eastAsia="en-IE"/>
            </w:rPr>
            <w:t>5 FTE</w:t>
          </w:r>
        </w:p>
        <w:p w14:paraId="452F229C" w14:textId="014D04E8" w:rsidR="00265126" w:rsidRPr="00FF027F" w:rsidRDefault="00265126" w:rsidP="004D65C7">
          <w:pPr>
            <w:ind w:left="360"/>
            <w:jc w:val="both"/>
            <w:rPr>
              <w:rFonts w:cs="Arial"/>
              <w:b/>
              <w:lang w:val="en-GB" w:eastAsia="en-IE"/>
            </w:rPr>
          </w:pPr>
          <w:r w:rsidRPr="00FF027F">
            <w:rPr>
              <w:rFonts w:cs="Arial"/>
              <w:lang w:val="en-GB" w:eastAsia="en-IE"/>
            </w:rPr>
            <w:t>-</w:t>
          </w:r>
          <w:r w:rsidRPr="00FF027F">
            <w:rPr>
              <w:rFonts w:cs="Arial"/>
              <w:lang w:val="en-GB" w:eastAsia="en-IE"/>
            </w:rPr>
            <w:tab/>
            <w:t>I</w:t>
          </w:r>
          <w:r w:rsidR="004307F8" w:rsidRPr="00FF027F">
            <w:rPr>
              <w:rFonts w:cs="Arial"/>
              <w:lang w:val="en-GB" w:eastAsia="en-IE"/>
            </w:rPr>
            <w:t xml:space="preserve">CT development: </w:t>
          </w:r>
          <w:r w:rsidR="004307F8" w:rsidRPr="00FF027F">
            <w:rPr>
              <w:rFonts w:cs="Arial"/>
              <w:b/>
              <w:lang w:val="en-GB" w:eastAsia="en-IE"/>
            </w:rPr>
            <w:t xml:space="preserve">4 FTE + 0.5 </w:t>
          </w:r>
          <w:r w:rsidRPr="00FF027F">
            <w:rPr>
              <w:rFonts w:cs="Arial"/>
              <w:b/>
              <w:lang w:val="en-GB" w:eastAsia="en-IE"/>
            </w:rPr>
            <w:t>FTE</w:t>
          </w:r>
          <w:r w:rsidR="004307F8" w:rsidRPr="00FF027F">
            <w:rPr>
              <w:rFonts w:cs="Arial"/>
              <w:b/>
              <w:lang w:val="en-GB" w:eastAsia="en-IE"/>
            </w:rPr>
            <w:t>.</w:t>
          </w:r>
        </w:p>
        <w:p w14:paraId="34CB4166" w14:textId="77777777" w:rsidR="009801F3" w:rsidRPr="00FF027F" w:rsidRDefault="009801F3" w:rsidP="004D65C7">
          <w:pPr>
            <w:jc w:val="both"/>
            <w:rPr>
              <w:rFonts w:cs="Arial"/>
              <w:b/>
              <w:lang w:val="en-GB" w:eastAsia="en-IE"/>
            </w:rPr>
          </w:pPr>
        </w:p>
        <w:p w14:paraId="37286EA5" w14:textId="71286200" w:rsidR="00233F6A" w:rsidRPr="00FF027F" w:rsidRDefault="009801F3" w:rsidP="004D65C7">
          <w:pPr>
            <w:jc w:val="both"/>
            <w:rPr>
              <w:lang w:val="en-GB"/>
            </w:rPr>
          </w:pPr>
          <w:r w:rsidRPr="00FF027F">
            <w:rPr>
              <w:rFonts w:cs="Arial"/>
              <w:b/>
              <w:lang w:val="en-GB" w:eastAsia="en-IE"/>
            </w:rPr>
            <w:t>Total allocated to the activities in the 2015 AWP = 97.5 FTE</w:t>
          </w:r>
          <w:r w:rsidR="00233F6A" w:rsidRPr="00FF027F">
            <w:rPr>
              <w:lang w:val="en-GB"/>
            </w:rPr>
            <w:br w:type="page"/>
          </w:r>
        </w:p>
        <w:p w14:paraId="065D636B" w14:textId="7C799B17" w:rsidR="00544C04" w:rsidRPr="00FF027F" w:rsidRDefault="00277B71" w:rsidP="00544C04">
          <w:pPr>
            <w:pStyle w:val="Heading1"/>
            <w:numPr>
              <w:ilvl w:val="0"/>
              <w:numId w:val="0"/>
            </w:numPr>
            <w:ind w:left="90"/>
          </w:pPr>
          <w:bookmarkStart w:id="123" w:name="_Toc396913808"/>
          <w:r w:rsidRPr="00FF027F">
            <w:t>ANNEX II</w:t>
          </w:r>
          <w:r w:rsidR="00395043" w:rsidRPr="00FF027F">
            <w:t>: Financial Resources</w:t>
          </w:r>
          <w:bookmarkEnd w:id="123"/>
          <w:r w:rsidR="00395043" w:rsidRPr="00FF027F">
            <w:t xml:space="preserve"> </w:t>
          </w:r>
        </w:p>
        <w:p w14:paraId="13158AA4" w14:textId="77777777" w:rsidR="00544C04" w:rsidRPr="00FF027F" w:rsidRDefault="00544C04" w:rsidP="00544C04">
          <w:pPr>
            <w:pStyle w:val="Heading2"/>
            <w:numPr>
              <w:ilvl w:val="0"/>
              <w:numId w:val="0"/>
            </w:numPr>
            <w:ind w:left="90"/>
          </w:pPr>
          <w:bookmarkStart w:id="124" w:name="_Toc396913809"/>
          <w:r w:rsidRPr="00FF027F">
            <w:t>T</w:t>
          </w:r>
          <w:r w:rsidR="00395043" w:rsidRPr="00FF027F">
            <w:t>able 1 – Expenditure</w:t>
          </w:r>
          <w:bookmarkEnd w:id="124"/>
          <w:r w:rsidR="001F6927" w:rsidRPr="00FF027F">
            <w:t xml:space="preserve"> </w:t>
          </w:r>
        </w:p>
        <w:p w14:paraId="38D18852" w14:textId="77777777" w:rsidR="005A0056" w:rsidRPr="00FF027F" w:rsidRDefault="005A0056" w:rsidP="004A16C5">
          <w:pPr>
            <w:keepNext/>
            <w:spacing w:before="240" w:after="60" w:line="240" w:lineRule="auto"/>
            <w:outlineLvl w:val="0"/>
            <w:rPr>
              <w:rFonts w:ascii="Verdana" w:eastAsia="Times New Roman" w:hAnsi="Verdana" w:cs="Times New Roman"/>
              <w:b/>
              <w:bCs/>
              <w:kern w:val="32"/>
              <w:sz w:val="18"/>
              <w:szCs w:val="18"/>
              <w:lang w:val="en-GB" w:eastAsia="en-GB"/>
            </w:rPr>
          </w:pPr>
        </w:p>
        <w:tbl>
          <w:tblPr>
            <w:tblW w:w="8960" w:type="dxa"/>
            <w:tblInd w:w="98" w:type="dxa"/>
            <w:tblLook w:val="04A0" w:firstRow="1" w:lastRow="0" w:firstColumn="1" w:lastColumn="0" w:noHBand="0" w:noVBand="1"/>
          </w:tblPr>
          <w:tblGrid>
            <w:gridCol w:w="1840"/>
            <w:gridCol w:w="1720"/>
            <w:gridCol w:w="1800"/>
            <w:gridCol w:w="2080"/>
            <w:gridCol w:w="1520"/>
          </w:tblGrid>
          <w:tr w:rsidR="004A16C5" w:rsidRPr="00FF027F" w14:paraId="1D3C2DA3" w14:textId="77777777" w:rsidTr="00362EA6">
            <w:trPr>
              <w:trHeight w:val="315"/>
            </w:trPr>
            <w:tc>
              <w:tcPr>
                <w:tcW w:w="1840" w:type="dxa"/>
                <w:vMerge w:val="restart"/>
                <w:tcBorders>
                  <w:top w:val="single" w:sz="8" w:space="0" w:color="auto"/>
                  <w:left w:val="single" w:sz="8" w:space="0" w:color="auto"/>
                  <w:bottom w:val="single" w:sz="8" w:space="0" w:color="000000"/>
                  <w:right w:val="single" w:sz="8" w:space="0" w:color="auto"/>
                </w:tcBorders>
                <w:shd w:val="clear" w:color="000000" w:fill="F3F3F3"/>
                <w:vAlign w:val="center"/>
                <w:hideMark/>
              </w:tcPr>
              <w:p w14:paraId="59679179" w14:textId="77777777" w:rsidR="004A16C5" w:rsidRPr="00FF027F" w:rsidRDefault="004A16C5" w:rsidP="004A16C5">
                <w:pPr>
                  <w:spacing w:after="0" w:line="240" w:lineRule="auto"/>
                  <w:jc w:val="center"/>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Expenditure</w:t>
                </w:r>
              </w:p>
            </w:tc>
            <w:tc>
              <w:tcPr>
                <w:tcW w:w="3520" w:type="dxa"/>
                <w:gridSpan w:val="2"/>
                <w:tcBorders>
                  <w:top w:val="single" w:sz="8" w:space="0" w:color="auto"/>
                  <w:left w:val="nil"/>
                  <w:bottom w:val="single" w:sz="8" w:space="0" w:color="auto"/>
                  <w:right w:val="single" w:sz="8" w:space="0" w:color="000000"/>
                </w:tcBorders>
                <w:shd w:val="clear" w:color="000000" w:fill="F3F3F3"/>
                <w:vAlign w:val="center"/>
                <w:hideMark/>
              </w:tcPr>
              <w:p w14:paraId="7544A712" w14:textId="77777777" w:rsidR="004A16C5" w:rsidRPr="00FF027F" w:rsidRDefault="004A16C5" w:rsidP="004A16C5">
                <w:pPr>
                  <w:spacing w:after="0" w:line="240" w:lineRule="auto"/>
                  <w:jc w:val="center"/>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N</w:t>
                </w:r>
              </w:p>
            </w:tc>
            <w:tc>
              <w:tcPr>
                <w:tcW w:w="3600" w:type="dxa"/>
                <w:gridSpan w:val="2"/>
                <w:tcBorders>
                  <w:top w:val="single" w:sz="8" w:space="0" w:color="auto"/>
                  <w:left w:val="nil"/>
                  <w:bottom w:val="single" w:sz="8" w:space="0" w:color="auto"/>
                  <w:right w:val="single" w:sz="8" w:space="0" w:color="000000"/>
                </w:tcBorders>
                <w:shd w:val="clear" w:color="000000" w:fill="F3F3F3"/>
                <w:vAlign w:val="center"/>
                <w:hideMark/>
              </w:tcPr>
              <w:p w14:paraId="65CA4EC1" w14:textId="77777777" w:rsidR="004A16C5" w:rsidRPr="00FF027F" w:rsidRDefault="004A16C5" w:rsidP="004A16C5">
                <w:pPr>
                  <w:spacing w:after="0" w:line="240" w:lineRule="auto"/>
                  <w:jc w:val="center"/>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N+1</w:t>
                </w:r>
              </w:p>
            </w:tc>
          </w:tr>
          <w:tr w:rsidR="004A16C5" w:rsidRPr="00FF027F" w14:paraId="4A4D2786" w14:textId="77777777" w:rsidTr="00362EA6">
            <w:trPr>
              <w:trHeight w:val="495"/>
            </w:trPr>
            <w:tc>
              <w:tcPr>
                <w:tcW w:w="1840" w:type="dxa"/>
                <w:vMerge/>
                <w:tcBorders>
                  <w:top w:val="single" w:sz="8" w:space="0" w:color="auto"/>
                  <w:left w:val="single" w:sz="8" w:space="0" w:color="auto"/>
                  <w:bottom w:val="single" w:sz="8" w:space="0" w:color="000000"/>
                  <w:right w:val="single" w:sz="8" w:space="0" w:color="auto"/>
                </w:tcBorders>
                <w:vAlign w:val="center"/>
                <w:hideMark/>
              </w:tcPr>
              <w:p w14:paraId="28AF92CB" w14:textId="77777777" w:rsidR="004A16C5" w:rsidRPr="00FF027F" w:rsidRDefault="004A16C5" w:rsidP="004A16C5">
                <w:pPr>
                  <w:spacing w:after="0" w:line="240" w:lineRule="auto"/>
                  <w:rPr>
                    <w:rFonts w:ascii="Times New Roman" w:eastAsia="Times New Roman" w:hAnsi="Times New Roman" w:cs="Times New Roman"/>
                    <w:b/>
                    <w:bCs/>
                    <w:color w:val="000000"/>
                    <w:sz w:val="18"/>
                    <w:szCs w:val="18"/>
                    <w:lang w:val="en-GB" w:eastAsia="en-GB"/>
                  </w:rPr>
                </w:pPr>
              </w:p>
            </w:tc>
            <w:tc>
              <w:tcPr>
                <w:tcW w:w="1720" w:type="dxa"/>
                <w:tcBorders>
                  <w:top w:val="nil"/>
                  <w:left w:val="nil"/>
                  <w:bottom w:val="single" w:sz="8" w:space="0" w:color="auto"/>
                  <w:right w:val="single" w:sz="8" w:space="0" w:color="auto"/>
                </w:tcBorders>
                <w:shd w:val="clear" w:color="000000" w:fill="F3F3F3"/>
                <w:vAlign w:val="center"/>
                <w:hideMark/>
              </w:tcPr>
              <w:p w14:paraId="729F41A5" w14:textId="77777777" w:rsidR="004A16C5" w:rsidRPr="00FF027F" w:rsidRDefault="004A16C5" w:rsidP="004A16C5">
                <w:pPr>
                  <w:spacing w:after="0" w:line="240" w:lineRule="auto"/>
                  <w:jc w:val="center"/>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Commitment appropriations</w:t>
                </w:r>
              </w:p>
            </w:tc>
            <w:tc>
              <w:tcPr>
                <w:tcW w:w="1800" w:type="dxa"/>
                <w:tcBorders>
                  <w:top w:val="nil"/>
                  <w:left w:val="nil"/>
                  <w:bottom w:val="single" w:sz="8" w:space="0" w:color="auto"/>
                  <w:right w:val="single" w:sz="8" w:space="0" w:color="auto"/>
                </w:tcBorders>
                <w:shd w:val="clear" w:color="000000" w:fill="F3F3F3"/>
                <w:vAlign w:val="center"/>
                <w:hideMark/>
              </w:tcPr>
              <w:p w14:paraId="62A65738" w14:textId="77777777" w:rsidR="004A16C5" w:rsidRPr="00FF027F" w:rsidRDefault="004A16C5" w:rsidP="004A16C5">
                <w:pPr>
                  <w:spacing w:after="0" w:line="240" w:lineRule="auto"/>
                  <w:jc w:val="center"/>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Payment appropriations</w:t>
                </w:r>
              </w:p>
            </w:tc>
            <w:tc>
              <w:tcPr>
                <w:tcW w:w="2080" w:type="dxa"/>
                <w:tcBorders>
                  <w:top w:val="nil"/>
                  <w:left w:val="nil"/>
                  <w:bottom w:val="single" w:sz="8" w:space="0" w:color="auto"/>
                  <w:right w:val="single" w:sz="8" w:space="0" w:color="auto"/>
                </w:tcBorders>
                <w:shd w:val="clear" w:color="000000" w:fill="F3F3F3"/>
                <w:vAlign w:val="center"/>
                <w:hideMark/>
              </w:tcPr>
              <w:p w14:paraId="226CD7FC" w14:textId="77777777" w:rsidR="004A16C5" w:rsidRPr="00FF027F" w:rsidRDefault="004A16C5" w:rsidP="004A16C5">
                <w:pPr>
                  <w:spacing w:after="0" w:line="240" w:lineRule="auto"/>
                  <w:jc w:val="center"/>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Commitment appropriations</w:t>
                </w:r>
              </w:p>
            </w:tc>
            <w:tc>
              <w:tcPr>
                <w:tcW w:w="1520" w:type="dxa"/>
                <w:tcBorders>
                  <w:top w:val="nil"/>
                  <w:left w:val="nil"/>
                  <w:bottom w:val="single" w:sz="8" w:space="0" w:color="auto"/>
                  <w:right w:val="single" w:sz="8" w:space="0" w:color="auto"/>
                </w:tcBorders>
                <w:shd w:val="clear" w:color="000000" w:fill="F3F3F3"/>
                <w:vAlign w:val="center"/>
                <w:hideMark/>
              </w:tcPr>
              <w:p w14:paraId="44A6B3D1" w14:textId="77777777" w:rsidR="004A16C5" w:rsidRPr="00FF027F" w:rsidRDefault="004A16C5" w:rsidP="004A16C5">
                <w:pPr>
                  <w:spacing w:after="0" w:line="240" w:lineRule="auto"/>
                  <w:jc w:val="center"/>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Payment appropriations</w:t>
                </w:r>
              </w:p>
            </w:tc>
          </w:tr>
          <w:tr w:rsidR="004A16C5" w:rsidRPr="00FF027F" w14:paraId="1847A638" w14:textId="77777777" w:rsidTr="00362EA6">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CF22E47" w14:textId="77777777" w:rsidR="004A16C5" w:rsidRPr="00FF027F" w:rsidRDefault="004A16C5" w:rsidP="004A16C5">
                <w:pPr>
                  <w:spacing w:after="0" w:line="240" w:lineRule="auto"/>
                  <w:ind w:firstLineChars="200" w:firstLine="361"/>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Title 1</w:t>
                </w:r>
              </w:p>
            </w:tc>
            <w:tc>
              <w:tcPr>
                <w:tcW w:w="1720" w:type="dxa"/>
                <w:tcBorders>
                  <w:top w:val="nil"/>
                  <w:left w:val="nil"/>
                  <w:bottom w:val="single" w:sz="8" w:space="0" w:color="auto"/>
                  <w:right w:val="single" w:sz="8" w:space="0" w:color="auto"/>
                </w:tcBorders>
                <w:shd w:val="clear" w:color="auto" w:fill="auto"/>
                <w:vAlign w:val="center"/>
                <w:hideMark/>
              </w:tcPr>
              <w:p w14:paraId="41E6112A"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6,572,375</w:t>
                </w:r>
                <w:r w:rsidR="004A16C5" w:rsidRPr="00FF027F">
                  <w:rPr>
                    <w:rFonts w:ascii="Times New Roman" w:eastAsia="Times New Roman" w:hAnsi="Times New Roman" w:cs="Times New Roman"/>
                    <w:color w:val="000000"/>
                    <w:sz w:val="18"/>
                    <w:szCs w:val="18"/>
                    <w:lang w:val="en-GB" w:eastAsia="en-GB"/>
                  </w:rPr>
                  <w:t> </w:t>
                </w:r>
              </w:p>
            </w:tc>
            <w:tc>
              <w:tcPr>
                <w:tcW w:w="1800" w:type="dxa"/>
                <w:tcBorders>
                  <w:top w:val="nil"/>
                  <w:left w:val="nil"/>
                  <w:bottom w:val="single" w:sz="8" w:space="0" w:color="auto"/>
                  <w:right w:val="single" w:sz="8" w:space="0" w:color="auto"/>
                </w:tcBorders>
                <w:shd w:val="clear" w:color="auto" w:fill="auto"/>
                <w:vAlign w:val="center"/>
                <w:hideMark/>
              </w:tcPr>
              <w:p w14:paraId="322D5B04"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6,572,375</w:t>
                </w:r>
                <w:r w:rsidR="004A16C5" w:rsidRPr="00FF027F">
                  <w:rPr>
                    <w:rFonts w:ascii="Times New Roman" w:eastAsia="Times New Roman" w:hAnsi="Times New Roman" w:cs="Times New Roman"/>
                    <w:color w:val="000000"/>
                    <w:sz w:val="18"/>
                    <w:szCs w:val="18"/>
                    <w:lang w:val="en-GB" w:eastAsia="en-GB"/>
                  </w:rPr>
                  <w:t> </w:t>
                </w:r>
              </w:p>
            </w:tc>
            <w:tc>
              <w:tcPr>
                <w:tcW w:w="2080" w:type="dxa"/>
                <w:tcBorders>
                  <w:top w:val="nil"/>
                  <w:left w:val="nil"/>
                  <w:bottom w:val="single" w:sz="8" w:space="0" w:color="auto"/>
                  <w:right w:val="single" w:sz="8" w:space="0" w:color="auto"/>
                </w:tcBorders>
                <w:shd w:val="clear" w:color="auto" w:fill="auto"/>
                <w:vAlign w:val="center"/>
                <w:hideMark/>
              </w:tcPr>
              <w:p w14:paraId="11096B5E"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11,096,236</w:t>
                </w:r>
                <w:r w:rsidR="004A16C5" w:rsidRPr="00FF027F">
                  <w:rPr>
                    <w:rFonts w:ascii="Times New Roman" w:eastAsia="Times New Roman" w:hAnsi="Times New Roman" w:cs="Times New Roman"/>
                    <w:color w:val="000000"/>
                    <w:sz w:val="18"/>
                    <w:szCs w:val="18"/>
                    <w:lang w:val="en-GB" w:eastAsia="en-GB"/>
                  </w:rPr>
                  <w:t> </w:t>
                </w:r>
              </w:p>
            </w:tc>
            <w:tc>
              <w:tcPr>
                <w:tcW w:w="1520" w:type="dxa"/>
                <w:tcBorders>
                  <w:top w:val="nil"/>
                  <w:left w:val="nil"/>
                  <w:bottom w:val="single" w:sz="8" w:space="0" w:color="auto"/>
                  <w:right w:val="single" w:sz="8" w:space="0" w:color="auto"/>
                </w:tcBorders>
                <w:shd w:val="clear" w:color="auto" w:fill="auto"/>
                <w:vAlign w:val="center"/>
                <w:hideMark/>
              </w:tcPr>
              <w:p w14:paraId="3168B07E"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11,096,236</w:t>
                </w:r>
                <w:r w:rsidR="004A16C5" w:rsidRPr="00FF027F">
                  <w:rPr>
                    <w:rFonts w:ascii="Times New Roman" w:eastAsia="Times New Roman" w:hAnsi="Times New Roman" w:cs="Times New Roman"/>
                    <w:color w:val="000000"/>
                    <w:sz w:val="18"/>
                    <w:szCs w:val="18"/>
                    <w:lang w:val="en-GB" w:eastAsia="en-GB"/>
                  </w:rPr>
                  <w:t> </w:t>
                </w:r>
              </w:p>
            </w:tc>
          </w:tr>
          <w:tr w:rsidR="004A16C5" w:rsidRPr="00FF027F" w14:paraId="6CFD4F74" w14:textId="77777777" w:rsidTr="00362EA6">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0FC08106" w14:textId="77777777" w:rsidR="004A16C5" w:rsidRPr="00FF027F" w:rsidRDefault="004A16C5" w:rsidP="004A16C5">
                <w:pPr>
                  <w:spacing w:after="0" w:line="240" w:lineRule="auto"/>
                  <w:ind w:firstLineChars="200" w:firstLine="361"/>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Title 2</w:t>
                </w:r>
              </w:p>
            </w:tc>
            <w:tc>
              <w:tcPr>
                <w:tcW w:w="1720" w:type="dxa"/>
                <w:tcBorders>
                  <w:top w:val="nil"/>
                  <w:left w:val="nil"/>
                  <w:bottom w:val="single" w:sz="8" w:space="0" w:color="auto"/>
                  <w:right w:val="single" w:sz="8" w:space="0" w:color="auto"/>
                </w:tcBorders>
                <w:shd w:val="clear" w:color="auto" w:fill="auto"/>
                <w:vAlign w:val="center"/>
                <w:hideMark/>
              </w:tcPr>
              <w:p w14:paraId="67226C03"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2,424,825</w:t>
                </w:r>
                <w:r w:rsidR="004A16C5" w:rsidRPr="00FF027F">
                  <w:rPr>
                    <w:rFonts w:ascii="Times New Roman" w:eastAsia="Times New Roman" w:hAnsi="Times New Roman" w:cs="Times New Roman"/>
                    <w:color w:val="000000"/>
                    <w:sz w:val="18"/>
                    <w:szCs w:val="18"/>
                    <w:lang w:val="en-GB" w:eastAsia="en-GB"/>
                  </w:rPr>
                  <w:t> </w:t>
                </w:r>
              </w:p>
            </w:tc>
            <w:tc>
              <w:tcPr>
                <w:tcW w:w="1800" w:type="dxa"/>
                <w:tcBorders>
                  <w:top w:val="nil"/>
                  <w:left w:val="nil"/>
                  <w:bottom w:val="single" w:sz="8" w:space="0" w:color="auto"/>
                  <w:right w:val="single" w:sz="8" w:space="0" w:color="auto"/>
                </w:tcBorders>
                <w:shd w:val="clear" w:color="auto" w:fill="auto"/>
                <w:vAlign w:val="center"/>
                <w:hideMark/>
              </w:tcPr>
              <w:p w14:paraId="2E96AF12"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2,424,825</w:t>
                </w:r>
                <w:r w:rsidR="004A16C5" w:rsidRPr="00FF027F">
                  <w:rPr>
                    <w:rFonts w:ascii="Times New Roman" w:eastAsia="Times New Roman" w:hAnsi="Times New Roman" w:cs="Times New Roman"/>
                    <w:color w:val="000000"/>
                    <w:sz w:val="18"/>
                    <w:szCs w:val="18"/>
                    <w:lang w:val="en-GB" w:eastAsia="en-GB"/>
                  </w:rPr>
                  <w:t> </w:t>
                </w:r>
              </w:p>
            </w:tc>
            <w:tc>
              <w:tcPr>
                <w:tcW w:w="2080" w:type="dxa"/>
                <w:tcBorders>
                  <w:top w:val="nil"/>
                  <w:left w:val="nil"/>
                  <w:bottom w:val="single" w:sz="8" w:space="0" w:color="auto"/>
                  <w:right w:val="single" w:sz="8" w:space="0" w:color="auto"/>
                </w:tcBorders>
                <w:shd w:val="clear" w:color="auto" w:fill="auto"/>
                <w:vAlign w:val="center"/>
                <w:hideMark/>
              </w:tcPr>
              <w:p w14:paraId="65C7024E"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2,732,251</w:t>
                </w:r>
                <w:r w:rsidR="004A16C5" w:rsidRPr="00FF027F">
                  <w:rPr>
                    <w:rFonts w:ascii="Times New Roman" w:eastAsia="Times New Roman" w:hAnsi="Times New Roman" w:cs="Times New Roman"/>
                    <w:color w:val="000000"/>
                    <w:sz w:val="18"/>
                    <w:szCs w:val="18"/>
                    <w:lang w:val="en-GB" w:eastAsia="en-GB"/>
                  </w:rPr>
                  <w:t> </w:t>
                </w:r>
              </w:p>
            </w:tc>
            <w:tc>
              <w:tcPr>
                <w:tcW w:w="1520" w:type="dxa"/>
                <w:tcBorders>
                  <w:top w:val="nil"/>
                  <w:left w:val="nil"/>
                  <w:bottom w:val="single" w:sz="8" w:space="0" w:color="auto"/>
                  <w:right w:val="single" w:sz="8" w:space="0" w:color="auto"/>
                </w:tcBorders>
                <w:shd w:val="clear" w:color="auto" w:fill="auto"/>
                <w:vAlign w:val="center"/>
                <w:hideMark/>
              </w:tcPr>
              <w:p w14:paraId="1EB05017"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2,732,251</w:t>
                </w:r>
                <w:r w:rsidR="004A16C5" w:rsidRPr="00FF027F">
                  <w:rPr>
                    <w:rFonts w:ascii="Times New Roman" w:eastAsia="Times New Roman" w:hAnsi="Times New Roman" w:cs="Times New Roman"/>
                    <w:color w:val="000000"/>
                    <w:sz w:val="18"/>
                    <w:szCs w:val="18"/>
                    <w:lang w:val="en-GB" w:eastAsia="en-GB"/>
                  </w:rPr>
                  <w:t> </w:t>
                </w:r>
              </w:p>
            </w:tc>
          </w:tr>
          <w:tr w:rsidR="004A16C5" w:rsidRPr="00FF027F" w14:paraId="0A38E2CE" w14:textId="77777777" w:rsidTr="00362EA6">
            <w:trPr>
              <w:trHeight w:val="315"/>
            </w:trPr>
            <w:tc>
              <w:tcPr>
                <w:tcW w:w="1840" w:type="dxa"/>
                <w:tcBorders>
                  <w:top w:val="nil"/>
                  <w:left w:val="single" w:sz="8" w:space="0" w:color="auto"/>
                  <w:bottom w:val="single" w:sz="8" w:space="0" w:color="auto"/>
                  <w:right w:val="single" w:sz="8" w:space="0" w:color="auto"/>
                </w:tcBorders>
                <w:shd w:val="clear" w:color="auto" w:fill="auto"/>
                <w:vAlign w:val="center"/>
                <w:hideMark/>
              </w:tcPr>
              <w:p w14:paraId="4CDE11D2" w14:textId="77777777" w:rsidR="004A16C5" w:rsidRPr="00FF027F" w:rsidRDefault="004A16C5" w:rsidP="004A16C5">
                <w:pPr>
                  <w:spacing w:after="0" w:line="240" w:lineRule="auto"/>
                  <w:ind w:firstLineChars="200" w:firstLine="361"/>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Title 3</w:t>
                </w:r>
              </w:p>
            </w:tc>
            <w:tc>
              <w:tcPr>
                <w:tcW w:w="1720" w:type="dxa"/>
                <w:tcBorders>
                  <w:top w:val="nil"/>
                  <w:left w:val="nil"/>
                  <w:bottom w:val="single" w:sz="8" w:space="0" w:color="auto"/>
                  <w:right w:val="single" w:sz="8" w:space="0" w:color="auto"/>
                </w:tcBorders>
                <w:shd w:val="clear" w:color="auto" w:fill="auto"/>
                <w:vAlign w:val="center"/>
                <w:hideMark/>
              </w:tcPr>
              <w:p w14:paraId="7E5E88B7"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1,882,800</w:t>
                </w:r>
                <w:r w:rsidR="004A16C5" w:rsidRPr="00FF027F">
                  <w:rPr>
                    <w:rFonts w:ascii="Times New Roman" w:eastAsia="Times New Roman" w:hAnsi="Times New Roman" w:cs="Times New Roman"/>
                    <w:color w:val="000000"/>
                    <w:sz w:val="18"/>
                    <w:szCs w:val="18"/>
                    <w:lang w:val="en-GB" w:eastAsia="en-GB"/>
                  </w:rPr>
                  <w:t> </w:t>
                </w:r>
              </w:p>
            </w:tc>
            <w:tc>
              <w:tcPr>
                <w:tcW w:w="1800" w:type="dxa"/>
                <w:tcBorders>
                  <w:top w:val="nil"/>
                  <w:left w:val="nil"/>
                  <w:bottom w:val="single" w:sz="8" w:space="0" w:color="auto"/>
                  <w:right w:val="single" w:sz="8" w:space="0" w:color="auto"/>
                </w:tcBorders>
                <w:shd w:val="clear" w:color="auto" w:fill="auto"/>
                <w:vAlign w:val="center"/>
                <w:hideMark/>
              </w:tcPr>
              <w:p w14:paraId="0BAFD61C"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1,882,800</w:t>
                </w:r>
                <w:r w:rsidR="004A16C5" w:rsidRPr="00FF027F">
                  <w:rPr>
                    <w:rFonts w:ascii="Times New Roman" w:eastAsia="Times New Roman" w:hAnsi="Times New Roman" w:cs="Times New Roman"/>
                    <w:color w:val="000000"/>
                    <w:sz w:val="18"/>
                    <w:szCs w:val="18"/>
                    <w:lang w:val="en-GB" w:eastAsia="en-GB"/>
                  </w:rPr>
                  <w:t> </w:t>
                </w:r>
              </w:p>
            </w:tc>
            <w:tc>
              <w:tcPr>
                <w:tcW w:w="2080" w:type="dxa"/>
                <w:tcBorders>
                  <w:top w:val="nil"/>
                  <w:left w:val="nil"/>
                  <w:bottom w:val="single" w:sz="8" w:space="0" w:color="auto"/>
                  <w:right w:val="single" w:sz="8" w:space="0" w:color="auto"/>
                </w:tcBorders>
                <w:shd w:val="clear" w:color="auto" w:fill="auto"/>
                <w:vAlign w:val="center"/>
                <w:hideMark/>
              </w:tcPr>
              <w:p w14:paraId="73B5ACF0"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2,730,100</w:t>
                </w:r>
                <w:r w:rsidR="004A16C5" w:rsidRPr="00FF027F">
                  <w:rPr>
                    <w:rFonts w:ascii="Times New Roman" w:eastAsia="Times New Roman" w:hAnsi="Times New Roman" w:cs="Times New Roman"/>
                    <w:color w:val="000000"/>
                    <w:sz w:val="18"/>
                    <w:szCs w:val="18"/>
                    <w:lang w:val="en-GB" w:eastAsia="en-GB"/>
                  </w:rPr>
                  <w:t> </w:t>
                </w:r>
              </w:p>
            </w:tc>
            <w:tc>
              <w:tcPr>
                <w:tcW w:w="1520" w:type="dxa"/>
                <w:tcBorders>
                  <w:top w:val="nil"/>
                  <w:left w:val="nil"/>
                  <w:bottom w:val="single" w:sz="8" w:space="0" w:color="auto"/>
                  <w:right w:val="single" w:sz="8" w:space="0" w:color="auto"/>
                </w:tcBorders>
                <w:shd w:val="clear" w:color="auto" w:fill="auto"/>
                <w:vAlign w:val="center"/>
                <w:hideMark/>
              </w:tcPr>
              <w:p w14:paraId="1BB858F1" w14:textId="77777777" w:rsidR="004A16C5" w:rsidRPr="00FF027F" w:rsidRDefault="005A0056" w:rsidP="004A16C5">
                <w:pPr>
                  <w:spacing w:after="0" w:line="240" w:lineRule="auto"/>
                  <w:ind w:firstLineChars="200" w:firstLine="360"/>
                  <w:jc w:val="right"/>
                  <w:rPr>
                    <w:rFonts w:ascii="Times New Roman" w:eastAsia="Times New Roman" w:hAnsi="Times New Roman" w:cs="Times New Roman"/>
                    <w:color w:val="000000"/>
                    <w:sz w:val="18"/>
                    <w:szCs w:val="18"/>
                    <w:lang w:val="en-GB" w:eastAsia="en-GB"/>
                  </w:rPr>
                </w:pPr>
                <w:r w:rsidRPr="00FF027F">
                  <w:rPr>
                    <w:rFonts w:ascii="Times New Roman" w:eastAsia="Times New Roman" w:hAnsi="Times New Roman" w:cs="Times New Roman"/>
                    <w:color w:val="000000"/>
                    <w:sz w:val="18"/>
                    <w:szCs w:val="18"/>
                    <w:lang w:val="en-GB" w:eastAsia="en-GB"/>
                  </w:rPr>
                  <w:t>2,730,100</w:t>
                </w:r>
                <w:r w:rsidR="004A16C5" w:rsidRPr="00FF027F">
                  <w:rPr>
                    <w:rFonts w:ascii="Times New Roman" w:eastAsia="Times New Roman" w:hAnsi="Times New Roman" w:cs="Times New Roman"/>
                    <w:color w:val="000000"/>
                    <w:sz w:val="18"/>
                    <w:szCs w:val="18"/>
                    <w:lang w:val="en-GB" w:eastAsia="en-GB"/>
                  </w:rPr>
                  <w:t> </w:t>
                </w:r>
              </w:p>
            </w:tc>
          </w:tr>
          <w:tr w:rsidR="004A16C5" w:rsidRPr="00FF027F" w14:paraId="37398F10" w14:textId="77777777" w:rsidTr="00362EA6">
            <w:trPr>
              <w:trHeight w:val="315"/>
            </w:trPr>
            <w:tc>
              <w:tcPr>
                <w:tcW w:w="1840" w:type="dxa"/>
                <w:tcBorders>
                  <w:top w:val="nil"/>
                  <w:left w:val="single" w:sz="8" w:space="0" w:color="auto"/>
                  <w:bottom w:val="single" w:sz="8" w:space="0" w:color="auto"/>
                  <w:right w:val="single" w:sz="8" w:space="0" w:color="auto"/>
                </w:tcBorders>
                <w:shd w:val="clear" w:color="000000" w:fill="F3F3F3"/>
                <w:vAlign w:val="center"/>
                <w:hideMark/>
              </w:tcPr>
              <w:p w14:paraId="4361B6BA" w14:textId="77777777" w:rsidR="004A16C5" w:rsidRPr="00FF027F" w:rsidRDefault="004A16C5" w:rsidP="004A16C5">
                <w:pPr>
                  <w:spacing w:after="0" w:line="240" w:lineRule="auto"/>
                  <w:ind w:firstLineChars="200" w:firstLine="361"/>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Total expenditure</w:t>
                </w:r>
              </w:p>
            </w:tc>
            <w:tc>
              <w:tcPr>
                <w:tcW w:w="1720" w:type="dxa"/>
                <w:tcBorders>
                  <w:top w:val="nil"/>
                  <w:left w:val="nil"/>
                  <w:bottom w:val="single" w:sz="8" w:space="0" w:color="auto"/>
                  <w:right w:val="single" w:sz="8" w:space="0" w:color="auto"/>
                </w:tcBorders>
                <w:shd w:val="clear" w:color="000000" w:fill="F3F3F3"/>
                <w:vAlign w:val="center"/>
                <w:hideMark/>
              </w:tcPr>
              <w:p w14:paraId="16ABD8C3" w14:textId="77777777" w:rsidR="004A16C5" w:rsidRPr="00FF027F" w:rsidRDefault="005A0056" w:rsidP="004A16C5">
                <w:pPr>
                  <w:spacing w:after="0" w:line="240" w:lineRule="auto"/>
                  <w:ind w:firstLineChars="200" w:firstLine="361"/>
                  <w:jc w:val="right"/>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10,880,000</w:t>
                </w:r>
                <w:r w:rsidR="004A16C5" w:rsidRPr="00FF027F">
                  <w:rPr>
                    <w:rFonts w:ascii="Times New Roman" w:eastAsia="Times New Roman" w:hAnsi="Times New Roman" w:cs="Times New Roman"/>
                    <w:b/>
                    <w:bCs/>
                    <w:color w:val="000000"/>
                    <w:sz w:val="18"/>
                    <w:szCs w:val="18"/>
                    <w:lang w:val="en-GB" w:eastAsia="en-GB"/>
                  </w:rPr>
                  <w:t> </w:t>
                </w:r>
              </w:p>
            </w:tc>
            <w:tc>
              <w:tcPr>
                <w:tcW w:w="1800" w:type="dxa"/>
                <w:tcBorders>
                  <w:top w:val="nil"/>
                  <w:left w:val="nil"/>
                  <w:bottom w:val="single" w:sz="8" w:space="0" w:color="auto"/>
                  <w:right w:val="single" w:sz="8" w:space="0" w:color="auto"/>
                </w:tcBorders>
                <w:shd w:val="clear" w:color="000000" w:fill="F3F3F3"/>
                <w:vAlign w:val="center"/>
                <w:hideMark/>
              </w:tcPr>
              <w:p w14:paraId="59A7667D" w14:textId="77777777" w:rsidR="004A16C5" w:rsidRPr="00FF027F" w:rsidRDefault="005A0056" w:rsidP="004A16C5">
                <w:pPr>
                  <w:spacing w:after="0" w:line="240" w:lineRule="auto"/>
                  <w:ind w:firstLineChars="200" w:firstLine="361"/>
                  <w:jc w:val="right"/>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10,880,000</w:t>
                </w:r>
                <w:r w:rsidR="004A16C5" w:rsidRPr="00FF027F">
                  <w:rPr>
                    <w:rFonts w:ascii="Times New Roman" w:eastAsia="Times New Roman" w:hAnsi="Times New Roman" w:cs="Times New Roman"/>
                    <w:b/>
                    <w:bCs/>
                    <w:color w:val="000000"/>
                    <w:sz w:val="18"/>
                    <w:szCs w:val="18"/>
                    <w:lang w:val="en-GB" w:eastAsia="en-GB"/>
                  </w:rPr>
                  <w:t> </w:t>
                </w:r>
              </w:p>
            </w:tc>
            <w:tc>
              <w:tcPr>
                <w:tcW w:w="2080" w:type="dxa"/>
                <w:tcBorders>
                  <w:top w:val="nil"/>
                  <w:left w:val="nil"/>
                  <w:bottom w:val="single" w:sz="8" w:space="0" w:color="auto"/>
                  <w:right w:val="single" w:sz="8" w:space="0" w:color="auto"/>
                </w:tcBorders>
                <w:shd w:val="clear" w:color="000000" w:fill="F3F3F3"/>
                <w:vAlign w:val="center"/>
                <w:hideMark/>
              </w:tcPr>
              <w:p w14:paraId="0613A55A" w14:textId="77777777" w:rsidR="004A16C5" w:rsidRPr="00FF027F" w:rsidRDefault="005A0056" w:rsidP="004A16C5">
                <w:pPr>
                  <w:spacing w:after="0" w:line="240" w:lineRule="auto"/>
                  <w:ind w:firstLineChars="200" w:firstLine="361"/>
                  <w:jc w:val="right"/>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16,558,587</w:t>
                </w:r>
                <w:r w:rsidR="004A16C5" w:rsidRPr="00FF027F">
                  <w:rPr>
                    <w:rFonts w:ascii="Times New Roman" w:eastAsia="Times New Roman" w:hAnsi="Times New Roman" w:cs="Times New Roman"/>
                    <w:b/>
                    <w:bCs/>
                    <w:color w:val="000000"/>
                    <w:sz w:val="18"/>
                    <w:szCs w:val="18"/>
                    <w:lang w:val="en-GB" w:eastAsia="en-GB"/>
                  </w:rPr>
                  <w:t> </w:t>
                </w:r>
              </w:p>
            </w:tc>
            <w:tc>
              <w:tcPr>
                <w:tcW w:w="1520" w:type="dxa"/>
                <w:tcBorders>
                  <w:top w:val="nil"/>
                  <w:left w:val="nil"/>
                  <w:bottom w:val="single" w:sz="8" w:space="0" w:color="auto"/>
                  <w:right w:val="single" w:sz="8" w:space="0" w:color="auto"/>
                </w:tcBorders>
                <w:shd w:val="clear" w:color="000000" w:fill="F3F3F3"/>
                <w:vAlign w:val="center"/>
                <w:hideMark/>
              </w:tcPr>
              <w:p w14:paraId="3ABB1C4D" w14:textId="77777777" w:rsidR="004A16C5" w:rsidRPr="00FF027F" w:rsidRDefault="005A0056" w:rsidP="004A16C5">
                <w:pPr>
                  <w:spacing w:after="0" w:line="240" w:lineRule="auto"/>
                  <w:ind w:firstLineChars="200" w:firstLine="361"/>
                  <w:jc w:val="right"/>
                  <w:rPr>
                    <w:rFonts w:ascii="Times New Roman" w:eastAsia="Times New Roman" w:hAnsi="Times New Roman" w:cs="Times New Roman"/>
                    <w:b/>
                    <w:bCs/>
                    <w:color w:val="000000"/>
                    <w:sz w:val="18"/>
                    <w:szCs w:val="18"/>
                    <w:lang w:val="en-GB" w:eastAsia="en-GB"/>
                  </w:rPr>
                </w:pPr>
                <w:r w:rsidRPr="00FF027F">
                  <w:rPr>
                    <w:rFonts w:ascii="Times New Roman" w:eastAsia="Times New Roman" w:hAnsi="Times New Roman" w:cs="Times New Roman"/>
                    <w:b/>
                    <w:bCs/>
                    <w:color w:val="000000"/>
                    <w:sz w:val="18"/>
                    <w:szCs w:val="18"/>
                    <w:lang w:val="en-GB" w:eastAsia="en-GB"/>
                  </w:rPr>
                  <w:t>16,558,587</w:t>
                </w:r>
                <w:r w:rsidR="004A16C5" w:rsidRPr="00FF027F">
                  <w:rPr>
                    <w:rFonts w:ascii="Times New Roman" w:eastAsia="Times New Roman" w:hAnsi="Times New Roman" w:cs="Times New Roman"/>
                    <w:b/>
                    <w:bCs/>
                    <w:color w:val="000000"/>
                    <w:sz w:val="18"/>
                    <w:szCs w:val="18"/>
                    <w:lang w:val="en-GB" w:eastAsia="en-GB"/>
                  </w:rPr>
                  <w:t> </w:t>
                </w:r>
              </w:p>
            </w:tc>
          </w:tr>
        </w:tbl>
        <w:p w14:paraId="36323187" w14:textId="77777777" w:rsidR="004A16C5" w:rsidRPr="00FF027F" w:rsidRDefault="004A16C5" w:rsidP="004A16C5">
          <w:pPr>
            <w:keepNext/>
            <w:spacing w:before="240" w:after="60" w:line="240" w:lineRule="auto"/>
            <w:outlineLvl w:val="0"/>
            <w:rPr>
              <w:rFonts w:ascii="Verdana" w:eastAsia="Times New Roman" w:hAnsi="Verdana" w:cs="Times New Roman"/>
              <w:b/>
              <w:bCs/>
              <w:kern w:val="32"/>
              <w:sz w:val="18"/>
              <w:szCs w:val="18"/>
              <w:lang w:val="en-GB" w:eastAsia="en-GB"/>
            </w:rPr>
          </w:pPr>
        </w:p>
        <w:tbl>
          <w:tblPr>
            <w:tblW w:w="917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C0C0C0"/>
            <w:tblLayout w:type="fixed"/>
            <w:tblLook w:val="0000" w:firstRow="0" w:lastRow="0" w:firstColumn="0" w:lastColumn="0" w:noHBand="0" w:noVBand="0"/>
          </w:tblPr>
          <w:tblGrid>
            <w:gridCol w:w="2755"/>
            <w:gridCol w:w="1227"/>
            <w:gridCol w:w="1323"/>
            <w:gridCol w:w="1321"/>
            <w:gridCol w:w="1323"/>
            <w:gridCol w:w="1224"/>
          </w:tblGrid>
          <w:tr w:rsidR="0037069B" w:rsidRPr="00FF027F" w14:paraId="7EE6FDD1" w14:textId="77777777" w:rsidTr="000811F7">
            <w:trPr>
              <w:trHeight w:val="426"/>
              <w:tblHeader/>
            </w:trPr>
            <w:tc>
              <w:tcPr>
                <w:tcW w:w="1502" w:type="pct"/>
                <w:vMerge w:val="restart"/>
                <w:tcBorders>
                  <w:top w:val="single" w:sz="8" w:space="0" w:color="auto"/>
                  <w:left w:val="single" w:sz="8" w:space="0" w:color="auto"/>
                  <w:right w:val="single" w:sz="8" w:space="0" w:color="auto"/>
                </w:tcBorders>
                <w:shd w:val="clear" w:color="auto" w:fill="F3F3F3"/>
                <w:noWrap/>
                <w:tcMar>
                  <w:right w:w="227" w:type="dxa"/>
                </w:tcMar>
                <w:vAlign w:val="center"/>
              </w:tcPr>
              <w:p w14:paraId="3EA2E448"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EXPENDITURE</w:t>
                </w:r>
              </w:p>
            </w:tc>
            <w:tc>
              <w:tcPr>
                <w:tcW w:w="3498" w:type="pct"/>
                <w:gridSpan w:val="5"/>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0A1C68A3"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Commitment appropriations</w:t>
                </w:r>
              </w:p>
            </w:tc>
          </w:tr>
          <w:tr w:rsidR="0037069B" w:rsidRPr="00FF027F" w14:paraId="23D5D721" w14:textId="77777777" w:rsidTr="000811F7">
            <w:trPr>
              <w:trHeight w:val="426"/>
              <w:tblHeader/>
            </w:trPr>
            <w:tc>
              <w:tcPr>
                <w:tcW w:w="1502" w:type="pct"/>
                <w:vMerge/>
                <w:tcBorders>
                  <w:left w:val="single" w:sz="8" w:space="0" w:color="auto"/>
                  <w:right w:val="single" w:sz="8" w:space="0" w:color="auto"/>
                </w:tcBorders>
                <w:shd w:val="clear" w:color="auto" w:fill="F3F3F3"/>
                <w:noWrap/>
                <w:tcMar>
                  <w:right w:w="227" w:type="dxa"/>
                </w:tcMar>
                <w:vAlign w:val="center"/>
              </w:tcPr>
              <w:p w14:paraId="7EA43B80"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p>
            </w:tc>
            <w:tc>
              <w:tcPr>
                <w:tcW w:w="669" w:type="pct"/>
                <w:vMerge w:val="restart"/>
                <w:tcBorders>
                  <w:top w:val="single" w:sz="8" w:space="0" w:color="auto"/>
                  <w:left w:val="single" w:sz="8" w:space="0" w:color="auto"/>
                  <w:right w:val="single" w:sz="8" w:space="0" w:color="auto"/>
                </w:tcBorders>
                <w:shd w:val="clear" w:color="auto" w:fill="F3F3F3"/>
                <w:noWrap/>
                <w:tcMar>
                  <w:right w:w="227" w:type="dxa"/>
                </w:tcMar>
                <w:vAlign w:val="center"/>
              </w:tcPr>
              <w:p w14:paraId="7D8B9203"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Executed Budget 2013</w:t>
                </w:r>
              </w:p>
            </w:tc>
            <w:tc>
              <w:tcPr>
                <w:tcW w:w="721" w:type="pct"/>
                <w:vMerge w:val="restart"/>
                <w:tcBorders>
                  <w:top w:val="single" w:sz="8" w:space="0" w:color="auto"/>
                  <w:left w:val="single" w:sz="8" w:space="0" w:color="auto"/>
                  <w:right w:val="single" w:sz="8" w:space="0" w:color="auto"/>
                </w:tcBorders>
                <w:shd w:val="clear" w:color="auto" w:fill="F3F3F3"/>
                <w:noWrap/>
                <w:tcMar>
                  <w:right w:w="227" w:type="dxa"/>
                </w:tcMar>
                <w:vAlign w:val="center"/>
              </w:tcPr>
              <w:p w14:paraId="6E6D684F"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Budget 2014</w:t>
                </w:r>
              </w:p>
            </w:tc>
            <w:tc>
              <w:tcPr>
                <w:tcW w:w="1441" w:type="pct"/>
                <w:gridSpan w:val="2"/>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76479C33"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Draft Budget 2015</w:t>
                </w:r>
              </w:p>
            </w:tc>
            <w:tc>
              <w:tcPr>
                <w:tcW w:w="667" w:type="pct"/>
                <w:vMerge w:val="restart"/>
                <w:tcBorders>
                  <w:top w:val="single" w:sz="8" w:space="0" w:color="auto"/>
                  <w:left w:val="single" w:sz="8" w:space="0" w:color="auto"/>
                  <w:right w:val="single" w:sz="8" w:space="0" w:color="auto"/>
                </w:tcBorders>
                <w:shd w:val="clear" w:color="auto" w:fill="F3F3F3"/>
                <w:noWrap/>
                <w:tcMar>
                  <w:right w:w="227" w:type="dxa"/>
                </w:tcMar>
                <w:vAlign w:val="center"/>
              </w:tcPr>
              <w:p w14:paraId="34405A52"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VAR 2015 / 2014</w:t>
                </w:r>
              </w:p>
            </w:tc>
          </w:tr>
          <w:tr w:rsidR="0037069B" w:rsidRPr="00FF027F" w14:paraId="2C674EF8" w14:textId="77777777" w:rsidTr="000811F7">
            <w:trPr>
              <w:trHeight w:val="426"/>
              <w:tblHeader/>
            </w:trPr>
            <w:tc>
              <w:tcPr>
                <w:tcW w:w="1502" w:type="pct"/>
                <w:vMerge/>
                <w:tcBorders>
                  <w:left w:val="single" w:sz="8" w:space="0" w:color="auto"/>
                  <w:bottom w:val="single" w:sz="8" w:space="0" w:color="auto"/>
                  <w:right w:val="single" w:sz="8" w:space="0" w:color="auto"/>
                </w:tcBorders>
                <w:shd w:val="clear" w:color="auto" w:fill="F3F3F3"/>
                <w:noWrap/>
                <w:tcMar>
                  <w:right w:w="227" w:type="dxa"/>
                </w:tcMar>
                <w:vAlign w:val="center"/>
              </w:tcPr>
              <w:p w14:paraId="5DAAD092"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p>
            </w:tc>
            <w:tc>
              <w:tcPr>
                <w:tcW w:w="669" w:type="pct"/>
                <w:vMerge/>
                <w:tcBorders>
                  <w:left w:val="single" w:sz="8" w:space="0" w:color="auto"/>
                  <w:bottom w:val="single" w:sz="8" w:space="0" w:color="auto"/>
                  <w:right w:val="single" w:sz="8" w:space="0" w:color="auto"/>
                </w:tcBorders>
                <w:shd w:val="clear" w:color="auto" w:fill="F3F3F3"/>
                <w:noWrap/>
                <w:tcMar>
                  <w:right w:w="227" w:type="dxa"/>
                </w:tcMar>
                <w:vAlign w:val="center"/>
              </w:tcPr>
              <w:p w14:paraId="7D106B18"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p>
            </w:tc>
            <w:tc>
              <w:tcPr>
                <w:tcW w:w="721" w:type="pct"/>
                <w:vMerge/>
                <w:tcBorders>
                  <w:left w:val="single" w:sz="8" w:space="0" w:color="auto"/>
                  <w:bottom w:val="single" w:sz="8" w:space="0" w:color="auto"/>
                  <w:right w:val="single" w:sz="8" w:space="0" w:color="auto"/>
                </w:tcBorders>
                <w:shd w:val="clear" w:color="auto" w:fill="F3F3F3"/>
                <w:noWrap/>
                <w:tcMar>
                  <w:right w:w="227" w:type="dxa"/>
                </w:tcMar>
                <w:vAlign w:val="center"/>
              </w:tcPr>
              <w:p w14:paraId="79E973CC"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p>
            </w:tc>
            <w:tc>
              <w:tcPr>
                <w:tcW w:w="720"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0C0C5186"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Agency request</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4FA03142"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Budget Forecast</w:t>
                </w:r>
              </w:p>
            </w:tc>
            <w:tc>
              <w:tcPr>
                <w:tcW w:w="667" w:type="pct"/>
                <w:vMerge/>
                <w:tcBorders>
                  <w:left w:val="single" w:sz="8" w:space="0" w:color="auto"/>
                  <w:bottom w:val="single" w:sz="8" w:space="0" w:color="auto"/>
                  <w:right w:val="single" w:sz="8" w:space="0" w:color="auto"/>
                </w:tcBorders>
                <w:shd w:val="clear" w:color="auto" w:fill="F3F3F3"/>
                <w:noWrap/>
                <w:tcMar>
                  <w:right w:w="227" w:type="dxa"/>
                </w:tcMar>
                <w:vAlign w:val="center"/>
              </w:tcPr>
              <w:p w14:paraId="4F8E97ED"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p>
            </w:tc>
          </w:tr>
          <w:tr w:rsidR="0037069B" w:rsidRPr="00FF027F" w14:paraId="491FFBEC" w14:textId="77777777" w:rsidTr="000811F7">
            <w:trPr>
              <w:trHeight w:val="426"/>
            </w:trPr>
            <w:tc>
              <w:tcPr>
                <w:tcW w:w="1502"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124D3AD7"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Title 1</w:t>
                </w:r>
              </w:p>
              <w:p w14:paraId="37D70D2B"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Staff Expenditure</w:t>
                </w:r>
              </w:p>
            </w:tc>
            <w:tc>
              <w:tcPr>
                <w:tcW w:w="669"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020F3E6"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4 864 334</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1B39B11F"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6 572 375</w:t>
                </w:r>
              </w:p>
            </w:tc>
            <w:tc>
              <w:tcPr>
                <w:tcW w:w="720"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0F4CC1B0"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11 096 236</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0EAF4519"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10 081 684</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74FA807C"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68,83%</w:t>
                </w:r>
              </w:p>
            </w:tc>
          </w:tr>
          <w:tr w:rsidR="0037069B" w:rsidRPr="00FF027F" w14:paraId="7215D5E4" w14:textId="77777777" w:rsidTr="000811F7">
            <w:trPr>
              <w:trHeight w:val="465"/>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6B1075B5"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11 Salaries &amp; allowances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1808CF3"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4 413 891</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BAC2B34"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5 822 956</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7025D8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10 362 501</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0CA023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9 347 949</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20C2F3F6"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77,96%</w:t>
                </w:r>
              </w:p>
            </w:tc>
          </w:tr>
          <w:tr w:rsidR="0037069B" w:rsidRPr="00FF027F" w14:paraId="57BEFA1F" w14:textId="77777777" w:rsidTr="000811F7">
            <w:trPr>
              <w:trHeight w:val="465"/>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tcPr>
              <w:p w14:paraId="4ABB8E81" w14:textId="77777777" w:rsidR="0037069B" w:rsidRPr="00FF027F" w:rsidRDefault="0037069B" w:rsidP="0037069B">
                <w:pPr>
                  <w:spacing w:before="30" w:after="30" w:line="240" w:lineRule="auto"/>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 of which establishment plan posts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1856BC50"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3 641 344</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2830D8C"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4 760 444</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08AB8E74"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9 294 008</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8849C68"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8 279 456</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2711853"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95,23%</w:t>
                </w:r>
              </w:p>
            </w:tc>
          </w:tr>
          <w:tr w:rsidR="0037069B" w:rsidRPr="00FF027F" w14:paraId="53606647" w14:textId="77777777" w:rsidTr="000811F7">
            <w:trPr>
              <w:trHeight w:val="465"/>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tcPr>
              <w:p w14:paraId="548E6C86" w14:textId="77777777" w:rsidR="0037069B" w:rsidRPr="00FF027F" w:rsidRDefault="0037069B" w:rsidP="0037069B">
                <w:pPr>
                  <w:spacing w:before="30" w:after="30" w:line="240" w:lineRule="auto"/>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 of which external personnel</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6E634C8"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772 547</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883D044"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1 062 512</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3D9CB64"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1 068 493</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055CC3ED" w14:textId="77777777" w:rsidR="0037069B" w:rsidRPr="00FF027F" w:rsidRDefault="0037069B" w:rsidP="0037069B">
                <w:pPr>
                  <w:spacing w:after="0" w:line="240" w:lineRule="auto"/>
                  <w:jc w:val="right"/>
                  <w:rPr>
                    <w:rFonts w:ascii="Times New Roman" w:eastAsia="Times New Roman" w:hAnsi="Times New Roman" w:cs="Times New Roman"/>
                    <w:i/>
                    <w:sz w:val="18"/>
                    <w:szCs w:val="20"/>
                    <w:lang w:val="en-GB" w:eastAsia="en-GB"/>
                  </w:rPr>
                </w:pPr>
                <w:r w:rsidRPr="00FF027F">
                  <w:rPr>
                    <w:rFonts w:ascii="Times New Roman" w:eastAsia="Times New Roman" w:hAnsi="Times New Roman" w:cs="Times New Roman"/>
                    <w:i/>
                    <w:sz w:val="18"/>
                    <w:szCs w:val="20"/>
                    <w:lang w:val="en-GB" w:eastAsia="en-GB"/>
                  </w:rPr>
                  <w:t>1 068 493</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2D513AB"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0,56%</w:t>
                </w:r>
              </w:p>
            </w:tc>
          </w:tr>
          <w:tr w:rsidR="0037069B" w:rsidRPr="00FF027F" w14:paraId="211FE100" w14:textId="77777777" w:rsidTr="00B67222">
            <w:trPr>
              <w:trHeight w:val="387"/>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3440A5DC"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12 Expenditure relating to Staff recruitment</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F27AA43"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72 500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1FBB8ECE"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142 853</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9622CBB"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90 000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65AEF1B"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90 000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2993AB5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-37,00%</w:t>
                </w:r>
              </w:p>
            </w:tc>
          </w:tr>
          <w:tr w:rsidR="0037069B" w:rsidRPr="00FF027F" w14:paraId="12DC2CD0" w14:textId="77777777" w:rsidTr="00B67222">
            <w:trPr>
              <w:trHeight w:val="452"/>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5F0774AC"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13 Mission expenses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C13C2C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92 515</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D23188A"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153 644</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6714957"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164 535</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31754F6"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164 535</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112350B7"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7,09%</w:t>
                </w:r>
              </w:p>
            </w:tc>
          </w:tr>
          <w:tr w:rsidR="0037069B" w:rsidRPr="00FF027F" w14:paraId="3FBA58CF" w14:textId="77777777" w:rsidTr="00B67222">
            <w:trPr>
              <w:trHeight w:val="370"/>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23AFE11C"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14 Socio-medical infrastructure</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D5BB5D5"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28 967</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25B6ADF"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50 361</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81FB337"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42 000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32B4CBF"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42 000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F2C40AF"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-16,60%</w:t>
                </w:r>
              </w:p>
            </w:tc>
          </w:tr>
          <w:tr w:rsidR="0037069B" w:rsidRPr="00FF027F" w14:paraId="660034EE" w14:textId="77777777" w:rsidTr="00B67222">
            <w:trPr>
              <w:trHeight w:val="436"/>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6AEDD1DE"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15 Training</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099153A"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100 142</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BD03B58"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211 792</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0E8180AE"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215 000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1932414B"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215 000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37FFA8EC"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1,51%</w:t>
                </w:r>
              </w:p>
            </w:tc>
          </w:tr>
          <w:tr w:rsidR="0037069B" w:rsidRPr="00FF027F" w14:paraId="6BA84046" w14:textId="77777777" w:rsidTr="00B67222">
            <w:trPr>
              <w:trHeight w:val="478"/>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30FB8E71"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16 External Services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D9441D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136 340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BADD4AD"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178 769</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6C4E45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195 000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A77A774"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195 000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3B5FF78A"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9,08%</w:t>
                </w:r>
              </w:p>
            </w:tc>
          </w:tr>
          <w:tr w:rsidR="0037069B" w:rsidRPr="00FF027F" w14:paraId="7B80B769" w14:textId="77777777" w:rsidTr="00B67222">
            <w:trPr>
              <w:trHeight w:val="478"/>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30B6A0C9"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17 Receptions and events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9431376"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19 979</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D4E8AE8"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12 000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933B57B"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27 200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FC6094D"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27 200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B5F8BBD"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126,67%</w:t>
                </w:r>
              </w:p>
            </w:tc>
          </w:tr>
          <w:tr w:rsidR="0037069B" w:rsidRPr="00FF027F" w14:paraId="437EEDB7" w14:textId="77777777" w:rsidTr="00B67222">
            <w:trPr>
              <w:trHeight w:val="426"/>
            </w:trPr>
            <w:tc>
              <w:tcPr>
                <w:tcW w:w="1502"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14092A9D"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Title 2</w:t>
                </w:r>
              </w:p>
              <w:p w14:paraId="3EB47911"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Infrastructure and operating expenditure</w:t>
                </w:r>
              </w:p>
            </w:tc>
            <w:tc>
              <w:tcPr>
                <w:tcW w:w="669"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2C954536"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3 367 162</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758CFFC1"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2.424.825</w:t>
                </w:r>
              </w:p>
            </w:tc>
            <w:tc>
              <w:tcPr>
                <w:tcW w:w="720"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3D3C98D5"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2 732 251</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8BFF7D2"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2 732 251</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7932853"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12,68%</w:t>
                </w:r>
              </w:p>
            </w:tc>
          </w:tr>
          <w:tr w:rsidR="0037069B" w:rsidRPr="00FF027F" w14:paraId="28004841" w14:textId="77777777" w:rsidTr="00B67222">
            <w:trPr>
              <w:trHeight w:val="531"/>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77725F17"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20 Rental of buildings and associated costs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9B6FED8"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657 243</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C5BB0A8"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963 400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4951789"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902 600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6B4E25F"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902 600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245D3D2A"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4,54%</w:t>
                </w:r>
              </w:p>
            </w:tc>
          </w:tr>
          <w:tr w:rsidR="0037069B" w:rsidRPr="00FF027F" w14:paraId="68C99C87" w14:textId="77777777" w:rsidTr="00B67222">
            <w:trPr>
              <w:trHeight w:val="505"/>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2DE0B0D8"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21 Information and communication technology</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1FED1009"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2 079 707</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48CDA45"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427 500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0A9E8154"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425 500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DD43B7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425 500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1F96CA3"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-0,47%</w:t>
                </w:r>
              </w:p>
            </w:tc>
          </w:tr>
          <w:tr w:rsidR="0037069B" w:rsidRPr="00FF027F" w14:paraId="17BAE96A" w14:textId="77777777" w:rsidTr="00B67222">
            <w:trPr>
              <w:trHeight w:val="544"/>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1986D5CA"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22 Movable property and associated costs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4C46BB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48 117</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E643FD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120 000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6F0F896"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183 800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57D6D28"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183 800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7D1692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53,17%</w:t>
                </w:r>
              </w:p>
            </w:tc>
          </w:tr>
          <w:tr w:rsidR="0037069B" w:rsidRPr="00FF027F" w14:paraId="62826655" w14:textId="77777777" w:rsidTr="00B67222">
            <w:trPr>
              <w:trHeight w:val="544"/>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7899337D"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23 Current administrative expenditure</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8593427"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118 408</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01328BD2"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130 240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0B2AADFE"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158 000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F618D5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158 000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C77299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21,31%</w:t>
                </w:r>
              </w:p>
            </w:tc>
          </w:tr>
          <w:tr w:rsidR="0037069B" w:rsidRPr="00FF027F" w14:paraId="0876F4EC" w14:textId="77777777" w:rsidTr="00B67222">
            <w:trPr>
              <w:trHeight w:val="450"/>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3F9CAFBC"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24 Postage / Telecommunications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90E858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41 400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D248745"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95 000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D66410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77 500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16D87C29"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77 500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0A1FFE99"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-18,42%</w:t>
                </w:r>
              </w:p>
            </w:tc>
          </w:tr>
          <w:tr w:rsidR="0037069B" w:rsidRPr="00FF027F" w14:paraId="69D59947" w14:textId="77777777" w:rsidTr="00B67222">
            <w:trPr>
              <w:trHeight w:val="496"/>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569EC432"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25 Meeting expenses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3D9906D"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200 413</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C866C67"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273 685</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BF99E34"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258 551</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2373B96"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258 551</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0BF5A55D"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-5,53%</w:t>
                </w:r>
              </w:p>
            </w:tc>
          </w:tr>
          <w:tr w:rsidR="0037069B" w:rsidRPr="00FF027F" w14:paraId="4F5D19AE" w14:textId="77777777" w:rsidTr="00B67222">
            <w:trPr>
              <w:trHeight w:val="544"/>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42663759"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26 Running costs in connection with operational activities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6662327"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75F767E"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20 000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451AC1F"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20 000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C44EDE9"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20 000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2B67FCE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0,00%</w:t>
                </w:r>
              </w:p>
            </w:tc>
          </w:tr>
          <w:tr w:rsidR="0037069B" w:rsidRPr="00FF027F" w14:paraId="5785268B" w14:textId="77777777" w:rsidTr="00B67222">
            <w:trPr>
              <w:trHeight w:val="544"/>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41AF0F2A"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27 Information and publishing</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73E587C2"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479624F2"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66144156"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21B6FE3"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61A023AA"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p>
            </w:tc>
          </w:tr>
          <w:tr w:rsidR="0037069B" w:rsidRPr="00FF027F" w14:paraId="41763746" w14:textId="77777777" w:rsidTr="00B67222">
            <w:trPr>
              <w:trHeight w:val="516"/>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2A249104"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28 Studies</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7DC1D38"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221 875</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259D439"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495 000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B2F513E"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706 300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214C9CC1"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706 300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13265ACD"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42,69%</w:t>
                </w:r>
              </w:p>
            </w:tc>
          </w:tr>
          <w:tr w:rsidR="0037069B" w:rsidRPr="00FF027F" w14:paraId="0C214CD3" w14:textId="77777777" w:rsidTr="00B67222">
            <w:trPr>
              <w:trHeight w:val="426"/>
            </w:trPr>
            <w:tc>
              <w:tcPr>
                <w:tcW w:w="1502"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6F33593C"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Title 3</w:t>
                </w:r>
              </w:p>
              <w:p w14:paraId="1FF346B7"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Operational expenditure</w:t>
                </w:r>
              </w:p>
            </w:tc>
            <w:tc>
              <w:tcPr>
                <w:tcW w:w="669"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2EC8DF5"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3 405 341</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80EC1AD"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1.882.800</w:t>
                </w:r>
              </w:p>
            </w:tc>
            <w:tc>
              <w:tcPr>
                <w:tcW w:w="720"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4928E33D"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2 730 100</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40A26963"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2 730 100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31B1C6B8"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45,00%</w:t>
                </w:r>
              </w:p>
            </w:tc>
          </w:tr>
          <w:tr w:rsidR="0037069B" w:rsidRPr="00FF027F" w14:paraId="43D4A7FD" w14:textId="77777777" w:rsidTr="00B67222">
            <w:trPr>
              <w:trHeight w:val="480"/>
            </w:trPr>
            <w:tc>
              <w:tcPr>
                <w:tcW w:w="1502" w:type="pct"/>
                <w:tcBorders>
                  <w:top w:val="single" w:sz="8" w:space="0" w:color="auto"/>
                  <w:left w:val="single" w:sz="8" w:space="0" w:color="auto"/>
                  <w:bottom w:val="single" w:sz="8" w:space="0" w:color="auto"/>
                  <w:right w:val="single" w:sz="8" w:space="0" w:color="auto"/>
                </w:tcBorders>
                <w:shd w:val="clear" w:color="auto" w:fill="F3F3F3"/>
                <w:tcMar>
                  <w:right w:w="227" w:type="dxa"/>
                </w:tcMar>
                <w:vAlign w:val="center"/>
              </w:tcPr>
              <w:p w14:paraId="748CF52B"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to be specified by chapter</w:t>
                </w:r>
              </w:p>
            </w:tc>
            <w:tc>
              <w:tcPr>
                <w:tcW w:w="669"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EA66D80"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3 405 341</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1C3C382"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1 882 800</w:t>
                </w:r>
              </w:p>
            </w:tc>
            <w:tc>
              <w:tcPr>
                <w:tcW w:w="720"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3E301D4E"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2 730 100</w:t>
                </w:r>
              </w:p>
            </w:tc>
            <w:tc>
              <w:tcPr>
                <w:tcW w:w="721" w:type="pct"/>
                <w:tcBorders>
                  <w:top w:val="single" w:sz="8" w:space="0" w:color="auto"/>
                  <w:left w:val="single" w:sz="8" w:space="0" w:color="auto"/>
                  <w:bottom w:val="single" w:sz="8" w:space="0" w:color="auto"/>
                  <w:right w:val="single" w:sz="8" w:space="0" w:color="auto"/>
                </w:tcBorders>
                <w:shd w:val="clear" w:color="auto" w:fill="auto"/>
                <w:noWrap/>
                <w:tcMar>
                  <w:right w:w="227" w:type="dxa"/>
                </w:tcMar>
                <w:vAlign w:val="center"/>
              </w:tcPr>
              <w:p w14:paraId="56E11353"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2 730 100</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13AF36C4"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45,00%</w:t>
                </w:r>
              </w:p>
            </w:tc>
          </w:tr>
          <w:tr w:rsidR="0037069B" w:rsidRPr="00FF027F" w14:paraId="3ECE029A" w14:textId="77777777" w:rsidTr="00B67222">
            <w:trPr>
              <w:trHeight w:val="426"/>
            </w:trPr>
            <w:tc>
              <w:tcPr>
                <w:tcW w:w="1502"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03D63E2"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TOTAL EXPENDITURE</w:t>
                </w:r>
              </w:p>
            </w:tc>
            <w:tc>
              <w:tcPr>
                <w:tcW w:w="669"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E2DC02C"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11 636 837</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1C32477B"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10.880.000</w:t>
                </w:r>
              </w:p>
            </w:tc>
            <w:tc>
              <w:tcPr>
                <w:tcW w:w="720"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4FECF7F3"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16 558 587</w:t>
                </w:r>
              </w:p>
            </w:tc>
            <w:tc>
              <w:tcPr>
                <w:tcW w:w="721"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50F0FCF1"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15 544 035</w:t>
                </w:r>
              </w:p>
            </w:tc>
            <w:tc>
              <w:tcPr>
                <w:tcW w:w="667" w:type="pct"/>
                <w:tcBorders>
                  <w:top w:val="single" w:sz="8" w:space="0" w:color="auto"/>
                  <w:left w:val="single" w:sz="8" w:space="0" w:color="auto"/>
                  <w:bottom w:val="single" w:sz="8" w:space="0" w:color="auto"/>
                  <w:right w:val="single" w:sz="8" w:space="0" w:color="auto"/>
                </w:tcBorders>
                <w:shd w:val="clear" w:color="auto" w:fill="F3F3F3"/>
                <w:noWrap/>
                <w:tcMar>
                  <w:right w:w="227" w:type="dxa"/>
                </w:tcMar>
                <w:vAlign w:val="center"/>
              </w:tcPr>
              <w:p w14:paraId="48249752"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52,19%</w:t>
                </w:r>
              </w:p>
            </w:tc>
          </w:tr>
        </w:tbl>
        <w:p w14:paraId="0046914F" w14:textId="77777777" w:rsidR="00277B71" w:rsidRPr="00FF027F" w:rsidRDefault="00277B71" w:rsidP="00B30F57">
          <w:pPr>
            <w:keepNext/>
            <w:spacing w:before="240" w:after="60" w:line="240" w:lineRule="auto"/>
            <w:outlineLvl w:val="0"/>
            <w:rPr>
              <w:rFonts w:ascii="Verdana" w:eastAsia="Times New Roman" w:hAnsi="Verdana" w:cs="Times New Roman"/>
              <w:b/>
              <w:bCs/>
              <w:kern w:val="32"/>
              <w:sz w:val="18"/>
              <w:szCs w:val="18"/>
              <w:lang w:val="en-GB" w:eastAsia="en-GB"/>
            </w:rPr>
          </w:pPr>
        </w:p>
        <w:p w14:paraId="163ADA43" w14:textId="77777777" w:rsidR="00911EC3" w:rsidRPr="00FF027F" w:rsidRDefault="00911EC3" w:rsidP="00B30F57">
          <w:pPr>
            <w:keepNext/>
            <w:spacing w:before="240" w:after="60" w:line="240" w:lineRule="auto"/>
            <w:outlineLvl w:val="0"/>
            <w:rPr>
              <w:rFonts w:ascii="Verdana" w:eastAsia="Times New Roman" w:hAnsi="Verdana" w:cs="Times New Roman"/>
              <w:b/>
              <w:bCs/>
              <w:kern w:val="32"/>
              <w:sz w:val="18"/>
              <w:szCs w:val="18"/>
              <w:lang w:val="en-GB" w:eastAsia="en-GB"/>
            </w:rPr>
          </w:pPr>
        </w:p>
        <w:p w14:paraId="6AD408C4" w14:textId="77777777" w:rsidR="00911EC3" w:rsidRPr="00FF027F" w:rsidRDefault="00911EC3" w:rsidP="00B30F57">
          <w:pPr>
            <w:keepNext/>
            <w:spacing w:before="240" w:after="60" w:line="240" w:lineRule="auto"/>
            <w:outlineLvl w:val="0"/>
            <w:rPr>
              <w:rFonts w:ascii="Verdana" w:eastAsia="Times New Roman" w:hAnsi="Verdana" w:cs="Times New Roman"/>
              <w:b/>
              <w:bCs/>
              <w:kern w:val="32"/>
              <w:sz w:val="18"/>
              <w:szCs w:val="18"/>
              <w:lang w:val="en-GB" w:eastAsia="en-GB"/>
            </w:rPr>
          </w:pPr>
        </w:p>
        <w:p w14:paraId="2E41427E" w14:textId="77777777" w:rsidR="00544C04" w:rsidRPr="00FF027F" w:rsidRDefault="00277B71" w:rsidP="00544C04">
          <w:pPr>
            <w:pStyle w:val="Heading2"/>
            <w:numPr>
              <w:ilvl w:val="0"/>
              <w:numId w:val="0"/>
            </w:numPr>
            <w:ind w:left="90"/>
            <w:rPr>
              <w:lang w:eastAsia="en-GB"/>
            </w:rPr>
          </w:pPr>
          <w:bookmarkStart w:id="125" w:name="_Toc396913810"/>
          <w:r w:rsidRPr="00FF027F">
            <w:rPr>
              <w:lang w:eastAsia="en-GB"/>
            </w:rPr>
            <w:t>Table 2 – Revenue</w:t>
          </w:r>
          <w:bookmarkEnd w:id="125"/>
          <w:r w:rsidR="001F6927" w:rsidRPr="00FF027F">
            <w:rPr>
              <w:lang w:eastAsia="en-GB"/>
            </w:rPr>
            <w:t xml:space="preserve"> </w:t>
          </w:r>
        </w:p>
        <w:tbl>
          <w:tblPr>
            <w:tblW w:w="99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66"/>
            <w:gridCol w:w="3325"/>
            <w:gridCol w:w="3043"/>
          </w:tblGrid>
          <w:tr w:rsidR="0037069B" w:rsidRPr="00FF027F" w14:paraId="2F64B378" w14:textId="77777777" w:rsidTr="0020011A">
            <w:trPr>
              <w:trHeight w:val="347"/>
            </w:trPr>
            <w:tc>
              <w:tcPr>
                <w:tcW w:w="3566" w:type="dxa"/>
                <w:vMerge w:val="restart"/>
                <w:shd w:val="clear" w:color="auto" w:fill="F3F3F3"/>
                <w:vAlign w:val="center"/>
              </w:tcPr>
              <w:p w14:paraId="63E09C15" w14:textId="77777777" w:rsidR="0037069B" w:rsidRPr="00FF027F" w:rsidRDefault="0037069B" w:rsidP="0020011A">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Revenues</w:t>
                </w:r>
              </w:p>
            </w:tc>
            <w:tc>
              <w:tcPr>
                <w:tcW w:w="3325" w:type="dxa"/>
                <w:shd w:val="clear" w:color="auto" w:fill="F3F3F3"/>
              </w:tcPr>
              <w:p w14:paraId="3AD0AD44"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2014</w:t>
                </w:r>
              </w:p>
            </w:tc>
            <w:tc>
              <w:tcPr>
                <w:tcW w:w="3043" w:type="dxa"/>
                <w:shd w:val="clear" w:color="auto" w:fill="F3F3F3"/>
              </w:tcPr>
              <w:p w14:paraId="7293E929"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2015</w:t>
                </w:r>
              </w:p>
            </w:tc>
          </w:tr>
          <w:tr w:rsidR="0037069B" w:rsidRPr="00FF027F" w14:paraId="381B9AE0" w14:textId="77777777" w:rsidTr="0020011A">
            <w:trPr>
              <w:trHeight w:val="144"/>
            </w:trPr>
            <w:tc>
              <w:tcPr>
                <w:tcW w:w="3566" w:type="dxa"/>
                <w:vMerge/>
                <w:shd w:val="clear" w:color="auto" w:fill="F3F3F3"/>
              </w:tcPr>
              <w:p w14:paraId="4545D9E3"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p>
            </w:tc>
            <w:tc>
              <w:tcPr>
                <w:tcW w:w="3325" w:type="dxa"/>
                <w:shd w:val="clear" w:color="auto" w:fill="F3F3F3"/>
              </w:tcPr>
              <w:p w14:paraId="23C4A465"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Revenues estimated by the agency</w:t>
                </w:r>
              </w:p>
            </w:tc>
            <w:tc>
              <w:tcPr>
                <w:tcW w:w="3043" w:type="dxa"/>
                <w:shd w:val="clear" w:color="auto" w:fill="F3F3F3"/>
              </w:tcPr>
              <w:p w14:paraId="49E382BE" w14:textId="77777777" w:rsidR="0037069B" w:rsidRPr="00FF027F" w:rsidRDefault="0037069B" w:rsidP="0037069B">
                <w:pPr>
                  <w:spacing w:before="100" w:beforeAutospacing="1" w:after="100" w:afterAutospacing="1" w:line="240" w:lineRule="auto"/>
                  <w:jc w:val="center"/>
                  <w:rPr>
                    <w:rFonts w:ascii="Times New Roman" w:eastAsia="Times New Roman" w:hAnsi="Times New Roman" w:cs="Times New Roman"/>
                    <w:b/>
                    <w:sz w:val="18"/>
                    <w:szCs w:val="18"/>
                    <w:lang w:val="en-GB" w:eastAsia="en-GB"/>
                  </w:rPr>
                </w:pPr>
                <w:r w:rsidRPr="00FF027F">
                  <w:rPr>
                    <w:rFonts w:ascii="Times New Roman" w:eastAsia="Times New Roman" w:hAnsi="Times New Roman" w:cs="Times New Roman"/>
                    <w:b/>
                    <w:sz w:val="18"/>
                    <w:szCs w:val="18"/>
                    <w:lang w:val="en-GB" w:eastAsia="en-GB"/>
                  </w:rPr>
                  <w:t>Budget Forecast</w:t>
                </w:r>
              </w:p>
            </w:tc>
          </w:tr>
          <w:tr w:rsidR="0037069B" w:rsidRPr="00FF027F" w14:paraId="1E1C8C21" w14:textId="77777777" w:rsidTr="0020011A">
            <w:trPr>
              <w:trHeight w:val="285"/>
            </w:trPr>
            <w:tc>
              <w:tcPr>
                <w:tcW w:w="3566" w:type="dxa"/>
                <w:tcMar>
                  <w:left w:w="284" w:type="dxa"/>
                  <w:right w:w="284" w:type="dxa"/>
                </w:tcMar>
              </w:tcPr>
              <w:p w14:paraId="161153C7"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EU contribution</w:t>
                </w:r>
              </w:p>
            </w:tc>
            <w:tc>
              <w:tcPr>
                <w:tcW w:w="3325" w:type="dxa"/>
                <w:tcMar>
                  <w:left w:w="284" w:type="dxa"/>
                  <w:right w:w="284" w:type="dxa"/>
                </w:tcMar>
                <w:vAlign w:val="center"/>
              </w:tcPr>
              <w:p w14:paraId="31C7A8F3"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10 880 000</w:t>
                </w:r>
              </w:p>
            </w:tc>
            <w:tc>
              <w:tcPr>
                <w:tcW w:w="3043" w:type="dxa"/>
                <w:tcMar>
                  <w:left w:w="284" w:type="dxa"/>
                  <w:right w:w="284" w:type="dxa"/>
                </w:tcMar>
                <w:vAlign w:val="center"/>
              </w:tcPr>
              <w:p w14:paraId="53A939D5"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16 558 587</w:t>
                </w:r>
              </w:p>
            </w:tc>
          </w:tr>
          <w:tr w:rsidR="0037069B" w:rsidRPr="00FF027F" w14:paraId="7DE9AF9A" w14:textId="77777777" w:rsidTr="0020011A">
            <w:trPr>
              <w:trHeight w:val="285"/>
            </w:trPr>
            <w:tc>
              <w:tcPr>
                <w:tcW w:w="3566" w:type="dxa"/>
                <w:tcMar>
                  <w:left w:w="284" w:type="dxa"/>
                  <w:right w:w="284" w:type="dxa"/>
                </w:tcMar>
              </w:tcPr>
              <w:p w14:paraId="4838891B"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 xml:space="preserve">Additional EU funding: ad hoc grants and delegation agreements  </w:t>
                </w:r>
              </w:p>
            </w:tc>
            <w:tc>
              <w:tcPr>
                <w:tcW w:w="3325" w:type="dxa"/>
                <w:tcMar>
                  <w:left w:w="284" w:type="dxa"/>
                  <w:right w:w="284" w:type="dxa"/>
                </w:tcMar>
                <w:vAlign w:val="center"/>
              </w:tcPr>
              <w:p w14:paraId="3BF0B6B6"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0</w:t>
                </w:r>
              </w:p>
            </w:tc>
            <w:tc>
              <w:tcPr>
                <w:tcW w:w="3043" w:type="dxa"/>
                <w:tcMar>
                  <w:left w:w="284" w:type="dxa"/>
                  <w:right w:w="284" w:type="dxa"/>
                </w:tcMar>
                <w:vAlign w:val="center"/>
              </w:tcPr>
              <w:p w14:paraId="1C9E3F28"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0</w:t>
                </w:r>
              </w:p>
            </w:tc>
          </w:tr>
          <w:tr w:rsidR="0037069B" w:rsidRPr="00FF027F" w14:paraId="578BD537" w14:textId="77777777" w:rsidTr="0020011A">
            <w:trPr>
              <w:trHeight w:val="285"/>
            </w:trPr>
            <w:tc>
              <w:tcPr>
                <w:tcW w:w="3566" w:type="dxa"/>
                <w:tcMar>
                  <w:left w:w="284" w:type="dxa"/>
                  <w:right w:w="284" w:type="dxa"/>
                </w:tcMar>
              </w:tcPr>
              <w:p w14:paraId="0902B17E"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 xml:space="preserve">Other revenue </w:t>
                </w:r>
              </w:p>
            </w:tc>
            <w:tc>
              <w:tcPr>
                <w:tcW w:w="3325" w:type="dxa"/>
                <w:tcMar>
                  <w:left w:w="284" w:type="dxa"/>
                  <w:right w:w="284" w:type="dxa"/>
                </w:tcMar>
                <w:vAlign w:val="center"/>
              </w:tcPr>
              <w:p w14:paraId="475FDCB4"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0</w:t>
                </w:r>
              </w:p>
            </w:tc>
            <w:tc>
              <w:tcPr>
                <w:tcW w:w="3043" w:type="dxa"/>
                <w:tcMar>
                  <w:left w:w="284" w:type="dxa"/>
                  <w:right w:w="284" w:type="dxa"/>
                </w:tcMar>
                <w:vAlign w:val="center"/>
              </w:tcPr>
              <w:p w14:paraId="43A2CC7E" w14:textId="77777777" w:rsidR="0037069B" w:rsidRPr="00FF027F" w:rsidRDefault="0037069B" w:rsidP="0037069B">
                <w:pPr>
                  <w:spacing w:after="0" w:line="240" w:lineRule="auto"/>
                  <w:jc w:val="right"/>
                  <w:rPr>
                    <w:rFonts w:ascii="Times New Roman" w:eastAsia="Times New Roman" w:hAnsi="Times New Roman" w:cs="Times New Roman"/>
                    <w:sz w:val="18"/>
                    <w:szCs w:val="20"/>
                    <w:lang w:val="en-GB" w:eastAsia="en-GB"/>
                  </w:rPr>
                </w:pPr>
                <w:r w:rsidRPr="00FF027F">
                  <w:rPr>
                    <w:rFonts w:ascii="Times New Roman" w:eastAsia="Times New Roman" w:hAnsi="Times New Roman" w:cs="Times New Roman"/>
                    <w:sz w:val="18"/>
                    <w:szCs w:val="20"/>
                    <w:lang w:val="en-GB" w:eastAsia="en-GB"/>
                  </w:rPr>
                  <w:t>0</w:t>
                </w:r>
              </w:p>
            </w:tc>
          </w:tr>
          <w:tr w:rsidR="0037069B" w:rsidRPr="00FF027F" w14:paraId="03449512" w14:textId="77777777" w:rsidTr="0020011A">
            <w:trPr>
              <w:trHeight w:val="301"/>
            </w:trPr>
            <w:tc>
              <w:tcPr>
                <w:tcW w:w="3566" w:type="dxa"/>
                <w:shd w:val="clear" w:color="auto" w:fill="F3F3F3"/>
                <w:tcMar>
                  <w:left w:w="284" w:type="dxa"/>
                  <w:right w:w="284" w:type="dxa"/>
                </w:tcMar>
              </w:tcPr>
              <w:p w14:paraId="2A7F77D9" w14:textId="77777777" w:rsidR="0037069B" w:rsidRPr="00FF027F" w:rsidRDefault="0037069B" w:rsidP="0037069B">
                <w:pPr>
                  <w:spacing w:before="30" w:after="30" w:line="240" w:lineRule="auto"/>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Total revenues</w:t>
                </w:r>
              </w:p>
            </w:tc>
            <w:tc>
              <w:tcPr>
                <w:tcW w:w="3325" w:type="dxa"/>
                <w:shd w:val="clear" w:color="auto" w:fill="F3F3F3"/>
                <w:tcMar>
                  <w:left w:w="284" w:type="dxa"/>
                  <w:right w:w="284" w:type="dxa"/>
                </w:tcMar>
                <w:vAlign w:val="center"/>
              </w:tcPr>
              <w:p w14:paraId="772583A4"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10 880 000</w:t>
                </w:r>
              </w:p>
            </w:tc>
            <w:tc>
              <w:tcPr>
                <w:tcW w:w="3043" w:type="dxa"/>
                <w:shd w:val="clear" w:color="auto" w:fill="F3F3F3"/>
                <w:tcMar>
                  <w:left w:w="284" w:type="dxa"/>
                  <w:right w:w="284" w:type="dxa"/>
                </w:tcMar>
                <w:vAlign w:val="center"/>
              </w:tcPr>
              <w:p w14:paraId="7538132D" w14:textId="77777777" w:rsidR="0037069B" w:rsidRPr="00FF027F" w:rsidRDefault="0037069B" w:rsidP="0037069B">
                <w:pPr>
                  <w:spacing w:after="0" w:line="240" w:lineRule="auto"/>
                  <w:jc w:val="right"/>
                  <w:rPr>
                    <w:rFonts w:ascii="Times New Roman" w:eastAsia="Times New Roman" w:hAnsi="Times New Roman" w:cs="Times New Roman"/>
                    <w:b/>
                    <w:sz w:val="18"/>
                    <w:szCs w:val="20"/>
                    <w:lang w:val="en-GB" w:eastAsia="en-GB"/>
                  </w:rPr>
                </w:pPr>
                <w:r w:rsidRPr="00FF027F">
                  <w:rPr>
                    <w:rFonts w:ascii="Times New Roman" w:eastAsia="Times New Roman" w:hAnsi="Times New Roman" w:cs="Times New Roman"/>
                    <w:b/>
                    <w:sz w:val="18"/>
                    <w:szCs w:val="20"/>
                    <w:lang w:val="en-GB" w:eastAsia="en-GB"/>
                  </w:rPr>
                  <w:t>16 558 587</w:t>
                </w:r>
              </w:p>
            </w:tc>
          </w:tr>
        </w:tbl>
        <w:p w14:paraId="7917806B" w14:textId="77777777" w:rsidR="00277B71" w:rsidRPr="00FF027F" w:rsidRDefault="00277B71" w:rsidP="00277B71">
          <w:pPr>
            <w:keepNext/>
            <w:spacing w:before="240" w:after="60" w:line="240" w:lineRule="auto"/>
            <w:outlineLvl w:val="0"/>
            <w:rPr>
              <w:rFonts w:ascii="Verdana" w:eastAsia="Times New Roman" w:hAnsi="Verdana" w:cs="Times New Roman"/>
              <w:b/>
              <w:bCs/>
              <w:kern w:val="32"/>
              <w:sz w:val="18"/>
              <w:szCs w:val="18"/>
              <w:lang w:val="en-GB" w:eastAsia="en-GB"/>
            </w:rPr>
          </w:pPr>
        </w:p>
        <w:tbl>
          <w:tblPr>
            <w:tblW w:w="9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C0C0C0"/>
            <w:tblLayout w:type="fixed"/>
            <w:tblCellMar>
              <w:left w:w="113" w:type="dxa"/>
              <w:right w:w="227" w:type="dxa"/>
            </w:tblCellMar>
            <w:tblLook w:val="0000" w:firstRow="0" w:lastRow="0" w:firstColumn="0" w:lastColumn="0" w:noHBand="0" w:noVBand="0"/>
          </w:tblPr>
          <w:tblGrid>
            <w:gridCol w:w="2983"/>
            <w:gridCol w:w="1331"/>
            <w:gridCol w:w="1430"/>
            <w:gridCol w:w="1430"/>
            <w:gridCol w:w="1430"/>
            <w:gridCol w:w="1327"/>
          </w:tblGrid>
          <w:tr w:rsidR="0037069B" w:rsidRPr="00FF027F" w14:paraId="1C4A6791" w14:textId="77777777" w:rsidTr="00B67222">
            <w:trPr>
              <w:cantSplit/>
              <w:trHeight w:val="592"/>
              <w:tblHeader/>
            </w:trPr>
            <w:tc>
              <w:tcPr>
                <w:tcW w:w="1502" w:type="pct"/>
                <w:vMerge w:val="restart"/>
                <w:tcBorders>
                  <w:top w:val="single" w:sz="8" w:space="0" w:color="auto"/>
                  <w:left w:val="single" w:sz="8" w:space="0" w:color="auto"/>
                  <w:right w:val="single" w:sz="8" w:space="0" w:color="auto"/>
                </w:tcBorders>
                <w:shd w:val="clear" w:color="auto" w:fill="F3F3F3"/>
                <w:vAlign w:val="center"/>
              </w:tcPr>
              <w:p w14:paraId="15A68183" w14:textId="77777777" w:rsidR="0037069B" w:rsidRPr="00FF027F" w:rsidRDefault="0037069B" w:rsidP="000D3391">
                <w:pPr>
                  <w:pStyle w:val="agencestableauxchiffrestitre"/>
                </w:pPr>
                <w:r w:rsidRPr="00FF027F">
                  <w:t>REVENUES</w:t>
                </w:r>
              </w:p>
            </w:tc>
            <w:tc>
              <w:tcPr>
                <w:tcW w:w="670" w:type="pct"/>
                <w:tcBorders>
                  <w:top w:val="single" w:sz="8" w:space="0" w:color="auto"/>
                  <w:left w:val="single" w:sz="8" w:space="0" w:color="auto"/>
                  <w:bottom w:val="single" w:sz="6" w:space="0" w:color="auto"/>
                </w:tcBorders>
                <w:shd w:val="pct5" w:color="auto" w:fill="auto"/>
                <w:noWrap/>
                <w:vAlign w:val="center"/>
              </w:tcPr>
              <w:p w14:paraId="2FC333B7" w14:textId="77777777" w:rsidR="0037069B" w:rsidRPr="00FF027F" w:rsidRDefault="0037069B" w:rsidP="000D3391">
                <w:pPr>
                  <w:pStyle w:val="agencestableauxchiffrestitre"/>
                </w:pPr>
                <w:r w:rsidRPr="00FF027F">
                  <w:t>2013</w:t>
                </w:r>
              </w:p>
            </w:tc>
            <w:tc>
              <w:tcPr>
                <w:tcW w:w="720" w:type="pct"/>
                <w:tcBorders>
                  <w:top w:val="single" w:sz="8" w:space="0" w:color="auto"/>
                  <w:bottom w:val="single" w:sz="6" w:space="0" w:color="auto"/>
                </w:tcBorders>
                <w:shd w:val="pct5" w:color="auto" w:fill="auto"/>
                <w:noWrap/>
                <w:vAlign w:val="center"/>
              </w:tcPr>
              <w:p w14:paraId="6EA3C500" w14:textId="77777777" w:rsidR="0037069B" w:rsidRPr="00FF027F" w:rsidRDefault="0037069B" w:rsidP="000D3391">
                <w:pPr>
                  <w:pStyle w:val="agencestableauxchiffrestitre"/>
                </w:pPr>
                <w:r w:rsidRPr="00FF027F">
                  <w:t>2014</w:t>
                </w:r>
              </w:p>
            </w:tc>
            <w:tc>
              <w:tcPr>
                <w:tcW w:w="1440" w:type="pct"/>
                <w:gridSpan w:val="2"/>
                <w:tcBorders>
                  <w:top w:val="single" w:sz="8" w:space="0" w:color="auto"/>
                  <w:bottom w:val="single" w:sz="6" w:space="0" w:color="auto"/>
                  <w:right w:val="single" w:sz="8" w:space="0" w:color="auto"/>
                </w:tcBorders>
                <w:shd w:val="pct5" w:color="auto" w:fill="auto"/>
                <w:noWrap/>
                <w:vAlign w:val="center"/>
              </w:tcPr>
              <w:p w14:paraId="1BC982D2" w14:textId="77777777" w:rsidR="0037069B" w:rsidRPr="00FF027F" w:rsidRDefault="0037069B" w:rsidP="000D3391">
                <w:pPr>
                  <w:pStyle w:val="agencestableauxchiffrestitre"/>
                </w:pPr>
                <w:r w:rsidRPr="00FF027F">
                  <w:t>2015</w:t>
                </w:r>
              </w:p>
            </w:tc>
            <w:tc>
              <w:tcPr>
                <w:tcW w:w="668" w:type="pct"/>
                <w:vMerge w:val="restart"/>
                <w:tcBorders>
                  <w:top w:val="single" w:sz="8" w:space="0" w:color="auto"/>
                  <w:left w:val="single" w:sz="8" w:space="0" w:color="auto"/>
                  <w:right w:val="single" w:sz="8" w:space="0" w:color="auto"/>
                </w:tcBorders>
                <w:shd w:val="clear" w:color="auto" w:fill="F3F3F3"/>
                <w:noWrap/>
                <w:vAlign w:val="center"/>
              </w:tcPr>
              <w:p w14:paraId="1CAC6278" w14:textId="77777777" w:rsidR="0037069B" w:rsidRPr="00FF027F" w:rsidRDefault="0037069B" w:rsidP="000D3391">
                <w:pPr>
                  <w:pStyle w:val="agencestableauxchiffrestitre"/>
                </w:pPr>
                <w:r w:rsidRPr="00FF027F">
                  <w:t>VAR 2015 / 2014</w:t>
                </w:r>
              </w:p>
            </w:tc>
          </w:tr>
          <w:tr w:rsidR="0037069B" w:rsidRPr="00FF027F" w14:paraId="5980B120" w14:textId="77777777" w:rsidTr="00B67222">
            <w:trPr>
              <w:cantSplit/>
              <w:trHeight w:val="494"/>
              <w:tblHeader/>
            </w:trPr>
            <w:tc>
              <w:tcPr>
                <w:tcW w:w="1502" w:type="pct"/>
                <w:vMerge/>
                <w:tcBorders>
                  <w:left w:val="single" w:sz="8" w:space="0" w:color="auto"/>
                  <w:bottom w:val="single" w:sz="6" w:space="0" w:color="auto"/>
                  <w:right w:val="single" w:sz="8" w:space="0" w:color="auto"/>
                </w:tcBorders>
                <w:shd w:val="clear" w:color="auto" w:fill="F3F3F3"/>
                <w:vAlign w:val="center"/>
              </w:tcPr>
              <w:p w14:paraId="6D73F493" w14:textId="77777777" w:rsidR="0037069B" w:rsidRPr="00FF027F" w:rsidRDefault="0037069B" w:rsidP="000D3391">
                <w:pPr>
                  <w:pStyle w:val="Agencestableauchiffresfirstcol"/>
                </w:pPr>
              </w:p>
            </w:tc>
            <w:tc>
              <w:tcPr>
                <w:tcW w:w="670" w:type="pct"/>
                <w:tcBorders>
                  <w:top w:val="single" w:sz="6" w:space="0" w:color="auto"/>
                  <w:left w:val="single" w:sz="8" w:space="0" w:color="auto"/>
                  <w:bottom w:val="single" w:sz="6" w:space="0" w:color="auto"/>
                </w:tcBorders>
                <w:shd w:val="pct5" w:color="auto" w:fill="auto"/>
                <w:noWrap/>
                <w:vAlign w:val="center"/>
              </w:tcPr>
              <w:p w14:paraId="147A8F82" w14:textId="77777777" w:rsidR="0037069B" w:rsidRPr="00FF027F" w:rsidRDefault="0037069B" w:rsidP="003D32C4">
                <w:pPr>
                  <w:pStyle w:val="agencestableauxchiffrestitre"/>
                </w:pPr>
                <w:r w:rsidRPr="00FF027F">
                  <w:t xml:space="preserve">Executed Budget </w:t>
                </w:r>
              </w:p>
            </w:tc>
            <w:tc>
              <w:tcPr>
                <w:tcW w:w="720" w:type="pct"/>
                <w:tcBorders>
                  <w:top w:val="single" w:sz="6" w:space="0" w:color="auto"/>
                  <w:bottom w:val="single" w:sz="6" w:space="0" w:color="auto"/>
                </w:tcBorders>
                <w:shd w:val="pct5" w:color="auto" w:fill="auto"/>
                <w:noWrap/>
                <w:vAlign w:val="center"/>
              </w:tcPr>
              <w:p w14:paraId="3CE03B7A" w14:textId="77777777" w:rsidR="0037069B" w:rsidRPr="00FF027F" w:rsidRDefault="0037069B" w:rsidP="000D3391">
                <w:pPr>
                  <w:pStyle w:val="agencestableauxchiffrestitre"/>
                </w:pPr>
                <w:r w:rsidRPr="00FF027F">
                  <w:t>Revenues estimated by the agency</w:t>
                </w:r>
              </w:p>
            </w:tc>
            <w:tc>
              <w:tcPr>
                <w:tcW w:w="720" w:type="pct"/>
                <w:tcBorders>
                  <w:top w:val="single" w:sz="6" w:space="0" w:color="auto"/>
                  <w:bottom w:val="single" w:sz="6" w:space="0" w:color="auto"/>
                </w:tcBorders>
                <w:shd w:val="pct5" w:color="auto" w:fill="auto"/>
                <w:noWrap/>
                <w:vAlign w:val="center"/>
              </w:tcPr>
              <w:p w14:paraId="01569B94" w14:textId="77777777" w:rsidR="0037069B" w:rsidRPr="00FF027F" w:rsidRDefault="0037069B" w:rsidP="000D3391">
                <w:pPr>
                  <w:pStyle w:val="agencestableauxchiffrestitre"/>
                </w:pPr>
                <w:r w:rsidRPr="00FF027F">
                  <w:t>As requested by the agency</w:t>
                </w:r>
              </w:p>
            </w:tc>
            <w:tc>
              <w:tcPr>
                <w:tcW w:w="720" w:type="pct"/>
                <w:tcBorders>
                  <w:top w:val="single" w:sz="6" w:space="0" w:color="auto"/>
                  <w:bottom w:val="single" w:sz="6" w:space="0" w:color="auto"/>
                  <w:right w:val="single" w:sz="8" w:space="0" w:color="auto"/>
                </w:tcBorders>
                <w:shd w:val="pct5" w:color="auto" w:fill="auto"/>
                <w:noWrap/>
                <w:vAlign w:val="center"/>
              </w:tcPr>
              <w:p w14:paraId="729B3196" w14:textId="77777777" w:rsidR="0037069B" w:rsidRPr="00FF027F" w:rsidRDefault="0037069B" w:rsidP="000D3391">
                <w:pPr>
                  <w:pStyle w:val="agencestableauxchiffrestitre"/>
                </w:pPr>
                <w:r w:rsidRPr="00FF027F">
                  <w:t>Budget Forecast</w:t>
                </w:r>
              </w:p>
            </w:tc>
            <w:tc>
              <w:tcPr>
                <w:tcW w:w="668" w:type="pct"/>
                <w:vMerge/>
                <w:tcBorders>
                  <w:left w:val="single" w:sz="8" w:space="0" w:color="auto"/>
                  <w:bottom w:val="single" w:sz="6" w:space="0" w:color="auto"/>
                  <w:right w:val="single" w:sz="8" w:space="0" w:color="auto"/>
                </w:tcBorders>
                <w:shd w:val="clear" w:color="auto" w:fill="F3F3F3"/>
                <w:noWrap/>
                <w:vAlign w:val="center"/>
              </w:tcPr>
              <w:p w14:paraId="46CA49DE" w14:textId="77777777" w:rsidR="0037069B" w:rsidRPr="00FF027F" w:rsidRDefault="0037069B" w:rsidP="000D3391">
                <w:pPr>
                  <w:pStyle w:val="agencestableauxamount"/>
                </w:pPr>
              </w:p>
            </w:tc>
          </w:tr>
          <w:tr w:rsidR="0037069B" w:rsidRPr="00FF027F" w14:paraId="049619AB" w14:textId="77777777" w:rsidTr="00B67222">
            <w:trPr>
              <w:cantSplit/>
              <w:trHeight w:val="494"/>
            </w:trPr>
            <w:tc>
              <w:tcPr>
                <w:tcW w:w="1502" w:type="pct"/>
                <w:tcBorders>
                  <w:top w:val="single" w:sz="6" w:space="0" w:color="auto"/>
                  <w:left w:val="single" w:sz="8" w:space="0" w:color="auto"/>
                  <w:bottom w:val="single" w:sz="6" w:space="0" w:color="auto"/>
                  <w:right w:val="single" w:sz="8" w:space="0" w:color="auto"/>
                </w:tcBorders>
                <w:shd w:val="clear" w:color="auto" w:fill="F3F3F3"/>
                <w:vAlign w:val="center"/>
              </w:tcPr>
              <w:p w14:paraId="3917EC8C" w14:textId="77777777" w:rsidR="0037069B" w:rsidRPr="00FF027F" w:rsidRDefault="0037069B" w:rsidP="000D3391">
                <w:pPr>
                  <w:pStyle w:val="Agencestableauchiffresfirstcol"/>
                </w:pPr>
                <w:r w:rsidRPr="00FF027F">
                  <w:t>1 REVENUE FROM FEES AND CHARGES</w:t>
                </w:r>
              </w:p>
            </w:tc>
            <w:tc>
              <w:tcPr>
                <w:tcW w:w="670" w:type="pct"/>
                <w:tcBorders>
                  <w:top w:val="single" w:sz="6" w:space="0" w:color="auto"/>
                  <w:left w:val="single" w:sz="8" w:space="0" w:color="auto"/>
                  <w:bottom w:val="single" w:sz="6" w:space="0" w:color="auto"/>
                </w:tcBorders>
                <w:shd w:val="clear" w:color="auto" w:fill="auto"/>
                <w:noWrap/>
                <w:vAlign w:val="center"/>
              </w:tcPr>
              <w:p w14:paraId="65DA7B1E" w14:textId="77777777" w:rsidR="0037069B" w:rsidRPr="00FF027F" w:rsidRDefault="0037069B" w:rsidP="000D3391">
                <w:pPr>
                  <w:pStyle w:val="agencestableauxamount"/>
                </w:pPr>
              </w:p>
            </w:tc>
            <w:tc>
              <w:tcPr>
                <w:tcW w:w="720" w:type="pct"/>
                <w:tcBorders>
                  <w:top w:val="single" w:sz="6" w:space="0" w:color="auto"/>
                  <w:bottom w:val="single" w:sz="6" w:space="0" w:color="auto"/>
                </w:tcBorders>
                <w:shd w:val="clear" w:color="auto" w:fill="auto"/>
                <w:noWrap/>
                <w:vAlign w:val="center"/>
              </w:tcPr>
              <w:p w14:paraId="09B219F3" w14:textId="77777777" w:rsidR="0037069B" w:rsidRPr="00FF027F" w:rsidRDefault="0037069B" w:rsidP="000D3391">
                <w:pPr>
                  <w:pStyle w:val="agencestableauxamount"/>
                </w:pPr>
              </w:p>
            </w:tc>
            <w:tc>
              <w:tcPr>
                <w:tcW w:w="720" w:type="pct"/>
                <w:tcBorders>
                  <w:top w:val="single" w:sz="6" w:space="0" w:color="auto"/>
                  <w:bottom w:val="single" w:sz="6" w:space="0" w:color="auto"/>
                </w:tcBorders>
                <w:shd w:val="clear" w:color="auto" w:fill="auto"/>
                <w:noWrap/>
                <w:vAlign w:val="center"/>
              </w:tcPr>
              <w:p w14:paraId="109A2FE9" w14:textId="77777777" w:rsidR="0037069B" w:rsidRPr="00FF027F" w:rsidRDefault="0037069B" w:rsidP="000D3391">
                <w:pPr>
                  <w:pStyle w:val="agencestableauxamount"/>
                </w:pPr>
              </w:p>
            </w:tc>
            <w:tc>
              <w:tcPr>
                <w:tcW w:w="720" w:type="pct"/>
                <w:tcBorders>
                  <w:top w:val="single" w:sz="6" w:space="0" w:color="auto"/>
                  <w:bottom w:val="single" w:sz="6" w:space="0" w:color="auto"/>
                  <w:right w:val="single" w:sz="8" w:space="0" w:color="auto"/>
                </w:tcBorders>
                <w:shd w:val="clear" w:color="auto" w:fill="auto"/>
                <w:noWrap/>
                <w:vAlign w:val="center"/>
              </w:tcPr>
              <w:p w14:paraId="062CACB4" w14:textId="77777777" w:rsidR="0037069B" w:rsidRPr="00FF027F" w:rsidRDefault="0037069B" w:rsidP="000D3391">
                <w:pPr>
                  <w:pStyle w:val="agencestableauxamount"/>
                </w:pPr>
              </w:p>
            </w:tc>
            <w:tc>
              <w:tcPr>
                <w:tcW w:w="668" w:type="pct"/>
                <w:tcBorders>
                  <w:top w:val="single" w:sz="6" w:space="0" w:color="auto"/>
                  <w:left w:val="single" w:sz="8" w:space="0" w:color="auto"/>
                  <w:bottom w:val="single" w:sz="6" w:space="0" w:color="auto"/>
                  <w:right w:val="single" w:sz="8" w:space="0" w:color="auto"/>
                </w:tcBorders>
                <w:shd w:val="clear" w:color="auto" w:fill="F3F3F3"/>
                <w:noWrap/>
                <w:vAlign w:val="center"/>
              </w:tcPr>
              <w:p w14:paraId="7AEA2B8F" w14:textId="77777777" w:rsidR="0037069B" w:rsidRPr="00FF027F" w:rsidRDefault="0037069B" w:rsidP="000D3391">
                <w:pPr>
                  <w:pStyle w:val="agencestableauxamount"/>
                </w:pPr>
              </w:p>
            </w:tc>
          </w:tr>
          <w:tr w:rsidR="0037069B" w:rsidRPr="00FF027F" w14:paraId="48347905" w14:textId="77777777" w:rsidTr="00B67222">
            <w:trPr>
              <w:cantSplit/>
              <w:trHeight w:val="494"/>
            </w:trPr>
            <w:tc>
              <w:tcPr>
                <w:tcW w:w="1502" w:type="pct"/>
                <w:tcBorders>
                  <w:top w:val="single" w:sz="6" w:space="0" w:color="auto"/>
                  <w:left w:val="single" w:sz="8" w:space="0" w:color="auto"/>
                  <w:bottom w:val="single" w:sz="6" w:space="0" w:color="auto"/>
                  <w:right w:val="single" w:sz="8" w:space="0" w:color="auto"/>
                </w:tcBorders>
                <w:shd w:val="clear" w:color="auto" w:fill="F3F3F3"/>
                <w:vAlign w:val="center"/>
              </w:tcPr>
              <w:p w14:paraId="0D636D65" w14:textId="77777777" w:rsidR="0037069B" w:rsidRPr="00FF027F" w:rsidRDefault="0037069B" w:rsidP="000D3391">
                <w:pPr>
                  <w:pStyle w:val="Agencestableauchiffresfirstcol"/>
                </w:pPr>
                <w:r w:rsidRPr="00FF027F">
                  <w:t>2 EU CONTRIBUTION</w:t>
                </w:r>
              </w:p>
            </w:tc>
            <w:tc>
              <w:tcPr>
                <w:tcW w:w="670" w:type="pct"/>
                <w:tcBorders>
                  <w:top w:val="single" w:sz="6" w:space="0" w:color="auto"/>
                  <w:left w:val="single" w:sz="8" w:space="0" w:color="auto"/>
                  <w:bottom w:val="single" w:sz="6" w:space="0" w:color="auto"/>
                </w:tcBorders>
                <w:shd w:val="clear" w:color="auto" w:fill="auto"/>
                <w:noWrap/>
                <w:vAlign w:val="center"/>
              </w:tcPr>
              <w:p w14:paraId="3A687EFA" w14:textId="77777777" w:rsidR="0037069B" w:rsidRPr="00FF027F" w:rsidRDefault="0037069B" w:rsidP="000D3391">
                <w:pPr>
                  <w:pStyle w:val="agencestableauxamount"/>
                </w:pPr>
                <w:r w:rsidRPr="00FF027F">
                  <w:t>10 065 412</w:t>
                </w:r>
              </w:p>
            </w:tc>
            <w:tc>
              <w:tcPr>
                <w:tcW w:w="720" w:type="pct"/>
                <w:tcBorders>
                  <w:top w:val="single" w:sz="6" w:space="0" w:color="auto"/>
                  <w:bottom w:val="single" w:sz="6" w:space="0" w:color="auto"/>
                </w:tcBorders>
                <w:shd w:val="clear" w:color="auto" w:fill="auto"/>
                <w:noWrap/>
                <w:vAlign w:val="center"/>
              </w:tcPr>
              <w:p w14:paraId="55DC1B01" w14:textId="77777777" w:rsidR="0037069B" w:rsidRPr="00FF027F" w:rsidRDefault="0037069B" w:rsidP="000D3391">
                <w:pPr>
                  <w:pStyle w:val="agencestableauxamount"/>
                </w:pPr>
                <w:r w:rsidRPr="00FF027F">
                  <w:t>10 188 000</w:t>
                </w:r>
              </w:p>
            </w:tc>
            <w:tc>
              <w:tcPr>
                <w:tcW w:w="720" w:type="pct"/>
                <w:tcBorders>
                  <w:top w:val="single" w:sz="6" w:space="0" w:color="auto"/>
                  <w:bottom w:val="single" w:sz="6" w:space="0" w:color="auto"/>
                </w:tcBorders>
                <w:shd w:val="clear" w:color="auto" w:fill="auto"/>
                <w:noWrap/>
                <w:vAlign w:val="center"/>
              </w:tcPr>
              <w:p w14:paraId="7804DB90" w14:textId="77777777" w:rsidR="0037069B" w:rsidRPr="00FF027F" w:rsidRDefault="0037069B" w:rsidP="000D3391">
                <w:pPr>
                  <w:pStyle w:val="agencestableauxamount"/>
                </w:pPr>
                <w:r w:rsidRPr="00FF027F">
                  <w:t>16 142 663</w:t>
                </w:r>
              </w:p>
            </w:tc>
            <w:tc>
              <w:tcPr>
                <w:tcW w:w="720" w:type="pct"/>
                <w:tcBorders>
                  <w:top w:val="single" w:sz="6" w:space="0" w:color="auto"/>
                  <w:bottom w:val="single" w:sz="6" w:space="0" w:color="auto"/>
                  <w:right w:val="single" w:sz="8" w:space="0" w:color="auto"/>
                </w:tcBorders>
                <w:shd w:val="clear" w:color="auto" w:fill="auto"/>
                <w:noWrap/>
                <w:vAlign w:val="center"/>
              </w:tcPr>
              <w:p w14:paraId="6D681A39" w14:textId="77777777" w:rsidR="0037069B" w:rsidRPr="00FF027F" w:rsidRDefault="0037069B" w:rsidP="000D3391">
                <w:pPr>
                  <w:pStyle w:val="agencestableauxamount"/>
                </w:pPr>
                <w:r w:rsidRPr="00FF027F">
                  <w:t>15 128 111</w:t>
                </w:r>
              </w:p>
            </w:tc>
            <w:tc>
              <w:tcPr>
                <w:tcW w:w="668" w:type="pct"/>
                <w:tcBorders>
                  <w:top w:val="single" w:sz="6" w:space="0" w:color="auto"/>
                  <w:left w:val="single" w:sz="8" w:space="0" w:color="auto"/>
                  <w:bottom w:val="single" w:sz="6" w:space="0" w:color="auto"/>
                  <w:right w:val="single" w:sz="8" w:space="0" w:color="auto"/>
                </w:tcBorders>
                <w:shd w:val="clear" w:color="auto" w:fill="F3F3F3"/>
                <w:noWrap/>
                <w:vAlign w:val="center"/>
              </w:tcPr>
              <w:p w14:paraId="4DC2E0BC" w14:textId="77777777" w:rsidR="0037069B" w:rsidRPr="00FF027F" w:rsidRDefault="0037069B" w:rsidP="000D3391">
                <w:pPr>
                  <w:pStyle w:val="agencestableauxamount"/>
                </w:pPr>
                <w:r w:rsidRPr="00FF027F">
                  <w:t>58,44%</w:t>
                </w:r>
              </w:p>
            </w:tc>
          </w:tr>
          <w:tr w:rsidR="0037069B" w:rsidRPr="00FF027F" w14:paraId="01AF93E7" w14:textId="77777777" w:rsidTr="00B67222">
            <w:trPr>
              <w:cantSplit/>
              <w:trHeight w:val="621"/>
            </w:trPr>
            <w:tc>
              <w:tcPr>
                <w:tcW w:w="1502" w:type="pct"/>
                <w:tcBorders>
                  <w:top w:val="dotted" w:sz="4" w:space="0" w:color="auto"/>
                  <w:left w:val="single" w:sz="8" w:space="0" w:color="auto"/>
                  <w:right w:val="single" w:sz="8" w:space="0" w:color="auto"/>
                </w:tcBorders>
                <w:shd w:val="clear" w:color="auto" w:fill="F3F3F3"/>
                <w:vAlign w:val="center"/>
              </w:tcPr>
              <w:p w14:paraId="20137DCD" w14:textId="77777777" w:rsidR="0037069B" w:rsidRPr="00FF027F" w:rsidRDefault="0037069B" w:rsidP="000D3391">
                <w:pPr>
                  <w:pStyle w:val="Agencestableauchiffresfirstcol"/>
                </w:pPr>
                <w:r w:rsidRPr="00FF027F">
                  <w:rPr>
                    <w:b w:val="0"/>
                  </w:rPr>
                  <w:t>-</w:t>
                </w:r>
                <w:r w:rsidRPr="00FF027F">
                  <w:t xml:space="preserve"> Of which assigned revenues deriving from previous years' surpluses</w:t>
                </w:r>
              </w:p>
            </w:tc>
            <w:tc>
              <w:tcPr>
                <w:tcW w:w="670" w:type="pct"/>
                <w:tcBorders>
                  <w:top w:val="dotted" w:sz="4" w:space="0" w:color="auto"/>
                  <w:left w:val="single" w:sz="8" w:space="0" w:color="auto"/>
                  <w:bottom w:val="single" w:sz="6" w:space="0" w:color="auto"/>
                </w:tcBorders>
                <w:shd w:val="clear" w:color="auto" w:fill="auto"/>
                <w:noWrap/>
                <w:vAlign w:val="center"/>
              </w:tcPr>
              <w:p w14:paraId="26CDD1CE" w14:textId="77777777" w:rsidR="0037069B" w:rsidRPr="00FF027F" w:rsidRDefault="0037069B" w:rsidP="000D3391">
                <w:pPr>
                  <w:pStyle w:val="agencestableauxamount"/>
                </w:pPr>
                <w:r w:rsidRPr="00FF027F">
                  <w:t>1 571 425</w:t>
                </w:r>
              </w:p>
            </w:tc>
            <w:tc>
              <w:tcPr>
                <w:tcW w:w="720" w:type="pct"/>
                <w:tcBorders>
                  <w:top w:val="dotted" w:sz="4" w:space="0" w:color="auto"/>
                  <w:bottom w:val="single" w:sz="6" w:space="0" w:color="auto"/>
                </w:tcBorders>
                <w:shd w:val="clear" w:color="auto" w:fill="auto"/>
                <w:noWrap/>
                <w:vAlign w:val="center"/>
              </w:tcPr>
              <w:p w14:paraId="40F68562" w14:textId="77777777" w:rsidR="0037069B" w:rsidRPr="00FF027F" w:rsidRDefault="0037069B" w:rsidP="000D3391">
                <w:pPr>
                  <w:pStyle w:val="agencestableauxamount"/>
                </w:pPr>
                <w:r w:rsidRPr="00FF027F">
                  <w:t>692.000</w:t>
                </w:r>
              </w:p>
            </w:tc>
            <w:tc>
              <w:tcPr>
                <w:tcW w:w="720" w:type="pct"/>
                <w:tcBorders>
                  <w:top w:val="dotted" w:sz="4" w:space="0" w:color="auto"/>
                  <w:bottom w:val="single" w:sz="6" w:space="0" w:color="auto"/>
                </w:tcBorders>
                <w:shd w:val="clear" w:color="auto" w:fill="auto"/>
                <w:noWrap/>
                <w:vAlign w:val="center"/>
              </w:tcPr>
              <w:p w14:paraId="4C67C742" w14:textId="77777777" w:rsidR="0037069B" w:rsidRPr="00FF027F" w:rsidRDefault="0037069B" w:rsidP="000D3391">
                <w:pPr>
                  <w:pStyle w:val="agencestableauxamount"/>
                </w:pPr>
                <w:r w:rsidRPr="00FF027F">
                  <w:t>415 924</w:t>
                </w:r>
              </w:p>
            </w:tc>
            <w:tc>
              <w:tcPr>
                <w:tcW w:w="720" w:type="pct"/>
                <w:tcBorders>
                  <w:top w:val="dotted" w:sz="4" w:space="0" w:color="auto"/>
                  <w:bottom w:val="single" w:sz="6" w:space="0" w:color="auto"/>
                  <w:right w:val="single" w:sz="8" w:space="0" w:color="auto"/>
                </w:tcBorders>
                <w:shd w:val="clear" w:color="auto" w:fill="auto"/>
                <w:noWrap/>
                <w:vAlign w:val="center"/>
              </w:tcPr>
              <w:p w14:paraId="445413D5" w14:textId="77777777" w:rsidR="0037069B" w:rsidRPr="00FF027F" w:rsidRDefault="0037069B" w:rsidP="000D3391">
                <w:pPr>
                  <w:pStyle w:val="agencestableauxamount"/>
                </w:pPr>
                <w:r w:rsidRPr="00FF027F">
                  <w:t>415 924</w:t>
                </w:r>
              </w:p>
            </w:tc>
            <w:tc>
              <w:tcPr>
                <w:tcW w:w="668" w:type="pct"/>
                <w:tcBorders>
                  <w:top w:val="dotted" w:sz="4" w:space="0" w:color="auto"/>
                  <w:left w:val="single" w:sz="8" w:space="0" w:color="auto"/>
                  <w:right w:val="single" w:sz="8" w:space="0" w:color="auto"/>
                </w:tcBorders>
                <w:shd w:val="clear" w:color="auto" w:fill="F3F3F3"/>
                <w:noWrap/>
                <w:vAlign w:val="center"/>
              </w:tcPr>
              <w:p w14:paraId="68899896" w14:textId="77777777" w:rsidR="0037069B" w:rsidRPr="00FF027F" w:rsidRDefault="0037069B" w:rsidP="000D3391">
                <w:pPr>
                  <w:pStyle w:val="agencestableauxamount"/>
                </w:pPr>
                <w:r w:rsidRPr="00FF027F">
                  <w:t>-39,90%</w:t>
                </w:r>
              </w:p>
            </w:tc>
          </w:tr>
          <w:tr w:rsidR="0037069B" w:rsidRPr="00FF027F" w14:paraId="6F7FB4A7" w14:textId="77777777" w:rsidTr="00B67222">
            <w:trPr>
              <w:cantSplit/>
              <w:trHeight w:val="452"/>
            </w:trPr>
            <w:tc>
              <w:tcPr>
                <w:tcW w:w="1502" w:type="pct"/>
                <w:tcBorders>
                  <w:top w:val="single" w:sz="8" w:space="0" w:color="auto"/>
                  <w:left w:val="single" w:sz="8" w:space="0" w:color="auto"/>
                  <w:bottom w:val="single" w:sz="8" w:space="0" w:color="auto"/>
                  <w:right w:val="single" w:sz="8" w:space="0" w:color="auto"/>
                </w:tcBorders>
                <w:shd w:val="clear" w:color="auto" w:fill="F3F3F3"/>
                <w:noWrap/>
                <w:vAlign w:val="center"/>
              </w:tcPr>
              <w:p w14:paraId="47C9BD7D" w14:textId="77777777" w:rsidR="0037069B" w:rsidRPr="00FF027F" w:rsidRDefault="0037069B" w:rsidP="000D3391">
                <w:pPr>
                  <w:pStyle w:val="Agencestableauchiffresfirstcol"/>
                </w:pPr>
                <w:r w:rsidRPr="00FF027F">
                  <w:t>TOTAL REVENUES</w:t>
                </w:r>
              </w:p>
            </w:tc>
            <w:tc>
              <w:tcPr>
                <w:tcW w:w="670" w:type="pct"/>
                <w:tcBorders>
                  <w:top w:val="single" w:sz="8" w:space="0" w:color="auto"/>
                  <w:left w:val="single" w:sz="8" w:space="0" w:color="auto"/>
                  <w:bottom w:val="single" w:sz="8" w:space="0" w:color="auto"/>
                </w:tcBorders>
                <w:shd w:val="clear" w:color="auto" w:fill="F3F3F3"/>
                <w:noWrap/>
                <w:vAlign w:val="center"/>
              </w:tcPr>
              <w:p w14:paraId="21774393" w14:textId="77777777" w:rsidR="0037069B" w:rsidRPr="00FF027F" w:rsidRDefault="0037069B" w:rsidP="000D3391">
                <w:pPr>
                  <w:pStyle w:val="agencestableauxamounttot"/>
                </w:pPr>
                <w:r w:rsidRPr="00FF027F">
                  <w:t>11 636 837</w:t>
                </w:r>
              </w:p>
            </w:tc>
            <w:tc>
              <w:tcPr>
                <w:tcW w:w="720" w:type="pct"/>
                <w:tcBorders>
                  <w:top w:val="single" w:sz="8" w:space="0" w:color="auto"/>
                  <w:bottom w:val="single" w:sz="8" w:space="0" w:color="auto"/>
                </w:tcBorders>
                <w:shd w:val="clear" w:color="auto" w:fill="F3F3F3"/>
                <w:noWrap/>
                <w:vAlign w:val="center"/>
              </w:tcPr>
              <w:p w14:paraId="77681CBD" w14:textId="77777777" w:rsidR="0037069B" w:rsidRPr="00FF027F" w:rsidRDefault="0037069B" w:rsidP="000D3391">
                <w:pPr>
                  <w:pStyle w:val="agencestableauxamounttot"/>
                </w:pPr>
                <w:r w:rsidRPr="00FF027F">
                  <w:t>10 880 000</w:t>
                </w:r>
              </w:p>
            </w:tc>
            <w:tc>
              <w:tcPr>
                <w:tcW w:w="720" w:type="pct"/>
                <w:tcBorders>
                  <w:top w:val="single" w:sz="8" w:space="0" w:color="auto"/>
                  <w:bottom w:val="single" w:sz="8" w:space="0" w:color="auto"/>
                </w:tcBorders>
                <w:shd w:val="clear" w:color="auto" w:fill="F3F3F3"/>
                <w:noWrap/>
                <w:vAlign w:val="center"/>
              </w:tcPr>
              <w:p w14:paraId="702383A8" w14:textId="77777777" w:rsidR="0037069B" w:rsidRPr="00FF027F" w:rsidRDefault="0037069B" w:rsidP="000D3391">
                <w:pPr>
                  <w:pStyle w:val="agencestableauxamounttot"/>
                </w:pPr>
                <w:r w:rsidRPr="00FF027F">
                  <w:t>16 558 587</w:t>
                </w:r>
              </w:p>
            </w:tc>
            <w:tc>
              <w:tcPr>
                <w:tcW w:w="720" w:type="pct"/>
                <w:tcBorders>
                  <w:top w:val="single" w:sz="8" w:space="0" w:color="auto"/>
                  <w:bottom w:val="single" w:sz="8" w:space="0" w:color="auto"/>
                </w:tcBorders>
                <w:shd w:val="clear" w:color="auto" w:fill="F3F3F3"/>
                <w:noWrap/>
                <w:vAlign w:val="center"/>
              </w:tcPr>
              <w:p w14:paraId="1D7EADC2" w14:textId="77777777" w:rsidR="0037069B" w:rsidRPr="00FF027F" w:rsidRDefault="0037069B" w:rsidP="000D3391">
                <w:pPr>
                  <w:pStyle w:val="agencestableauxamounttot"/>
                </w:pPr>
                <w:r w:rsidRPr="00FF027F">
                  <w:t>15 544 035</w:t>
                </w:r>
              </w:p>
            </w:tc>
            <w:tc>
              <w:tcPr>
                <w:tcW w:w="668" w:type="pct"/>
                <w:tcBorders>
                  <w:top w:val="single" w:sz="8" w:space="0" w:color="auto"/>
                  <w:bottom w:val="single" w:sz="8" w:space="0" w:color="auto"/>
                  <w:right w:val="single" w:sz="8" w:space="0" w:color="auto"/>
                </w:tcBorders>
                <w:shd w:val="clear" w:color="auto" w:fill="F3F3F3"/>
                <w:noWrap/>
                <w:vAlign w:val="center"/>
              </w:tcPr>
              <w:p w14:paraId="1FDCAA58" w14:textId="77777777" w:rsidR="0037069B" w:rsidRPr="00FF027F" w:rsidRDefault="0037069B" w:rsidP="000D3391">
                <w:pPr>
                  <w:pStyle w:val="agencestableauxamounttot"/>
                </w:pPr>
                <w:r w:rsidRPr="00FF027F">
                  <w:t>52,19%</w:t>
                </w:r>
              </w:p>
            </w:tc>
          </w:tr>
        </w:tbl>
        <w:p w14:paraId="3A169543" w14:textId="77777777" w:rsidR="00BF0B99" w:rsidRPr="00FF027F" w:rsidRDefault="00BF0B99" w:rsidP="00B30F57">
          <w:pPr>
            <w:keepNext/>
            <w:spacing w:before="240" w:after="60" w:line="240" w:lineRule="auto"/>
            <w:outlineLvl w:val="0"/>
            <w:rPr>
              <w:rFonts w:ascii="Verdana" w:eastAsia="Times New Roman" w:hAnsi="Verdana" w:cs="Times New Roman"/>
              <w:b/>
              <w:bCs/>
              <w:kern w:val="32"/>
              <w:sz w:val="18"/>
              <w:szCs w:val="18"/>
              <w:lang w:val="en-GB" w:eastAsia="en-GB"/>
            </w:rPr>
          </w:pPr>
        </w:p>
        <w:p w14:paraId="0F68FFDD" w14:textId="77777777" w:rsidR="00544C04" w:rsidRPr="00FF027F" w:rsidRDefault="00B30F57" w:rsidP="00544C04">
          <w:pPr>
            <w:pStyle w:val="Heading2"/>
            <w:numPr>
              <w:ilvl w:val="0"/>
              <w:numId w:val="0"/>
            </w:numPr>
            <w:ind w:left="90"/>
            <w:rPr>
              <w:lang w:eastAsia="en-GB"/>
            </w:rPr>
          </w:pPr>
          <w:bookmarkStart w:id="126" w:name="_Toc396913811"/>
          <w:r w:rsidRPr="00FF027F">
            <w:rPr>
              <w:lang w:eastAsia="en-GB"/>
            </w:rPr>
            <w:t xml:space="preserve">Table 3 </w:t>
          </w:r>
          <w:r w:rsidR="00DF7B7F" w:rsidRPr="00FF027F">
            <w:rPr>
              <w:lang w:eastAsia="en-GB"/>
            </w:rPr>
            <w:t xml:space="preserve">- </w:t>
          </w:r>
          <w:r w:rsidRPr="00FF027F">
            <w:rPr>
              <w:lang w:eastAsia="en-GB"/>
            </w:rPr>
            <w:t>Budget outturn and cancellation of appropriations</w:t>
          </w:r>
          <w:bookmarkEnd w:id="126"/>
          <w:r w:rsidR="001F6927" w:rsidRPr="00FF027F">
            <w:rPr>
              <w:lang w:eastAsia="en-GB"/>
            </w:rPr>
            <w:t xml:space="preserve"> </w:t>
          </w:r>
        </w:p>
        <w:p w14:paraId="3206071A" w14:textId="77777777" w:rsidR="00B30F57" w:rsidRPr="00FF027F" w:rsidRDefault="00B30F57" w:rsidP="00A334C2">
          <w:pPr>
            <w:pStyle w:val="11ptVerdanaBold"/>
          </w:pPr>
          <w:r w:rsidRPr="00FF027F">
            <w:t xml:space="preserve">Calculation budget outturn </w:t>
          </w:r>
        </w:p>
        <w:p w14:paraId="2C4B500E" w14:textId="77777777" w:rsidR="00B30F57" w:rsidRPr="00FF027F" w:rsidRDefault="00B30F57" w:rsidP="00B30F57">
          <w:pPr>
            <w:keepNext/>
            <w:spacing w:before="120" w:after="120" w:line="240" w:lineRule="auto"/>
            <w:rPr>
              <w:rFonts w:ascii="Verdana" w:eastAsia="Times New Roman" w:hAnsi="Verdana" w:cs="Times New Roman"/>
              <w:b/>
              <w:i/>
              <w:sz w:val="18"/>
              <w:szCs w:val="18"/>
              <w:lang w:val="en-GB" w:eastAsia="en-GB"/>
            </w:rPr>
          </w:pPr>
        </w:p>
        <w:tbl>
          <w:tblPr>
            <w:tblW w:w="9291" w:type="dxa"/>
            <w:tblLayout w:type="fixed"/>
            <w:tblCellMar>
              <w:left w:w="142" w:type="dxa"/>
              <w:right w:w="284" w:type="dxa"/>
            </w:tblCellMar>
            <w:tblLook w:val="0000" w:firstRow="0" w:lastRow="0" w:firstColumn="0" w:lastColumn="0" w:noHBand="0" w:noVBand="0"/>
          </w:tblPr>
          <w:tblGrid>
            <w:gridCol w:w="4587"/>
            <w:gridCol w:w="1568"/>
            <w:gridCol w:w="1568"/>
            <w:gridCol w:w="1568"/>
          </w:tblGrid>
          <w:tr w:rsidR="00B30F57" w:rsidRPr="00FF027F" w14:paraId="76FD7661" w14:textId="77777777" w:rsidTr="000811F7">
            <w:trPr>
              <w:cantSplit/>
              <w:trHeight w:val="293"/>
              <w:tblHeader/>
            </w:trPr>
            <w:tc>
              <w:tcPr>
                <w:tcW w:w="4587" w:type="dxa"/>
                <w:tcBorders>
                  <w:top w:val="single" w:sz="8" w:space="0" w:color="auto"/>
                  <w:left w:val="single" w:sz="8" w:space="0" w:color="auto"/>
                  <w:bottom w:val="single" w:sz="8" w:space="0" w:color="auto"/>
                  <w:right w:val="single" w:sz="8" w:space="0" w:color="auto"/>
                </w:tcBorders>
                <w:shd w:val="clear" w:color="auto" w:fill="F3F3F3"/>
                <w:noWrap/>
                <w:vAlign w:val="bottom"/>
              </w:tcPr>
              <w:p w14:paraId="604AFA3B" w14:textId="77777777" w:rsidR="00B30F57" w:rsidRPr="00FF027F" w:rsidRDefault="00B30F57" w:rsidP="00B30F57">
                <w:pPr>
                  <w:spacing w:before="100" w:beforeAutospacing="1" w:after="100" w:afterAutospacing="1" w:line="240" w:lineRule="auto"/>
                  <w:jc w:val="center"/>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Budget outturn</w:t>
                </w:r>
              </w:p>
            </w:tc>
            <w:tc>
              <w:tcPr>
                <w:tcW w:w="1568" w:type="dxa"/>
                <w:tcBorders>
                  <w:top w:val="single" w:sz="8" w:space="0" w:color="auto"/>
                  <w:left w:val="nil"/>
                  <w:bottom w:val="single" w:sz="8" w:space="0" w:color="auto"/>
                  <w:right w:val="single" w:sz="8" w:space="0" w:color="auto"/>
                </w:tcBorders>
                <w:shd w:val="clear" w:color="auto" w:fill="F3F3F3"/>
                <w:noWrap/>
                <w:vAlign w:val="bottom"/>
              </w:tcPr>
              <w:p w14:paraId="376E9EC6" w14:textId="77777777" w:rsidR="00B30F57" w:rsidRPr="00FF027F" w:rsidRDefault="00C93F4A" w:rsidP="00B30F57">
                <w:pPr>
                  <w:spacing w:before="100" w:beforeAutospacing="1" w:after="100" w:afterAutospacing="1" w:line="240" w:lineRule="auto"/>
                  <w:jc w:val="center"/>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2011</w:t>
                </w:r>
              </w:p>
            </w:tc>
            <w:tc>
              <w:tcPr>
                <w:tcW w:w="1568" w:type="dxa"/>
                <w:tcBorders>
                  <w:top w:val="single" w:sz="8" w:space="0" w:color="auto"/>
                  <w:left w:val="nil"/>
                  <w:bottom w:val="single" w:sz="8" w:space="0" w:color="auto"/>
                  <w:right w:val="single" w:sz="8" w:space="0" w:color="auto"/>
                </w:tcBorders>
                <w:shd w:val="clear" w:color="auto" w:fill="F3F3F3"/>
                <w:noWrap/>
                <w:vAlign w:val="bottom"/>
              </w:tcPr>
              <w:p w14:paraId="29CDD6A4" w14:textId="77777777" w:rsidR="00B30F57" w:rsidRPr="00FF027F" w:rsidRDefault="00C93F4A" w:rsidP="00B30F57">
                <w:pPr>
                  <w:spacing w:before="100" w:beforeAutospacing="1" w:after="100" w:afterAutospacing="1" w:line="240" w:lineRule="auto"/>
                  <w:jc w:val="center"/>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2012</w:t>
                </w:r>
              </w:p>
            </w:tc>
            <w:tc>
              <w:tcPr>
                <w:tcW w:w="1568" w:type="dxa"/>
                <w:tcBorders>
                  <w:top w:val="single" w:sz="8" w:space="0" w:color="auto"/>
                  <w:left w:val="nil"/>
                  <w:bottom w:val="single" w:sz="8" w:space="0" w:color="auto"/>
                  <w:right w:val="single" w:sz="8" w:space="0" w:color="auto"/>
                </w:tcBorders>
                <w:shd w:val="clear" w:color="auto" w:fill="F3F3F3"/>
                <w:noWrap/>
                <w:vAlign w:val="bottom"/>
              </w:tcPr>
              <w:p w14:paraId="58B01AB5" w14:textId="77777777" w:rsidR="00B30F57" w:rsidRPr="00FF027F" w:rsidRDefault="00C93F4A" w:rsidP="00B30F57">
                <w:pPr>
                  <w:spacing w:before="100" w:beforeAutospacing="1" w:after="100" w:afterAutospacing="1" w:line="240" w:lineRule="auto"/>
                  <w:jc w:val="center"/>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2013</w:t>
                </w:r>
              </w:p>
            </w:tc>
          </w:tr>
          <w:tr w:rsidR="00B30F57" w:rsidRPr="00FF027F" w14:paraId="08B0DD8D" w14:textId="77777777" w:rsidTr="000811F7">
            <w:trPr>
              <w:trHeight w:val="293"/>
            </w:trPr>
            <w:tc>
              <w:tcPr>
                <w:tcW w:w="4587" w:type="dxa"/>
                <w:tcBorders>
                  <w:top w:val="single" w:sz="8" w:space="0" w:color="auto"/>
                  <w:left w:val="single" w:sz="8" w:space="0" w:color="auto"/>
                  <w:bottom w:val="single" w:sz="8" w:space="0" w:color="auto"/>
                  <w:right w:val="single" w:sz="8" w:space="0" w:color="auto"/>
                </w:tcBorders>
                <w:shd w:val="clear" w:color="auto" w:fill="F3F3F3"/>
                <w:noWrap/>
                <w:vAlign w:val="bottom"/>
              </w:tcPr>
              <w:p w14:paraId="74B36544"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Revenue actually received (+)</w:t>
                </w:r>
              </w:p>
            </w:tc>
            <w:tc>
              <w:tcPr>
                <w:tcW w:w="1568" w:type="dxa"/>
                <w:tcBorders>
                  <w:top w:val="nil"/>
                  <w:left w:val="nil"/>
                  <w:bottom w:val="single" w:sz="8" w:space="0" w:color="auto"/>
                  <w:right w:val="single" w:sz="8" w:space="0" w:color="auto"/>
                </w:tcBorders>
                <w:shd w:val="clear" w:color="auto" w:fill="auto"/>
                <w:noWrap/>
                <w:vAlign w:val="bottom"/>
              </w:tcPr>
              <w:p w14:paraId="2140CFA0"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4,490,199</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4E69F295"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7,241,850</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518C2694"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1,934,419</w:t>
                </w:r>
                <w:r w:rsidR="00B30F57" w:rsidRPr="00FF027F">
                  <w:rPr>
                    <w:rFonts w:ascii="Verdana" w:eastAsia="Times New Roman" w:hAnsi="Verdana" w:cs="Times New Roman"/>
                    <w:sz w:val="18"/>
                    <w:szCs w:val="18"/>
                    <w:lang w:val="en-GB" w:eastAsia="en-GB"/>
                  </w:rPr>
                  <w:t> </w:t>
                </w:r>
              </w:p>
            </w:tc>
          </w:tr>
          <w:tr w:rsidR="00B30F57" w:rsidRPr="00FF027F" w14:paraId="4AA13D95" w14:textId="77777777" w:rsidTr="000811F7">
            <w:trPr>
              <w:trHeight w:val="293"/>
            </w:trPr>
            <w:tc>
              <w:tcPr>
                <w:tcW w:w="4587" w:type="dxa"/>
                <w:tcBorders>
                  <w:top w:val="nil"/>
                  <w:left w:val="single" w:sz="8" w:space="0" w:color="auto"/>
                  <w:bottom w:val="single" w:sz="8" w:space="0" w:color="auto"/>
                  <w:right w:val="single" w:sz="8" w:space="0" w:color="auto"/>
                </w:tcBorders>
                <w:shd w:val="clear" w:color="auto" w:fill="F3F3F3"/>
                <w:noWrap/>
                <w:vAlign w:val="bottom"/>
              </w:tcPr>
              <w:p w14:paraId="04301F47"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Payments made (-)</w:t>
                </w:r>
              </w:p>
            </w:tc>
            <w:tc>
              <w:tcPr>
                <w:tcW w:w="1568" w:type="dxa"/>
                <w:tcBorders>
                  <w:top w:val="nil"/>
                  <w:left w:val="nil"/>
                  <w:bottom w:val="single" w:sz="8" w:space="0" w:color="auto"/>
                  <w:right w:val="single" w:sz="8" w:space="0" w:color="auto"/>
                </w:tcBorders>
                <w:shd w:val="clear" w:color="auto" w:fill="auto"/>
                <w:noWrap/>
                <w:vAlign w:val="bottom"/>
              </w:tcPr>
              <w:p w14:paraId="452C8AFC"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-2,379,418</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58DCB51F"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-4,837,747</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261D3C5B"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-6,561,834</w:t>
                </w:r>
                <w:r w:rsidR="00B30F57" w:rsidRPr="00FF027F">
                  <w:rPr>
                    <w:rFonts w:ascii="Verdana" w:eastAsia="Times New Roman" w:hAnsi="Verdana" w:cs="Times New Roman"/>
                    <w:sz w:val="18"/>
                    <w:szCs w:val="18"/>
                    <w:lang w:val="en-GB" w:eastAsia="en-GB"/>
                  </w:rPr>
                  <w:t> </w:t>
                </w:r>
              </w:p>
            </w:tc>
          </w:tr>
          <w:tr w:rsidR="00B30F57" w:rsidRPr="00FF027F" w14:paraId="2437E310" w14:textId="77777777" w:rsidTr="000811F7">
            <w:trPr>
              <w:trHeight w:val="293"/>
            </w:trPr>
            <w:tc>
              <w:tcPr>
                <w:tcW w:w="4587" w:type="dxa"/>
                <w:tcBorders>
                  <w:top w:val="nil"/>
                  <w:left w:val="single" w:sz="8" w:space="0" w:color="auto"/>
                  <w:bottom w:val="single" w:sz="8" w:space="0" w:color="auto"/>
                  <w:right w:val="single" w:sz="8" w:space="0" w:color="auto"/>
                </w:tcBorders>
                <w:shd w:val="clear" w:color="auto" w:fill="F3F3F3"/>
                <w:noWrap/>
                <w:vAlign w:val="bottom"/>
              </w:tcPr>
              <w:p w14:paraId="26C464C2"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Carry-over of appropriations (-)</w:t>
                </w:r>
              </w:p>
            </w:tc>
            <w:tc>
              <w:tcPr>
                <w:tcW w:w="1568" w:type="dxa"/>
                <w:tcBorders>
                  <w:top w:val="nil"/>
                  <w:left w:val="nil"/>
                  <w:bottom w:val="single" w:sz="8" w:space="0" w:color="auto"/>
                  <w:right w:val="single" w:sz="8" w:space="0" w:color="auto"/>
                </w:tcBorders>
                <w:shd w:val="clear" w:color="auto" w:fill="auto"/>
                <w:noWrap/>
                <w:vAlign w:val="bottom"/>
              </w:tcPr>
              <w:p w14:paraId="575A21F8"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-830,838</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37D6097A"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-1,951,409</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293653C1"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-5,075,003</w:t>
                </w:r>
                <w:r w:rsidR="00B30F57" w:rsidRPr="00FF027F">
                  <w:rPr>
                    <w:rFonts w:ascii="Verdana" w:eastAsia="Times New Roman" w:hAnsi="Verdana" w:cs="Times New Roman"/>
                    <w:sz w:val="18"/>
                    <w:szCs w:val="18"/>
                    <w:lang w:val="en-GB" w:eastAsia="en-GB"/>
                  </w:rPr>
                  <w:t> </w:t>
                </w:r>
              </w:p>
            </w:tc>
          </w:tr>
          <w:tr w:rsidR="00B30F57" w:rsidRPr="00FF027F" w14:paraId="2443033F" w14:textId="77777777" w:rsidTr="000811F7">
            <w:trPr>
              <w:trHeight w:val="293"/>
            </w:trPr>
            <w:tc>
              <w:tcPr>
                <w:tcW w:w="4587" w:type="dxa"/>
                <w:tcBorders>
                  <w:top w:val="nil"/>
                  <w:left w:val="single" w:sz="8" w:space="0" w:color="auto"/>
                  <w:bottom w:val="single" w:sz="8" w:space="0" w:color="auto"/>
                  <w:right w:val="single" w:sz="8" w:space="0" w:color="auto"/>
                </w:tcBorders>
                <w:shd w:val="clear" w:color="auto" w:fill="F3F3F3"/>
                <w:noWrap/>
                <w:vAlign w:val="bottom"/>
              </w:tcPr>
              <w:p w14:paraId="0F0EAF63"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Cancellation of appropriations carried over (+)</w:t>
                </w:r>
              </w:p>
            </w:tc>
            <w:tc>
              <w:tcPr>
                <w:tcW w:w="1568" w:type="dxa"/>
                <w:tcBorders>
                  <w:top w:val="nil"/>
                  <w:left w:val="nil"/>
                  <w:bottom w:val="single" w:sz="8" w:space="0" w:color="auto"/>
                  <w:right w:val="single" w:sz="8" w:space="0" w:color="auto"/>
                </w:tcBorders>
                <w:shd w:val="clear" w:color="auto" w:fill="auto"/>
                <w:noWrap/>
                <w:vAlign w:val="bottom"/>
              </w:tcPr>
              <w:p w14:paraId="416B22E2"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292,289</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4626219A"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240,691</w:t>
                </w:r>
                <w:r w:rsidR="00B30F57" w:rsidRPr="00FF027F">
                  <w:rPr>
                    <w:rFonts w:ascii="Verdana" w:eastAsia="Times New Roman" w:hAnsi="Verdana" w:cs="Times New Roman"/>
                    <w:sz w:val="18"/>
                    <w:szCs w:val="18"/>
                    <w:lang w:val="en-GB" w:eastAsia="en-GB"/>
                  </w:rPr>
                  <w:t> </w:t>
                </w:r>
              </w:p>
            </w:tc>
            <w:tc>
              <w:tcPr>
                <w:tcW w:w="1568" w:type="dxa"/>
                <w:tcBorders>
                  <w:top w:val="nil"/>
                  <w:left w:val="nil"/>
                  <w:bottom w:val="single" w:sz="8" w:space="0" w:color="auto"/>
                  <w:right w:val="single" w:sz="8" w:space="0" w:color="auto"/>
                </w:tcBorders>
                <w:shd w:val="clear" w:color="auto" w:fill="auto"/>
                <w:noWrap/>
                <w:vAlign w:val="bottom"/>
              </w:tcPr>
              <w:p w14:paraId="3FE3E132"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118,814</w:t>
                </w:r>
                <w:r w:rsidR="00B30F57" w:rsidRPr="00FF027F">
                  <w:rPr>
                    <w:rFonts w:ascii="Verdana" w:eastAsia="Times New Roman" w:hAnsi="Verdana" w:cs="Times New Roman"/>
                    <w:sz w:val="18"/>
                    <w:szCs w:val="18"/>
                    <w:lang w:val="en-GB" w:eastAsia="en-GB"/>
                  </w:rPr>
                  <w:t> </w:t>
                </w:r>
              </w:p>
            </w:tc>
          </w:tr>
          <w:tr w:rsidR="00B30F57" w:rsidRPr="00FF027F" w14:paraId="33E811FA" w14:textId="77777777" w:rsidTr="000811F7">
            <w:trPr>
              <w:trHeight w:val="293"/>
            </w:trPr>
            <w:tc>
              <w:tcPr>
                <w:tcW w:w="4587" w:type="dxa"/>
                <w:tcBorders>
                  <w:top w:val="nil"/>
                  <w:left w:val="single" w:sz="8" w:space="0" w:color="auto"/>
                  <w:bottom w:val="single" w:sz="8" w:space="0" w:color="auto"/>
                  <w:right w:val="single" w:sz="8" w:space="0" w:color="auto"/>
                </w:tcBorders>
                <w:shd w:val="clear" w:color="auto" w:fill="F3F3F3"/>
                <w:noWrap/>
                <w:vAlign w:val="bottom"/>
              </w:tcPr>
              <w:p w14:paraId="39E057B0"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Adjustment for carry over of assigned revenue appropriations from previous year (+)</w:t>
                </w:r>
              </w:p>
            </w:tc>
            <w:tc>
              <w:tcPr>
                <w:tcW w:w="1568" w:type="dxa"/>
                <w:tcBorders>
                  <w:top w:val="nil"/>
                  <w:left w:val="nil"/>
                  <w:bottom w:val="single" w:sz="8" w:space="0" w:color="auto"/>
                  <w:right w:val="single" w:sz="8" w:space="0" w:color="auto"/>
                </w:tcBorders>
                <w:shd w:val="clear" w:color="auto" w:fill="auto"/>
                <w:noWrap/>
                <w:vAlign w:val="bottom"/>
              </w:tcPr>
              <w:p w14:paraId="6E90BF92"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0</w:t>
                </w:r>
              </w:p>
            </w:tc>
            <w:tc>
              <w:tcPr>
                <w:tcW w:w="1568" w:type="dxa"/>
                <w:tcBorders>
                  <w:top w:val="nil"/>
                  <w:left w:val="nil"/>
                  <w:bottom w:val="single" w:sz="8" w:space="0" w:color="auto"/>
                  <w:right w:val="single" w:sz="8" w:space="0" w:color="auto"/>
                </w:tcBorders>
                <w:shd w:val="clear" w:color="auto" w:fill="auto"/>
                <w:noWrap/>
                <w:vAlign w:val="bottom"/>
              </w:tcPr>
              <w:p w14:paraId="42122C90"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0</w:t>
                </w:r>
              </w:p>
            </w:tc>
            <w:tc>
              <w:tcPr>
                <w:tcW w:w="1568" w:type="dxa"/>
                <w:tcBorders>
                  <w:top w:val="nil"/>
                  <w:left w:val="nil"/>
                  <w:bottom w:val="single" w:sz="8" w:space="0" w:color="auto"/>
                  <w:right w:val="single" w:sz="8" w:space="0" w:color="auto"/>
                </w:tcBorders>
                <w:shd w:val="clear" w:color="auto" w:fill="auto"/>
                <w:noWrap/>
                <w:vAlign w:val="bottom"/>
              </w:tcPr>
              <w:p w14:paraId="4E447923"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0</w:t>
                </w:r>
              </w:p>
            </w:tc>
          </w:tr>
          <w:tr w:rsidR="00B30F57" w:rsidRPr="00FF027F" w14:paraId="493A34F2" w14:textId="77777777" w:rsidTr="000811F7">
            <w:trPr>
              <w:trHeight w:val="293"/>
            </w:trPr>
            <w:tc>
              <w:tcPr>
                <w:tcW w:w="4587" w:type="dxa"/>
                <w:tcBorders>
                  <w:top w:val="nil"/>
                  <w:left w:val="single" w:sz="8" w:space="0" w:color="auto"/>
                  <w:bottom w:val="single" w:sz="8" w:space="0" w:color="auto"/>
                  <w:right w:val="single" w:sz="8" w:space="0" w:color="auto"/>
                </w:tcBorders>
                <w:shd w:val="clear" w:color="auto" w:fill="F3F3F3"/>
                <w:noWrap/>
                <w:vAlign w:val="bottom"/>
              </w:tcPr>
              <w:p w14:paraId="69066AA0"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Exchange rate differences (+/-)</w:t>
                </w:r>
              </w:p>
            </w:tc>
            <w:tc>
              <w:tcPr>
                <w:tcW w:w="1568" w:type="dxa"/>
                <w:tcBorders>
                  <w:top w:val="nil"/>
                  <w:left w:val="nil"/>
                  <w:bottom w:val="single" w:sz="8" w:space="0" w:color="auto"/>
                  <w:right w:val="single" w:sz="8" w:space="0" w:color="auto"/>
                </w:tcBorders>
                <w:shd w:val="clear" w:color="auto" w:fill="auto"/>
                <w:noWrap/>
                <w:vAlign w:val="bottom"/>
              </w:tcPr>
              <w:p w14:paraId="36356EEB"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-807</w:t>
                </w:r>
              </w:p>
            </w:tc>
            <w:tc>
              <w:tcPr>
                <w:tcW w:w="1568" w:type="dxa"/>
                <w:tcBorders>
                  <w:top w:val="nil"/>
                  <w:left w:val="nil"/>
                  <w:bottom w:val="single" w:sz="8" w:space="0" w:color="auto"/>
                  <w:right w:val="single" w:sz="8" w:space="0" w:color="auto"/>
                </w:tcBorders>
                <w:shd w:val="clear" w:color="auto" w:fill="auto"/>
                <w:noWrap/>
                <w:vAlign w:val="bottom"/>
              </w:tcPr>
              <w:p w14:paraId="3AECEB56"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-782</w:t>
                </w:r>
              </w:p>
            </w:tc>
            <w:tc>
              <w:tcPr>
                <w:tcW w:w="1568" w:type="dxa"/>
                <w:tcBorders>
                  <w:top w:val="nil"/>
                  <w:left w:val="nil"/>
                  <w:bottom w:val="single" w:sz="8" w:space="0" w:color="auto"/>
                  <w:right w:val="single" w:sz="8" w:space="0" w:color="auto"/>
                </w:tcBorders>
                <w:shd w:val="clear" w:color="auto" w:fill="auto"/>
                <w:noWrap/>
                <w:vAlign w:val="bottom"/>
              </w:tcPr>
              <w:p w14:paraId="2E0D2466" w14:textId="77777777" w:rsidR="00B30F57" w:rsidRPr="00FF027F" w:rsidRDefault="005A0056"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-472</w:t>
                </w:r>
              </w:p>
            </w:tc>
          </w:tr>
          <w:tr w:rsidR="00B30F57" w:rsidRPr="00FF027F" w14:paraId="02D42772" w14:textId="77777777" w:rsidTr="000811F7">
            <w:trPr>
              <w:trHeight w:val="293"/>
            </w:trPr>
            <w:tc>
              <w:tcPr>
                <w:tcW w:w="4587" w:type="dxa"/>
                <w:tcBorders>
                  <w:top w:val="nil"/>
                  <w:left w:val="single" w:sz="8" w:space="0" w:color="auto"/>
                  <w:bottom w:val="single" w:sz="8" w:space="0" w:color="auto"/>
                  <w:right w:val="single" w:sz="8" w:space="0" w:color="auto"/>
                </w:tcBorders>
                <w:shd w:val="clear" w:color="auto" w:fill="F3F3F3"/>
                <w:noWrap/>
                <w:vAlign w:val="bottom"/>
              </w:tcPr>
              <w:p w14:paraId="590E0439"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Adjustment for negative balance from previous year (-)</w:t>
                </w:r>
              </w:p>
            </w:tc>
            <w:tc>
              <w:tcPr>
                <w:tcW w:w="1568" w:type="dxa"/>
                <w:tcBorders>
                  <w:top w:val="nil"/>
                  <w:left w:val="nil"/>
                  <w:bottom w:val="single" w:sz="8" w:space="0" w:color="auto"/>
                  <w:right w:val="single" w:sz="8" w:space="0" w:color="auto"/>
                </w:tcBorders>
                <w:shd w:val="clear" w:color="auto" w:fill="auto"/>
                <w:noWrap/>
                <w:vAlign w:val="bottom"/>
              </w:tcPr>
              <w:p w14:paraId="09C4F685" w14:textId="77777777" w:rsidR="00B30F57" w:rsidRPr="00FF027F" w:rsidRDefault="00B30F57"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 </w:t>
                </w:r>
                <w:r w:rsidR="005A0056" w:rsidRPr="00FF027F">
                  <w:rPr>
                    <w:rFonts w:ascii="Verdana" w:eastAsia="Times New Roman" w:hAnsi="Verdana" w:cs="Times New Roman"/>
                    <w:sz w:val="18"/>
                    <w:szCs w:val="18"/>
                    <w:lang w:val="en-GB" w:eastAsia="en-GB"/>
                  </w:rPr>
                  <w:t>0</w:t>
                </w:r>
              </w:p>
            </w:tc>
            <w:tc>
              <w:tcPr>
                <w:tcW w:w="1568" w:type="dxa"/>
                <w:tcBorders>
                  <w:top w:val="nil"/>
                  <w:left w:val="nil"/>
                  <w:bottom w:val="single" w:sz="8" w:space="0" w:color="auto"/>
                  <w:right w:val="single" w:sz="8" w:space="0" w:color="auto"/>
                </w:tcBorders>
                <w:shd w:val="clear" w:color="auto" w:fill="auto"/>
                <w:noWrap/>
                <w:vAlign w:val="bottom"/>
              </w:tcPr>
              <w:p w14:paraId="643210CD" w14:textId="77777777" w:rsidR="00B30F57" w:rsidRPr="00FF027F" w:rsidRDefault="00B30F57"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 </w:t>
                </w:r>
                <w:r w:rsidR="005A0056" w:rsidRPr="00FF027F">
                  <w:rPr>
                    <w:rFonts w:ascii="Verdana" w:eastAsia="Times New Roman" w:hAnsi="Verdana" w:cs="Times New Roman"/>
                    <w:sz w:val="18"/>
                    <w:szCs w:val="18"/>
                    <w:lang w:val="en-GB" w:eastAsia="en-GB"/>
                  </w:rPr>
                  <w:t>0</w:t>
                </w:r>
              </w:p>
            </w:tc>
            <w:tc>
              <w:tcPr>
                <w:tcW w:w="1568" w:type="dxa"/>
                <w:tcBorders>
                  <w:top w:val="nil"/>
                  <w:left w:val="nil"/>
                  <w:bottom w:val="single" w:sz="8" w:space="0" w:color="auto"/>
                  <w:right w:val="single" w:sz="8" w:space="0" w:color="auto"/>
                </w:tcBorders>
                <w:shd w:val="clear" w:color="auto" w:fill="auto"/>
                <w:noWrap/>
                <w:vAlign w:val="bottom"/>
              </w:tcPr>
              <w:p w14:paraId="6FBB630F" w14:textId="77777777" w:rsidR="00B30F57" w:rsidRPr="00FF027F" w:rsidRDefault="00B30F57"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 </w:t>
                </w:r>
                <w:r w:rsidR="005A0056" w:rsidRPr="00FF027F">
                  <w:rPr>
                    <w:rFonts w:ascii="Verdana" w:eastAsia="Times New Roman" w:hAnsi="Verdana" w:cs="Times New Roman"/>
                    <w:sz w:val="18"/>
                    <w:szCs w:val="18"/>
                    <w:lang w:val="en-GB" w:eastAsia="en-GB"/>
                  </w:rPr>
                  <w:t>0</w:t>
                </w:r>
              </w:p>
            </w:tc>
          </w:tr>
          <w:tr w:rsidR="00B30F57" w:rsidRPr="00FF027F" w14:paraId="35D1201D" w14:textId="77777777" w:rsidTr="000811F7">
            <w:trPr>
              <w:trHeight w:val="293"/>
            </w:trPr>
            <w:tc>
              <w:tcPr>
                <w:tcW w:w="4587" w:type="dxa"/>
                <w:tcBorders>
                  <w:top w:val="single" w:sz="8" w:space="0" w:color="auto"/>
                  <w:left w:val="single" w:sz="8" w:space="0" w:color="auto"/>
                  <w:bottom w:val="single" w:sz="8" w:space="0" w:color="auto"/>
                  <w:right w:val="single" w:sz="8" w:space="0" w:color="auto"/>
                </w:tcBorders>
                <w:shd w:val="clear" w:color="auto" w:fill="F3F3F3"/>
                <w:noWrap/>
                <w:vAlign w:val="bottom"/>
              </w:tcPr>
              <w:p w14:paraId="1FF9F098" w14:textId="77777777" w:rsidR="00B30F57" w:rsidRPr="00FF027F" w:rsidRDefault="00B30F57" w:rsidP="00B30F57">
                <w:pPr>
                  <w:spacing w:before="30" w:after="30" w:line="240" w:lineRule="auto"/>
                  <w:rPr>
                    <w:rFonts w:ascii="Verdana" w:eastAsia="Times New Roman" w:hAnsi="Verdana" w:cs="Times New Roman"/>
                    <w:b/>
                    <w:sz w:val="18"/>
                    <w:szCs w:val="18"/>
                    <w:lang w:val="en-GB" w:eastAsia="en-GB"/>
                  </w:rPr>
                </w:pPr>
                <w:r w:rsidRPr="00FF027F">
                  <w:rPr>
                    <w:rFonts w:ascii="Verdana" w:eastAsia="Times New Roman" w:hAnsi="Verdana" w:cs="Times New Roman"/>
                    <w:b/>
                    <w:sz w:val="18"/>
                    <w:szCs w:val="18"/>
                    <w:lang w:val="en-GB" w:eastAsia="en-GB"/>
                  </w:rPr>
                  <w:t>Total</w:t>
                </w:r>
              </w:p>
            </w:tc>
            <w:tc>
              <w:tcPr>
                <w:tcW w:w="1568" w:type="dxa"/>
                <w:tcBorders>
                  <w:top w:val="single" w:sz="8" w:space="0" w:color="auto"/>
                  <w:left w:val="nil"/>
                  <w:bottom w:val="single" w:sz="8" w:space="0" w:color="auto"/>
                  <w:right w:val="single" w:sz="8" w:space="0" w:color="auto"/>
                </w:tcBorders>
                <w:shd w:val="clear" w:color="auto" w:fill="F3F3F3"/>
                <w:noWrap/>
                <w:vAlign w:val="bottom"/>
              </w:tcPr>
              <w:p w14:paraId="528FC931" w14:textId="77777777" w:rsidR="00B30F57" w:rsidRPr="00FF027F" w:rsidRDefault="00B30F57"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 </w:t>
                </w:r>
                <w:r w:rsidR="005A0056" w:rsidRPr="00FF027F">
                  <w:rPr>
                    <w:rFonts w:ascii="Verdana" w:eastAsia="Times New Roman" w:hAnsi="Verdana" w:cs="Times New Roman"/>
                    <w:sz w:val="18"/>
                    <w:szCs w:val="18"/>
                    <w:lang w:val="en-GB" w:eastAsia="en-GB"/>
                  </w:rPr>
                  <w:t>1,571,425</w:t>
                </w:r>
              </w:p>
            </w:tc>
            <w:tc>
              <w:tcPr>
                <w:tcW w:w="1568" w:type="dxa"/>
                <w:tcBorders>
                  <w:top w:val="single" w:sz="8" w:space="0" w:color="auto"/>
                  <w:left w:val="nil"/>
                  <w:bottom w:val="single" w:sz="8" w:space="0" w:color="auto"/>
                  <w:right w:val="single" w:sz="8" w:space="0" w:color="auto"/>
                </w:tcBorders>
                <w:shd w:val="clear" w:color="auto" w:fill="F3F3F3"/>
                <w:noWrap/>
                <w:vAlign w:val="bottom"/>
              </w:tcPr>
              <w:p w14:paraId="712642B3" w14:textId="77777777" w:rsidR="00B30F57" w:rsidRPr="00FF027F" w:rsidRDefault="00B30F57"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 </w:t>
                </w:r>
                <w:r w:rsidR="005A0056" w:rsidRPr="00FF027F">
                  <w:rPr>
                    <w:rFonts w:ascii="Verdana" w:eastAsia="Times New Roman" w:hAnsi="Verdana" w:cs="Times New Roman"/>
                    <w:sz w:val="18"/>
                    <w:szCs w:val="18"/>
                    <w:lang w:val="en-GB" w:eastAsia="en-GB"/>
                  </w:rPr>
                  <w:t>692,606</w:t>
                </w:r>
              </w:p>
            </w:tc>
            <w:tc>
              <w:tcPr>
                <w:tcW w:w="1568" w:type="dxa"/>
                <w:tcBorders>
                  <w:top w:val="single" w:sz="8" w:space="0" w:color="auto"/>
                  <w:left w:val="nil"/>
                  <w:bottom w:val="single" w:sz="8" w:space="0" w:color="auto"/>
                  <w:right w:val="single" w:sz="8" w:space="0" w:color="auto"/>
                </w:tcBorders>
                <w:shd w:val="clear" w:color="auto" w:fill="F3F3F3"/>
                <w:noWrap/>
                <w:vAlign w:val="bottom"/>
              </w:tcPr>
              <w:p w14:paraId="63D9CE6D" w14:textId="77777777" w:rsidR="00B30F57" w:rsidRPr="00FF027F" w:rsidRDefault="00B30F57" w:rsidP="00B30F57">
                <w:pPr>
                  <w:spacing w:after="0" w:line="240" w:lineRule="auto"/>
                  <w:jc w:val="right"/>
                  <w:rPr>
                    <w:rFonts w:ascii="Verdana" w:eastAsia="Times New Roman" w:hAnsi="Verdana" w:cs="Times New Roman"/>
                    <w:sz w:val="18"/>
                    <w:szCs w:val="18"/>
                    <w:lang w:val="en-GB" w:eastAsia="en-GB"/>
                  </w:rPr>
                </w:pPr>
                <w:r w:rsidRPr="00FF027F">
                  <w:rPr>
                    <w:rFonts w:ascii="Verdana" w:eastAsia="Times New Roman" w:hAnsi="Verdana" w:cs="Times New Roman"/>
                    <w:sz w:val="18"/>
                    <w:szCs w:val="18"/>
                    <w:lang w:val="en-GB" w:eastAsia="en-GB"/>
                  </w:rPr>
                  <w:t> </w:t>
                </w:r>
                <w:r w:rsidR="005A0056" w:rsidRPr="00FF027F">
                  <w:rPr>
                    <w:rFonts w:ascii="Verdana" w:eastAsia="Times New Roman" w:hAnsi="Verdana" w:cs="Times New Roman"/>
                    <w:sz w:val="18"/>
                    <w:szCs w:val="18"/>
                    <w:lang w:val="en-GB" w:eastAsia="en-GB"/>
                  </w:rPr>
                  <w:t>415,924</w:t>
                </w:r>
              </w:p>
            </w:tc>
          </w:tr>
        </w:tbl>
        <w:p w14:paraId="32C9BD52" w14:textId="77777777" w:rsidR="00A334C2" w:rsidRPr="00FF027F" w:rsidRDefault="00A334C2" w:rsidP="00A334C2">
          <w:pPr>
            <w:pStyle w:val="11ptVerdanaBold"/>
            <w:rPr>
              <w:sz w:val="18"/>
              <w:szCs w:val="18"/>
            </w:rPr>
          </w:pPr>
        </w:p>
        <w:p w14:paraId="0070C2E4" w14:textId="77777777" w:rsidR="004A16C5" w:rsidRPr="00FF027F" w:rsidRDefault="004A16C5" w:rsidP="00395043">
          <w:pPr>
            <w:rPr>
              <w:rFonts w:ascii="Verdana" w:hAnsi="Verdana"/>
              <w:b/>
              <w:color w:val="1F497D" w:themeColor="text2"/>
              <w:sz w:val="32"/>
              <w:szCs w:val="32"/>
              <w:lang w:val="en-GB" w:eastAsia="en-GB"/>
            </w:rPr>
          </w:pPr>
          <w:bookmarkStart w:id="127" w:name="_Annex_II_("/>
          <w:bookmarkEnd w:id="127"/>
        </w:p>
        <w:p w14:paraId="6342C10D" w14:textId="77777777" w:rsidR="004D6EB3" w:rsidRPr="00FF027F" w:rsidRDefault="003D32C4">
          <w:pPr>
            <w:rPr>
              <w:lang w:val="en-GB"/>
            </w:rPr>
            <w:sectPr w:rsidR="004D6EB3" w:rsidRPr="00FF027F" w:rsidSect="00FE1C6F">
              <w:pgSz w:w="11907" w:h="16839" w:code="9"/>
              <w:pgMar w:top="1440" w:right="1440" w:bottom="1440" w:left="1440" w:header="720" w:footer="720" w:gutter="0"/>
              <w:cols w:space="720"/>
              <w:titlePg/>
              <w:docGrid w:linePitch="360"/>
            </w:sectPr>
          </w:pPr>
          <w:r w:rsidRPr="00FF027F">
            <w:rPr>
              <w:lang w:val="en-GB"/>
            </w:rPr>
            <w:br w:type="page"/>
          </w:r>
        </w:p>
        <w:p w14:paraId="00F15EFA" w14:textId="345DF392" w:rsidR="00BF0B99" w:rsidRPr="00FF027F" w:rsidRDefault="00BF0B99" w:rsidP="00736F1E">
          <w:pPr>
            <w:pStyle w:val="Heading1"/>
            <w:numPr>
              <w:ilvl w:val="0"/>
              <w:numId w:val="0"/>
            </w:numPr>
            <w:spacing w:before="120" w:after="120"/>
          </w:pPr>
          <w:bookmarkStart w:id="128" w:name="_Toc396913812"/>
          <w:r w:rsidRPr="00FF027F">
            <w:t>ANNEX III</w:t>
          </w:r>
          <w:r w:rsidR="00395043" w:rsidRPr="00FF027F">
            <w:t xml:space="preserve">: </w:t>
          </w:r>
          <w:r w:rsidR="0059751D" w:rsidRPr="00FF027F">
            <w:t>Human resources</w:t>
          </w:r>
          <w:bookmarkEnd w:id="128"/>
        </w:p>
        <w:p w14:paraId="46D54E80" w14:textId="7613C674" w:rsidR="000304DA" w:rsidRPr="00FF027F" w:rsidRDefault="001F6927" w:rsidP="00736F1E">
          <w:pPr>
            <w:pStyle w:val="Heading2"/>
            <w:numPr>
              <w:ilvl w:val="0"/>
              <w:numId w:val="0"/>
            </w:numPr>
            <w:spacing w:before="120" w:after="120"/>
            <w:ind w:left="86"/>
            <w:rPr>
              <w:lang w:eastAsia="en-GB"/>
            </w:rPr>
          </w:pPr>
          <w:bookmarkStart w:id="129" w:name="_Toc396913813"/>
          <w:r w:rsidRPr="00FF027F">
            <w:rPr>
              <w:lang w:eastAsia="en-GB"/>
            </w:rPr>
            <w:t xml:space="preserve">Table 1 </w:t>
          </w:r>
          <w:r w:rsidR="00DF7B7F" w:rsidRPr="00FF027F">
            <w:rPr>
              <w:lang w:eastAsia="en-GB"/>
            </w:rPr>
            <w:t xml:space="preserve">- </w:t>
          </w:r>
          <w:r w:rsidRPr="00FF027F">
            <w:rPr>
              <w:lang w:eastAsia="en-GB"/>
            </w:rPr>
            <w:t>Staff population and its evolution; Overview of all categories</w:t>
          </w:r>
          <w:bookmarkEnd w:id="129"/>
          <w:r w:rsidRPr="00FF027F">
            <w:rPr>
              <w:lang w:eastAsia="en-GB"/>
            </w:rPr>
            <w:t xml:space="preserve"> </w:t>
          </w:r>
        </w:p>
        <w:tbl>
          <w:tblPr>
            <w:tblW w:w="13979" w:type="dxa"/>
            <w:tblInd w:w="174" w:type="dxa"/>
            <w:tblLook w:val="04A0" w:firstRow="1" w:lastRow="0" w:firstColumn="1" w:lastColumn="0" w:noHBand="0" w:noVBand="1"/>
          </w:tblPr>
          <w:tblGrid>
            <w:gridCol w:w="1059"/>
            <w:gridCol w:w="1011"/>
            <w:gridCol w:w="1420"/>
            <w:gridCol w:w="1549"/>
            <w:gridCol w:w="1296"/>
            <w:gridCol w:w="1527"/>
            <w:gridCol w:w="1230"/>
            <w:gridCol w:w="1359"/>
            <w:gridCol w:w="1359"/>
            <w:gridCol w:w="1359"/>
            <w:gridCol w:w="810"/>
          </w:tblGrid>
          <w:tr w:rsidR="0098218B" w:rsidRPr="00FF027F" w14:paraId="29F762E2" w14:textId="77777777" w:rsidTr="003733C8">
            <w:trPr>
              <w:trHeight w:val="300"/>
            </w:trPr>
            <w:tc>
              <w:tcPr>
                <w:tcW w:w="207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A571E13" w14:textId="77777777" w:rsidR="0098218B" w:rsidRPr="00FF027F" w:rsidRDefault="0098218B" w:rsidP="009B63E1">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Staff population</w:t>
                </w:r>
              </w:p>
            </w:tc>
            <w:tc>
              <w:tcPr>
                <w:tcW w:w="1420" w:type="dxa"/>
                <w:tcBorders>
                  <w:top w:val="single" w:sz="8" w:space="0" w:color="auto"/>
                  <w:left w:val="nil"/>
                  <w:bottom w:val="nil"/>
                  <w:right w:val="single" w:sz="8" w:space="0" w:color="auto"/>
                </w:tcBorders>
                <w:shd w:val="clear" w:color="auto" w:fill="auto"/>
                <w:vAlign w:val="center"/>
                <w:hideMark/>
              </w:tcPr>
              <w:p w14:paraId="2B299DFD" w14:textId="77777777" w:rsidR="0098218B" w:rsidRPr="00FF027F" w:rsidRDefault="0098218B" w:rsidP="009B63E1">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 </w:t>
                </w:r>
              </w:p>
            </w:tc>
            <w:tc>
              <w:tcPr>
                <w:tcW w:w="1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69EB9A4" w14:textId="77777777" w:rsidR="0098218B" w:rsidRPr="00FF027F" w:rsidRDefault="0098218B" w:rsidP="009B63E1">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Authorised under EU budget N-1</w:t>
                </w:r>
              </w:p>
            </w:tc>
            <w:tc>
              <w:tcPr>
                <w:tcW w:w="13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44B466" w14:textId="5F8BCAAC" w:rsidR="0098218B" w:rsidRPr="00FF027F" w:rsidRDefault="0098218B" w:rsidP="00016A74">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Actually filled as of 31 12.N-1</w:t>
                </w:r>
              </w:p>
            </w:tc>
            <w:tc>
              <w:tcPr>
                <w:tcW w:w="15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C99594" w14:textId="10EB223F" w:rsidR="0098218B" w:rsidRPr="00FF027F" w:rsidRDefault="0098218B" w:rsidP="00016A74">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Authorised under EU budget for year N</w:t>
                </w:r>
              </w:p>
            </w:tc>
            <w:tc>
              <w:tcPr>
                <w:tcW w:w="12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07C3784" w14:textId="278D84BC" w:rsidR="0098218B" w:rsidRPr="00FF027F" w:rsidRDefault="0098218B" w:rsidP="00016A74">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 xml:space="preserve">Actually filled as of  31.12.N </w:t>
                </w:r>
              </w:p>
            </w:tc>
            <w:tc>
              <w:tcPr>
                <w:tcW w:w="1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6A9A3F" w14:textId="0FFB959A" w:rsidR="0098218B" w:rsidRPr="00FF027F" w:rsidRDefault="00844329" w:rsidP="00016A74">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Envisaged i</w:t>
                </w:r>
                <w:r w:rsidR="0098218B" w:rsidRPr="00FF027F">
                  <w:rPr>
                    <w:rFonts w:ascii="Verdana" w:eastAsia="Arial" w:hAnsi="Verdana" w:cs="Arial"/>
                    <w:b/>
                    <w:bCs/>
                    <w:color w:val="000000"/>
                    <w:sz w:val="20"/>
                    <w:szCs w:val="20"/>
                    <w:lang w:val="en-GB" w:eastAsia="en-GB"/>
                  </w:rPr>
                  <w:t>n draft budget for year N+1</w:t>
                </w:r>
              </w:p>
            </w:tc>
            <w:tc>
              <w:tcPr>
                <w:tcW w:w="13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AC2DD1" w14:textId="7C26617B" w:rsidR="0098218B" w:rsidRPr="00FF027F" w:rsidRDefault="0098218B" w:rsidP="009B63E1">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Envisaged in N+2</w:t>
                </w:r>
              </w:p>
            </w:tc>
            <w:tc>
              <w:tcPr>
                <w:tcW w:w="13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6676FB" w14:textId="77777777" w:rsidR="0098218B" w:rsidRPr="00FF027F" w:rsidRDefault="0098218B" w:rsidP="009B63E1">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Envisaged in N+3</w:t>
                </w:r>
              </w:p>
            </w:tc>
            <w:tc>
              <w:tcPr>
                <w:tcW w:w="810" w:type="dxa"/>
                <w:tcBorders>
                  <w:top w:val="nil"/>
                  <w:left w:val="nil"/>
                  <w:bottom w:val="nil"/>
                  <w:right w:val="nil"/>
                </w:tcBorders>
                <w:shd w:val="clear" w:color="auto" w:fill="auto"/>
                <w:noWrap/>
                <w:vAlign w:val="center"/>
                <w:hideMark/>
              </w:tcPr>
              <w:p w14:paraId="39EF3CAC"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18702F70" w14:textId="77777777" w:rsidTr="0020011A">
            <w:trPr>
              <w:trHeight w:val="1132"/>
            </w:trPr>
            <w:tc>
              <w:tcPr>
                <w:tcW w:w="2070" w:type="dxa"/>
                <w:gridSpan w:val="2"/>
                <w:vMerge/>
                <w:tcBorders>
                  <w:top w:val="single" w:sz="8" w:space="0" w:color="auto"/>
                  <w:left w:val="single" w:sz="8" w:space="0" w:color="auto"/>
                  <w:bottom w:val="single" w:sz="8" w:space="0" w:color="000000"/>
                  <w:right w:val="single" w:sz="8" w:space="0" w:color="000000"/>
                </w:tcBorders>
                <w:vAlign w:val="center"/>
                <w:hideMark/>
              </w:tcPr>
              <w:p w14:paraId="12994E1F"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1420" w:type="dxa"/>
                <w:tcBorders>
                  <w:top w:val="nil"/>
                  <w:left w:val="nil"/>
                  <w:bottom w:val="single" w:sz="8" w:space="0" w:color="auto"/>
                  <w:right w:val="single" w:sz="8" w:space="0" w:color="auto"/>
                </w:tcBorders>
                <w:shd w:val="clear" w:color="auto" w:fill="auto"/>
                <w:vAlign w:val="center"/>
                <w:hideMark/>
              </w:tcPr>
              <w:p w14:paraId="1E56C2D2" w14:textId="77777777" w:rsidR="0098218B" w:rsidRPr="00FF027F" w:rsidRDefault="0098218B" w:rsidP="009B63E1">
                <w:pPr>
                  <w:spacing w:after="0"/>
                  <w:jc w:val="center"/>
                  <w:rPr>
                    <w:rFonts w:ascii="Verdana" w:eastAsia="Arial" w:hAnsi="Verdana" w:cs="Arial"/>
                    <w:b/>
                    <w:bCs/>
                    <w:color w:val="000000"/>
                    <w:sz w:val="20"/>
                    <w:szCs w:val="20"/>
                    <w:lang w:val="en-GB" w:eastAsia="en-GB"/>
                  </w:rPr>
                </w:pPr>
                <w:r w:rsidRPr="00FF027F">
                  <w:rPr>
                    <w:rFonts w:ascii="Verdana" w:eastAsia="Arial" w:hAnsi="Verdana" w:cs="Arial"/>
                    <w:b/>
                    <w:bCs/>
                    <w:color w:val="000000"/>
                    <w:sz w:val="20"/>
                    <w:szCs w:val="20"/>
                    <w:lang w:val="en-GB" w:eastAsia="en-GB"/>
                  </w:rPr>
                  <w:t>Actually filled as of 31.12 N-2</w:t>
                </w:r>
              </w:p>
            </w:tc>
            <w:tc>
              <w:tcPr>
                <w:tcW w:w="1606" w:type="dxa"/>
                <w:vMerge/>
                <w:tcBorders>
                  <w:top w:val="single" w:sz="8" w:space="0" w:color="auto"/>
                  <w:left w:val="single" w:sz="8" w:space="0" w:color="auto"/>
                  <w:bottom w:val="single" w:sz="8" w:space="0" w:color="000000"/>
                  <w:right w:val="single" w:sz="8" w:space="0" w:color="auto"/>
                </w:tcBorders>
                <w:vAlign w:val="center"/>
                <w:hideMark/>
              </w:tcPr>
              <w:p w14:paraId="017CB7AD"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1387" w:type="dxa"/>
                <w:vMerge/>
                <w:tcBorders>
                  <w:top w:val="single" w:sz="8" w:space="0" w:color="auto"/>
                  <w:left w:val="single" w:sz="8" w:space="0" w:color="auto"/>
                  <w:bottom w:val="single" w:sz="8" w:space="0" w:color="000000"/>
                  <w:right w:val="single" w:sz="8" w:space="0" w:color="auto"/>
                </w:tcBorders>
                <w:vAlign w:val="center"/>
                <w:hideMark/>
              </w:tcPr>
              <w:p w14:paraId="289F22F8"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1571" w:type="dxa"/>
                <w:vMerge/>
                <w:tcBorders>
                  <w:top w:val="single" w:sz="8" w:space="0" w:color="auto"/>
                  <w:left w:val="single" w:sz="8" w:space="0" w:color="auto"/>
                  <w:bottom w:val="single" w:sz="8" w:space="0" w:color="000000"/>
                  <w:right w:val="single" w:sz="8" w:space="0" w:color="auto"/>
                </w:tcBorders>
                <w:vAlign w:val="center"/>
                <w:hideMark/>
              </w:tcPr>
              <w:p w14:paraId="7C0D43A1"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1286" w:type="dxa"/>
                <w:vMerge/>
                <w:tcBorders>
                  <w:top w:val="single" w:sz="8" w:space="0" w:color="auto"/>
                  <w:left w:val="single" w:sz="8" w:space="0" w:color="auto"/>
                  <w:bottom w:val="single" w:sz="8" w:space="0" w:color="000000"/>
                  <w:right w:val="single" w:sz="8" w:space="0" w:color="auto"/>
                </w:tcBorders>
                <w:vAlign w:val="center"/>
                <w:hideMark/>
              </w:tcPr>
              <w:p w14:paraId="23E88465"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14:paraId="2A2BCD2A"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1359" w:type="dxa"/>
                <w:vMerge/>
                <w:tcBorders>
                  <w:top w:val="single" w:sz="8" w:space="0" w:color="auto"/>
                  <w:left w:val="single" w:sz="8" w:space="0" w:color="auto"/>
                  <w:bottom w:val="single" w:sz="8" w:space="0" w:color="000000"/>
                  <w:right w:val="single" w:sz="8" w:space="0" w:color="auto"/>
                </w:tcBorders>
                <w:vAlign w:val="center"/>
                <w:hideMark/>
              </w:tcPr>
              <w:p w14:paraId="6D6AA01E"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1359" w:type="dxa"/>
                <w:vMerge/>
                <w:tcBorders>
                  <w:top w:val="single" w:sz="8" w:space="0" w:color="auto"/>
                  <w:left w:val="single" w:sz="8" w:space="0" w:color="auto"/>
                  <w:bottom w:val="single" w:sz="8" w:space="0" w:color="000000"/>
                  <w:right w:val="single" w:sz="8" w:space="0" w:color="auto"/>
                </w:tcBorders>
                <w:vAlign w:val="center"/>
                <w:hideMark/>
              </w:tcPr>
              <w:p w14:paraId="2E8D9343" w14:textId="77777777" w:rsidR="0098218B" w:rsidRPr="00FF027F" w:rsidRDefault="0098218B" w:rsidP="009B63E1">
                <w:pPr>
                  <w:spacing w:after="0"/>
                  <w:rPr>
                    <w:rFonts w:ascii="Verdana" w:eastAsia="Arial" w:hAnsi="Verdana" w:cs="Arial"/>
                    <w:b/>
                    <w:bCs/>
                    <w:color w:val="000000"/>
                    <w:sz w:val="20"/>
                    <w:szCs w:val="20"/>
                    <w:lang w:val="en-GB" w:eastAsia="en-GB"/>
                  </w:rPr>
                </w:pPr>
              </w:p>
            </w:tc>
            <w:tc>
              <w:tcPr>
                <w:tcW w:w="810" w:type="dxa"/>
                <w:tcBorders>
                  <w:top w:val="nil"/>
                  <w:left w:val="nil"/>
                  <w:bottom w:val="nil"/>
                  <w:right w:val="nil"/>
                </w:tcBorders>
                <w:shd w:val="clear" w:color="auto" w:fill="auto"/>
                <w:noWrap/>
                <w:vAlign w:val="bottom"/>
                <w:hideMark/>
              </w:tcPr>
              <w:p w14:paraId="08574EA1"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16C510EE" w14:textId="77777777" w:rsidTr="003733C8">
            <w:trPr>
              <w:trHeight w:val="330"/>
            </w:trPr>
            <w:tc>
              <w:tcPr>
                <w:tcW w:w="1059" w:type="dxa"/>
                <w:vMerge w:val="restart"/>
                <w:tcBorders>
                  <w:top w:val="nil"/>
                  <w:left w:val="single" w:sz="8" w:space="0" w:color="auto"/>
                  <w:right w:val="single" w:sz="8" w:space="0" w:color="auto"/>
                </w:tcBorders>
                <w:shd w:val="clear" w:color="auto" w:fill="auto"/>
                <w:vAlign w:val="center"/>
                <w:hideMark/>
              </w:tcPr>
              <w:p w14:paraId="22D890F7"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Officials</w:t>
                </w:r>
              </w:p>
            </w:tc>
            <w:tc>
              <w:tcPr>
                <w:tcW w:w="1011" w:type="dxa"/>
                <w:tcBorders>
                  <w:top w:val="nil"/>
                  <w:left w:val="nil"/>
                  <w:bottom w:val="single" w:sz="8" w:space="0" w:color="auto"/>
                  <w:right w:val="single" w:sz="8" w:space="0" w:color="auto"/>
                </w:tcBorders>
                <w:shd w:val="clear" w:color="auto" w:fill="auto"/>
                <w:vAlign w:val="center"/>
                <w:hideMark/>
              </w:tcPr>
              <w:p w14:paraId="693E0CD3"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AD</w:t>
                </w:r>
              </w:p>
            </w:tc>
            <w:tc>
              <w:tcPr>
                <w:tcW w:w="1420" w:type="dxa"/>
                <w:tcBorders>
                  <w:top w:val="nil"/>
                  <w:left w:val="nil"/>
                  <w:bottom w:val="single" w:sz="8" w:space="0" w:color="auto"/>
                  <w:right w:val="single" w:sz="8" w:space="0" w:color="auto"/>
                </w:tcBorders>
                <w:shd w:val="clear" w:color="auto" w:fill="auto"/>
                <w:vAlign w:val="center"/>
                <w:hideMark/>
              </w:tcPr>
              <w:p w14:paraId="0C7EE43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606" w:type="dxa"/>
                <w:tcBorders>
                  <w:top w:val="nil"/>
                  <w:left w:val="nil"/>
                  <w:bottom w:val="single" w:sz="8" w:space="0" w:color="auto"/>
                  <w:right w:val="single" w:sz="8" w:space="0" w:color="auto"/>
                </w:tcBorders>
                <w:shd w:val="clear" w:color="auto" w:fill="auto"/>
                <w:vAlign w:val="center"/>
                <w:hideMark/>
              </w:tcPr>
              <w:p w14:paraId="7B065C4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87" w:type="dxa"/>
                <w:tcBorders>
                  <w:top w:val="nil"/>
                  <w:left w:val="nil"/>
                  <w:bottom w:val="single" w:sz="8" w:space="0" w:color="auto"/>
                  <w:right w:val="single" w:sz="8" w:space="0" w:color="auto"/>
                </w:tcBorders>
                <w:shd w:val="clear" w:color="auto" w:fill="auto"/>
                <w:vAlign w:val="center"/>
                <w:hideMark/>
              </w:tcPr>
              <w:p w14:paraId="3E0F46D8"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571" w:type="dxa"/>
                <w:tcBorders>
                  <w:top w:val="nil"/>
                  <w:left w:val="nil"/>
                  <w:bottom w:val="single" w:sz="8" w:space="0" w:color="auto"/>
                  <w:right w:val="single" w:sz="8" w:space="0" w:color="auto"/>
                </w:tcBorders>
                <w:shd w:val="clear" w:color="auto" w:fill="auto"/>
                <w:vAlign w:val="center"/>
                <w:hideMark/>
              </w:tcPr>
              <w:p w14:paraId="6B1D9CB7"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286" w:type="dxa"/>
                <w:tcBorders>
                  <w:top w:val="nil"/>
                  <w:left w:val="nil"/>
                  <w:bottom w:val="single" w:sz="8" w:space="0" w:color="auto"/>
                  <w:right w:val="single" w:sz="8" w:space="0" w:color="auto"/>
                </w:tcBorders>
                <w:shd w:val="clear" w:color="auto" w:fill="auto"/>
                <w:vAlign w:val="center"/>
                <w:hideMark/>
              </w:tcPr>
              <w:p w14:paraId="6A1206E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50A0820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hideMark/>
              </w:tcPr>
              <w:p w14:paraId="38A9D8E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hideMark/>
              </w:tcPr>
              <w:p w14:paraId="66F402B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810" w:type="dxa"/>
                <w:tcBorders>
                  <w:top w:val="nil"/>
                  <w:left w:val="nil"/>
                  <w:bottom w:val="nil"/>
                  <w:right w:val="nil"/>
                </w:tcBorders>
                <w:shd w:val="clear" w:color="auto" w:fill="auto"/>
                <w:noWrap/>
                <w:vAlign w:val="bottom"/>
                <w:hideMark/>
              </w:tcPr>
              <w:p w14:paraId="3A1A1C86"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1291614A" w14:textId="77777777" w:rsidTr="003733C8">
            <w:trPr>
              <w:trHeight w:val="330"/>
            </w:trPr>
            <w:tc>
              <w:tcPr>
                <w:tcW w:w="1059" w:type="dxa"/>
                <w:vMerge/>
                <w:tcBorders>
                  <w:left w:val="single" w:sz="8" w:space="0" w:color="auto"/>
                  <w:right w:val="single" w:sz="8" w:space="0" w:color="auto"/>
                </w:tcBorders>
                <w:vAlign w:val="center"/>
                <w:hideMark/>
              </w:tcPr>
              <w:p w14:paraId="2127428B" w14:textId="77777777" w:rsidR="0098218B" w:rsidRPr="00FF027F" w:rsidRDefault="0098218B" w:rsidP="009B63E1">
                <w:pPr>
                  <w:spacing w:after="0"/>
                  <w:rPr>
                    <w:rFonts w:ascii="Verdana" w:eastAsia="Arial" w:hAnsi="Verdana" w:cs="Arial"/>
                    <w:color w:val="000000"/>
                    <w:sz w:val="20"/>
                    <w:szCs w:val="20"/>
                    <w:lang w:val="en-GB" w:eastAsia="en-GB"/>
                  </w:rPr>
                </w:pPr>
              </w:p>
            </w:tc>
            <w:tc>
              <w:tcPr>
                <w:tcW w:w="1011" w:type="dxa"/>
                <w:tcBorders>
                  <w:top w:val="nil"/>
                  <w:left w:val="nil"/>
                  <w:bottom w:val="single" w:sz="8" w:space="0" w:color="auto"/>
                  <w:right w:val="single" w:sz="8" w:space="0" w:color="auto"/>
                </w:tcBorders>
                <w:shd w:val="clear" w:color="auto" w:fill="auto"/>
                <w:vAlign w:val="center"/>
                <w:hideMark/>
              </w:tcPr>
              <w:p w14:paraId="7A309E4B"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AST</w:t>
                </w:r>
              </w:p>
            </w:tc>
            <w:tc>
              <w:tcPr>
                <w:tcW w:w="1420" w:type="dxa"/>
                <w:tcBorders>
                  <w:top w:val="nil"/>
                  <w:left w:val="nil"/>
                  <w:bottom w:val="single" w:sz="8" w:space="0" w:color="auto"/>
                  <w:right w:val="single" w:sz="8" w:space="0" w:color="auto"/>
                </w:tcBorders>
                <w:shd w:val="clear" w:color="auto" w:fill="auto"/>
                <w:vAlign w:val="center"/>
                <w:hideMark/>
              </w:tcPr>
              <w:p w14:paraId="36358E3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606" w:type="dxa"/>
                <w:tcBorders>
                  <w:top w:val="nil"/>
                  <w:left w:val="nil"/>
                  <w:bottom w:val="single" w:sz="8" w:space="0" w:color="auto"/>
                  <w:right w:val="single" w:sz="8" w:space="0" w:color="auto"/>
                </w:tcBorders>
                <w:shd w:val="clear" w:color="auto" w:fill="auto"/>
                <w:vAlign w:val="center"/>
                <w:hideMark/>
              </w:tcPr>
              <w:p w14:paraId="3F9EC90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87" w:type="dxa"/>
                <w:tcBorders>
                  <w:top w:val="nil"/>
                  <w:left w:val="nil"/>
                  <w:bottom w:val="single" w:sz="8" w:space="0" w:color="auto"/>
                  <w:right w:val="single" w:sz="8" w:space="0" w:color="auto"/>
                </w:tcBorders>
                <w:shd w:val="clear" w:color="auto" w:fill="auto"/>
                <w:vAlign w:val="center"/>
                <w:hideMark/>
              </w:tcPr>
              <w:p w14:paraId="4993BA1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571" w:type="dxa"/>
                <w:tcBorders>
                  <w:top w:val="nil"/>
                  <w:left w:val="nil"/>
                  <w:bottom w:val="single" w:sz="8" w:space="0" w:color="auto"/>
                  <w:right w:val="single" w:sz="8" w:space="0" w:color="auto"/>
                </w:tcBorders>
                <w:shd w:val="clear" w:color="auto" w:fill="auto"/>
                <w:vAlign w:val="center"/>
                <w:hideMark/>
              </w:tcPr>
              <w:p w14:paraId="43579B77"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286" w:type="dxa"/>
                <w:tcBorders>
                  <w:top w:val="nil"/>
                  <w:left w:val="nil"/>
                  <w:bottom w:val="single" w:sz="8" w:space="0" w:color="auto"/>
                  <w:right w:val="single" w:sz="8" w:space="0" w:color="auto"/>
                </w:tcBorders>
                <w:shd w:val="clear" w:color="auto" w:fill="auto"/>
                <w:vAlign w:val="center"/>
                <w:hideMark/>
              </w:tcPr>
              <w:p w14:paraId="12F3EF2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332AC3F3"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hideMark/>
              </w:tcPr>
              <w:p w14:paraId="0AAC02C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hideMark/>
              </w:tcPr>
              <w:p w14:paraId="03F2E99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810" w:type="dxa"/>
                <w:tcBorders>
                  <w:top w:val="nil"/>
                  <w:left w:val="nil"/>
                  <w:bottom w:val="nil"/>
                  <w:right w:val="nil"/>
                </w:tcBorders>
                <w:shd w:val="clear" w:color="auto" w:fill="auto"/>
                <w:noWrap/>
                <w:vAlign w:val="bottom"/>
                <w:hideMark/>
              </w:tcPr>
              <w:p w14:paraId="18F88EF7"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0852F4D7" w14:textId="77777777" w:rsidTr="003733C8">
            <w:trPr>
              <w:trHeight w:val="330"/>
            </w:trPr>
            <w:tc>
              <w:tcPr>
                <w:tcW w:w="1059" w:type="dxa"/>
                <w:vMerge/>
                <w:tcBorders>
                  <w:left w:val="single" w:sz="8" w:space="0" w:color="auto"/>
                  <w:bottom w:val="single" w:sz="8" w:space="0" w:color="000000"/>
                  <w:right w:val="single" w:sz="8" w:space="0" w:color="auto"/>
                </w:tcBorders>
                <w:vAlign w:val="center"/>
              </w:tcPr>
              <w:p w14:paraId="6E4E1944" w14:textId="77777777" w:rsidR="0098218B" w:rsidRPr="00FF027F" w:rsidRDefault="0098218B" w:rsidP="009B63E1">
                <w:pPr>
                  <w:spacing w:after="0"/>
                  <w:rPr>
                    <w:rFonts w:ascii="Verdana" w:eastAsia="Arial" w:hAnsi="Verdana" w:cs="Arial"/>
                    <w:color w:val="000000"/>
                    <w:sz w:val="20"/>
                    <w:szCs w:val="20"/>
                    <w:lang w:val="en-GB" w:eastAsia="en-GB"/>
                  </w:rPr>
                </w:pPr>
              </w:p>
            </w:tc>
            <w:tc>
              <w:tcPr>
                <w:tcW w:w="1011" w:type="dxa"/>
                <w:tcBorders>
                  <w:top w:val="nil"/>
                  <w:left w:val="nil"/>
                  <w:bottom w:val="single" w:sz="8" w:space="0" w:color="auto"/>
                  <w:right w:val="single" w:sz="8" w:space="0" w:color="auto"/>
                </w:tcBorders>
                <w:shd w:val="clear" w:color="auto" w:fill="auto"/>
                <w:vAlign w:val="center"/>
              </w:tcPr>
              <w:p w14:paraId="452C272F"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AST/SC</w:t>
                </w:r>
              </w:p>
            </w:tc>
            <w:tc>
              <w:tcPr>
                <w:tcW w:w="1420" w:type="dxa"/>
                <w:tcBorders>
                  <w:top w:val="nil"/>
                  <w:left w:val="nil"/>
                  <w:bottom w:val="single" w:sz="8" w:space="0" w:color="auto"/>
                  <w:right w:val="single" w:sz="8" w:space="0" w:color="auto"/>
                </w:tcBorders>
                <w:shd w:val="clear" w:color="auto" w:fill="auto"/>
                <w:vAlign w:val="center"/>
              </w:tcPr>
              <w:p w14:paraId="49E81C0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606" w:type="dxa"/>
                <w:tcBorders>
                  <w:top w:val="nil"/>
                  <w:left w:val="nil"/>
                  <w:bottom w:val="single" w:sz="8" w:space="0" w:color="auto"/>
                  <w:right w:val="single" w:sz="8" w:space="0" w:color="auto"/>
                </w:tcBorders>
                <w:shd w:val="clear" w:color="auto" w:fill="auto"/>
                <w:vAlign w:val="center"/>
              </w:tcPr>
              <w:p w14:paraId="688900B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87" w:type="dxa"/>
                <w:tcBorders>
                  <w:top w:val="nil"/>
                  <w:left w:val="nil"/>
                  <w:bottom w:val="single" w:sz="8" w:space="0" w:color="auto"/>
                  <w:right w:val="single" w:sz="8" w:space="0" w:color="auto"/>
                </w:tcBorders>
                <w:shd w:val="clear" w:color="auto" w:fill="auto"/>
                <w:vAlign w:val="center"/>
              </w:tcPr>
              <w:p w14:paraId="6AEDCFE3"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571" w:type="dxa"/>
                <w:tcBorders>
                  <w:top w:val="nil"/>
                  <w:left w:val="nil"/>
                  <w:bottom w:val="single" w:sz="8" w:space="0" w:color="auto"/>
                  <w:right w:val="single" w:sz="8" w:space="0" w:color="auto"/>
                </w:tcBorders>
                <w:shd w:val="clear" w:color="auto" w:fill="auto"/>
                <w:vAlign w:val="center"/>
              </w:tcPr>
              <w:p w14:paraId="404D1C0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286" w:type="dxa"/>
                <w:tcBorders>
                  <w:top w:val="nil"/>
                  <w:left w:val="nil"/>
                  <w:bottom w:val="single" w:sz="8" w:space="0" w:color="auto"/>
                  <w:right w:val="single" w:sz="8" w:space="0" w:color="auto"/>
                </w:tcBorders>
                <w:shd w:val="clear" w:color="auto" w:fill="auto"/>
                <w:vAlign w:val="center"/>
              </w:tcPr>
              <w:p w14:paraId="6938BCA9" w14:textId="77777777" w:rsidR="0098218B" w:rsidRPr="00FF027F" w:rsidRDefault="0098218B" w:rsidP="00DA3F49">
                <w:pPr>
                  <w:spacing w:after="0"/>
                  <w:jc w:val="right"/>
                  <w:rPr>
                    <w:rFonts w:ascii="Verdana" w:eastAsia="Arial" w:hAnsi="Verdana" w:cs="Arial"/>
                    <w:color w:val="000000"/>
                    <w:sz w:val="20"/>
                    <w:szCs w:val="20"/>
                    <w:lang w:val="en-GB" w:eastAsia="en-GB"/>
                  </w:rPr>
                </w:pPr>
              </w:p>
            </w:tc>
            <w:tc>
              <w:tcPr>
                <w:tcW w:w="1111" w:type="dxa"/>
                <w:tcBorders>
                  <w:top w:val="nil"/>
                  <w:left w:val="nil"/>
                  <w:bottom w:val="single" w:sz="8" w:space="0" w:color="auto"/>
                  <w:right w:val="single" w:sz="8" w:space="0" w:color="auto"/>
                </w:tcBorders>
                <w:shd w:val="clear" w:color="auto" w:fill="auto"/>
                <w:vAlign w:val="center"/>
              </w:tcPr>
              <w:p w14:paraId="40AA9F3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tcPr>
              <w:p w14:paraId="6CAB22E6"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tcPr>
              <w:p w14:paraId="7C66BF8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810" w:type="dxa"/>
                <w:tcBorders>
                  <w:top w:val="nil"/>
                  <w:left w:val="nil"/>
                  <w:bottom w:val="nil"/>
                  <w:right w:val="nil"/>
                </w:tcBorders>
                <w:shd w:val="clear" w:color="auto" w:fill="auto"/>
                <w:noWrap/>
                <w:vAlign w:val="bottom"/>
              </w:tcPr>
              <w:p w14:paraId="0CCF5094"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62BE0A54" w14:textId="77777777" w:rsidTr="003733C8">
            <w:trPr>
              <w:trHeight w:val="330"/>
            </w:trPr>
            <w:tc>
              <w:tcPr>
                <w:tcW w:w="1059" w:type="dxa"/>
                <w:vMerge w:val="restart"/>
                <w:tcBorders>
                  <w:top w:val="nil"/>
                  <w:left w:val="single" w:sz="8" w:space="0" w:color="auto"/>
                  <w:right w:val="single" w:sz="8" w:space="0" w:color="auto"/>
                </w:tcBorders>
                <w:shd w:val="clear" w:color="auto" w:fill="auto"/>
                <w:vAlign w:val="center"/>
                <w:hideMark/>
              </w:tcPr>
              <w:p w14:paraId="7187A2FC"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TA</w:t>
                </w:r>
              </w:p>
            </w:tc>
            <w:tc>
              <w:tcPr>
                <w:tcW w:w="1011" w:type="dxa"/>
                <w:tcBorders>
                  <w:top w:val="nil"/>
                  <w:left w:val="nil"/>
                  <w:bottom w:val="single" w:sz="8" w:space="0" w:color="auto"/>
                  <w:right w:val="single" w:sz="8" w:space="0" w:color="auto"/>
                </w:tcBorders>
                <w:shd w:val="clear" w:color="auto" w:fill="auto"/>
                <w:vAlign w:val="center"/>
                <w:hideMark/>
              </w:tcPr>
              <w:p w14:paraId="7B84974D"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AD</w:t>
                </w:r>
              </w:p>
            </w:tc>
            <w:tc>
              <w:tcPr>
                <w:tcW w:w="1420" w:type="dxa"/>
                <w:tcBorders>
                  <w:top w:val="nil"/>
                  <w:left w:val="nil"/>
                  <w:bottom w:val="single" w:sz="8" w:space="0" w:color="auto"/>
                  <w:right w:val="single" w:sz="8" w:space="0" w:color="auto"/>
                </w:tcBorders>
                <w:shd w:val="clear" w:color="auto" w:fill="auto"/>
                <w:vAlign w:val="center"/>
                <w:hideMark/>
              </w:tcPr>
              <w:p w14:paraId="28AD6B9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30</w:t>
                </w:r>
              </w:p>
            </w:tc>
            <w:tc>
              <w:tcPr>
                <w:tcW w:w="1606" w:type="dxa"/>
                <w:tcBorders>
                  <w:top w:val="nil"/>
                  <w:left w:val="nil"/>
                  <w:bottom w:val="single" w:sz="8" w:space="0" w:color="auto"/>
                  <w:right w:val="single" w:sz="8" w:space="0" w:color="auto"/>
                </w:tcBorders>
                <w:shd w:val="clear" w:color="auto" w:fill="auto"/>
                <w:vAlign w:val="center"/>
                <w:hideMark/>
              </w:tcPr>
              <w:p w14:paraId="200675F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34</w:t>
                </w:r>
              </w:p>
            </w:tc>
            <w:tc>
              <w:tcPr>
                <w:tcW w:w="1387" w:type="dxa"/>
                <w:tcBorders>
                  <w:top w:val="nil"/>
                  <w:left w:val="nil"/>
                  <w:bottom w:val="single" w:sz="8" w:space="0" w:color="auto"/>
                  <w:right w:val="single" w:sz="8" w:space="0" w:color="auto"/>
                </w:tcBorders>
                <w:shd w:val="clear" w:color="auto" w:fill="auto"/>
                <w:vAlign w:val="center"/>
                <w:hideMark/>
              </w:tcPr>
              <w:p w14:paraId="32E8A8A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33</w:t>
                </w:r>
              </w:p>
            </w:tc>
            <w:tc>
              <w:tcPr>
                <w:tcW w:w="1571" w:type="dxa"/>
                <w:tcBorders>
                  <w:top w:val="nil"/>
                  <w:left w:val="nil"/>
                  <w:bottom w:val="single" w:sz="8" w:space="0" w:color="auto"/>
                  <w:right w:val="single" w:sz="8" w:space="0" w:color="auto"/>
                </w:tcBorders>
                <w:shd w:val="clear" w:color="auto" w:fill="auto"/>
                <w:vAlign w:val="center"/>
                <w:hideMark/>
              </w:tcPr>
              <w:p w14:paraId="229BB8C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39</w:t>
                </w:r>
              </w:p>
            </w:tc>
            <w:tc>
              <w:tcPr>
                <w:tcW w:w="1286" w:type="dxa"/>
                <w:tcBorders>
                  <w:top w:val="nil"/>
                  <w:left w:val="nil"/>
                  <w:bottom w:val="single" w:sz="8" w:space="0" w:color="auto"/>
                  <w:right w:val="single" w:sz="8" w:space="0" w:color="auto"/>
                </w:tcBorders>
                <w:shd w:val="clear" w:color="auto" w:fill="auto"/>
                <w:vAlign w:val="center"/>
                <w:hideMark/>
              </w:tcPr>
              <w:p w14:paraId="4B0DAD5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66C0FCF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72</w:t>
                </w:r>
              </w:p>
            </w:tc>
            <w:tc>
              <w:tcPr>
                <w:tcW w:w="1359" w:type="dxa"/>
                <w:tcBorders>
                  <w:top w:val="nil"/>
                  <w:left w:val="nil"/>
                  <w:bottom w:val="single" w:sz="8" w:space="0" w:color="auto"/>
                  <w:right w:val="single" w:sz="8" w:space="0" w:color="auto"/>
                </w:tcBorders>
                <w:shd w:val="clear" w:color="auto" w:fill="auto"/>
                <w:vAlign w:val="center"/>
                <w:hideMark/>
              </w:tcPr>
              <w:p w14:paraId="14B649D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72</w:t>
                </w:r>
              </w:p>
            </w:tc>
            <w:tc>
              <w:tcPr>
                <w:tcW w:w="1359" w:type="dxa"/>
                <w:tcBorders>
                  <w:top w:val="nil"/>
                  <w:left w:val="nil"/>
                  <w:bottom w:val="single" w:sz="8" w:space="0" w:color="auto"/>
                  <w:right w:val="single" w:sz="8" w:space="0" w:color="auto"/>
                </w:tcBorders>
                <w:shd w:val="clear" w:color="auto" w:fill="auto"/>
                <w:vAlign w:val="center"/>
                <w:hideMark/>
              </w:tcPr>
              <w:p w14:paraId="303B34A4"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72</w:t>
                </w:r>
              </w:p>
            </w:tc>
            <w:tc>
              <w:tcPr>
                <w:tcW w:w="810" w:type="dxa"/>
                <w:tcBorders>
                  <w:top w:val="nil"/>
                  <w:left w:val="nil"/>
                  <w:bottom w:val="nil"/>
                  <w:right w:val="nil"/>
                </w:tcBorders>
                <w:shd w:val="clear" w:color="auto" w:fill="auto"/>
                <w:noWrap/>
                <w:vAlign w:val="bottom"/>
                <w:hideMark/>
              </w:tcPr>
              <w:p w14:paraId="6A5F3D42"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01D632C0" w14:textId="77777777" w:rsidTr="003733C8">
            <w:trPr>
              <w:trHeight w:val="330"/>
            </w:trPr>
            <w:tc>
              <w:tcPr>
                <w:tcW w:w="1059" w:type="dxa"/>
                <w:vMerge/>
                <w:tcBorders>
                  <w:left w:val="single" w:sz="8" w:space="0" w:color="auto"/>
                  <w:right w:val="single" w:sz="8" w:space="0" w:color="auto"/>
                </w:tcBorders>
                <w:vAlign w:val="center"/>
                <w:hideMark/>
              </w:tcPr>
              <w:p w14:paraId="2F9F344C" w14:textId="77777777" w:rsidR="0098218B" w:rsidRPr="00FF027F" w:rsidRDefault="0098218B" w:rsidP="009B63E1">
                <w:pPr>
                  <w:spacing w:after="0"/>
                  <w:rPr>
                    <w:rFonts w:ascii="Verdana" w:eastAsia="Arial" w:hAnsi="Verdana" w:cs="Arial"/>
                    <w:color w:val="000000"/>
                    <w:sz w:val="20"/>
                    <w:szCs w:val="20"/>
                    <w:lang w:val="en-GB" w:eastAsia="en-GB"/>
                  </w:rPr>
                </w:pPr>
              </w:p>
            </w:tc>
            <w:tc>
              <w:tcPr>
                <w:tcW w:w="1011" w:type="dxa"/>
                <w:tcBorders>
                  <w:top w:val="nil"/>
                  <w:left w:val="nil"/>
                  <w:bottom w:val="single" w:sz="8" w:space="0" w:color="auto"/>
                  <w:right w:val="single" w:sz="8" w:space="0" w:color="auto"/>
                </w:tcBorders>
                <w:shd w:val="clear" w:color="auto" w:fill="auto"/>
                <w:vAlign w:val="center"/>
                <w:hideMark/>
              </w:tcPr>
              <w:p w14:paraId="09A62426"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AST</w:t>
                </w:r>
              </w:p>
            </w:tc>
            <w:tc>
              <w:tcPr>
                <w:tcW w:w="1420" w:type="dxa"/>
                <w:tcBorders>
                  <w:top w:val="nil"/>
                  <w:left w:val="nil"/>
                  <w:bottom w:val="single" w:sz="8" w:space="0" w:color="auto"/>
                  <w:right w:val="single" w:sz="8" w:space="0" w:color="auto"/>
                </w:tcBorders>
                <w:shd w:val="clear" w:color="auto" w:fill="auto"/>
                <w:vAlign w:val="center"/>
                <w:hideMark/>
              </w:tcPr>
              <w:p w14:paraId="45C585C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12</w:t>
                </w:r>
              </w:p>
            </w:tc>
            <w:tc>
              <w:tcPr>
                <w:tcW w:w="1606" w:type="dxa"/>
                <w:tcBorders>
                  <w:top w:val="nil"/>
                  <w:left w:val="nil"/>
                  <w:bottom w:val="single" w:sz="8" w:space="0" w:color="auto"/>
                  <w:right w:val="single" w:sz="8" w:space="0" w:color="auto"/>
                </w:tcBorders>
                <w:shd w:val="clear" w:color="auto" w:fill="auto"/>
                <w:vAlign w:val="center"/>
                <w:hideMark/>
              </w:tcPr>
              <w:p w14:paraId="45AA9B3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15</w:t>
                </w:r>
              </w:p>
            </w:tc>
            <w:tc>
              <w:tcPr>
                <w:tcW w:w="1387" w:type="dxa"/>
                <w:tcBorders>
                  <w:top w:val="nil"/>
                  <w:left w:val="nil"/>
                  <w:bottom w:val="single" w:sz="8" w:space="0" w:color="auto"/>
                  <w:right w:val="single" w:sz="8" w:space="0" w:color="auto"/>
                </w:tcBorders>
                <w:shd w:val="clear" w:color="auto" w:fill="auto"/>
                <w:vAlign w:val="center"/>
                <w:hideMark/>
              </w:tcPr>
              <w:p w14:paraId="3D12022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14</w:t>
                </w:r>
              </w:p>
            </w:tc>
            <w:tc>
              <w:tcPr>
                <w:tcW w:w="1571" w:type="dxa"/>
                <w:tcBorders>
                  <w:top w:val="nil"/>
                  <w:left w:val="nil"/>
                  <w:bottom w:val="single" w:sz="8" w:space="0" w:color="auto"/>
                  <w:right w:val="single" w:sz="8" w:space="0" w:color="auto"/>
                </w:tcBorders>
                <w:shd w:val="clear" w:color="auto" w:fill="auto"/>
                <w:vAlign w:val="center"/>
                <w:hideMark/>
              </w:tcPr>
              <w:p w14:paraId="76E92BD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15</w:t>
                </w:r>
              </w:p>
            </w:tc>
            <w:tc>
              <w:tcPr>
                <w:tcW w:w="1286" w:type="dxa"/>
                <w:tcBorders>
                  <w:top w:val="nil"/>
                  <w:left w:val="nil"/>
                  <w:bottom w:val="single" w:sz="8" w:space="0" w:color="auto"/>
                  <w:right w:val="single" w:sz="8" w:space="0" w:color="auto"/>
                </w:tcBorders>
                <w:shd w:val="clear" w:color="auto" w:fill="auto"/>
                <w:vAlign w:val="center"/>
                <w:hideMark/>
              </w:tcPr>
              <w:p w14:paraId="6A44C91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6BE3C22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23</w:t>
                </w:r>
              </w:p>
            </w:tc>
            <w:tc>
              <w:tcPr>
                <w:tcW w:w="1359" w:type="dxa"/>
                <w:tcBorders>
                  <w:top w:val="nil"/>
                  <w:left w:val="nil"/>
                  <w:bottom w:val="single" w:sz="8" w:space="0" w:color="auto"/>
                  <w:right w:val="single" w:sz="8" w:space="0" w:color="auto"/>
                </w:tcBorders>
                <w:shd w:val="clear" w:color="auto" w:fill="auto"/>
                <w:vAlign w:val="center"/>
                <w:hideMark/>
              </w:tcPr>
              <w:p w14:paraId="1B9D79D1"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23</w:t>
                </w:r>
              </w:p>
            </w:tc>
            <w:tc>
              <w:tcPr>
                <w:tcW w:w="1359" w:type="dxa"/>
                <w:tcBorders>
                  <w:top w:val="nil"/>
                  <w:left w:val="nil"/>
                  <w:bottom w:val="single" w:sz="8" w:space="0" w:color="auto"/>
                  <w:right w:val="single" w:sz="8" w:space="0" w:color="auto"/>
                </w:tcBorders>
                <w:shd w:val="clear" w:color="auto" w:fill="auto"/>
                <w:vAlign w:val="center"/>
                <w:hideMark/>
              </w:tcPr>
              <w:p w14:paraId="0356FA68"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23</w:t>
                </w:r>
              </w:p>
            </w:tc>
            <w:tc>
              <w:tcPr>
                <w:tcW w:w="810" w:type="dxa"/>
                <w:tcBorders>
                  <w:top w:val="nil"/>
                  <w:left w:val="nil"/>
                  <w:bottom w:val="nil"/>
                  <w:right w:val="nil"/>
                </w:tcBorders>
                <w:shd w:val="clear" w:color="auto" w:fill="auto"/>
                <w:noWrap/>
                <w:vAlign w:val="bottom"/>
                <w:hideMark/>
              </w:tcPr>
              <w:p w14:paraId="3AD11317"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144EA207" w14:textId="77777777" w:rsidTr="003733C8">
            <w:trPr>
              <w:trHeight w:val="330"/>
            </w:trPr>
            <w:tc>
              <w:tcPr>
                <w:tcW w:w="1059" w:type="dxa"/>
                <w:vMerge/>
                <w:tcBorders>
                  <w:left w:val="single" w:sz="8" w:space="0" w:color="auto"/>
                  <w:bottom w:val="single" w:sz="8" w:space="0" w:color="000000"/>
                  <w:right w:val="single" w:sz="8" w:space="0" w:color="auto"/>
                </w:tcBorders>
                <w:vAlign w:val="center"/>
              </w:tcPr>
              <w:p w14:paraId="1165979D" w14:textId="77777777" w:rsidR="0098218B" w:rsidRPr="00FF027F" w:rsidRDefault="0098218B" w:rsidP="009B63E1">
                <w:pPr>
                  <w:spacing w:after="0"/>
                  <w:rPr>
                    <w:rFonts w:ascii="Verdana" w:eastAsia="Arial" w:hAnsi="Verdana" w:cs="Arial"/>
                    <w:color w:val="000000"/>
                    <w:sz w:val="20"/>
                    <w:szCs w:val="20"/>
                    <w:lang w:val="en-GB" w:eastAsia="en-GB"/>
                  </w:rPr>
                </w:pPr>
              </w:p>
            </w:tc>
            <w:tc>
              <w:tcPr>
                <w:tcW w:w="1011" w:type="dxa"/>
                <w:tcBorders>
                  <w:top w:val="nil"/>
                  <w:left w:val="nil"/>
                  <w:bottom w:val="single" w:sz="8" w:space="0" w:color="auto"/>
                  <w:right w:val="single" w:sz="8" w:space="0" w:color="auto"/>
                </w:tcBorders>
                <w:shd w:val="clear" w:color="auto" w:fill="auto"/>
                <w:vAlign w:val="center"/>
              </w:tcPr>
              <w:p w14:paraId="01762DCB"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AST/SC</w:t>
                </w:r>
              </w:p>
            </w:tc>
            <w:tc>
              <w:tcPr>
                <w:tcW w:w="1420" w:type="dxa"/>
                <w:tcBorders>
                  <w:top w:val="nil"/>
                  <w:left w:val="nil"/>
                  <w:bottom w:val="single" w:sz="8" w:space="0" w:color="auto"/>
                  <w:right w:val="single" w:sz="8" w:space="0" w:color="auto"/>
                </w:tcBorders>
                <w:shd w:val="clear" w:color="auto" w:fill="auto"/>
                <w:vAlign w:val="center"/>
              </w:tcPr>
              <w:p w14:paraId="2DC7815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606" w:type="dxa"/>
                <w:tcBorders>
                  <w:top w:val="nil"/>
                  <w:left w:val="nil"/>
                  <w:bottom w:val="single" w:sz="8" w:space="0" w:color="auto"/>
                  <w:right w:val="single" w:sz="8" w:space="0" w:color="auto"/>
                </w:tcBorders>
                <w:shd w:val="clear" w:color="auto" w:fill="auto"/>
                <w:vAlign w:val="center"/>
              </w:tcPr>
              <w:p w14:paraId="59BAA49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87" w:type="dxa"/>
                <w:tcBorders>
                  <w:top w:val="nil"/>
                  <w:left w:val="nil"/>
                  <w:bottom w:val="single" w:sz="8" w:space="0" w:color="auto"/>
                  <w:right w:val="single" w:sz="8" w:space="0" w:color="auto"/>
                </w:tcBorders>
                <w:shd w:val="clear" w:color="auto" w:fill="auto"/>
                <w:vAlign w:val="center"/>
              </w:tcPr>
              <w:p w14:paraId="684988C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571" w:type="dxa"/>
                <w:tcBorders>
                  <w:top w:val="nil"/>
                  <w:left w:val="nil"/>
                  <w:bottom w:val="single" w:sz="8" w:space="0" w:color="auto"/>
                  <w:right w:val="single" w:sz="8" w:space="0" w:color="auto"/>
                </w:tcBorders>
                <w:shd w:val="clear" w:color="auto" w:fill="auto"/>
                <w:vAlign w:val="center"/>
              </w:tcPr>
              <w:p w14:paraId="681191A2"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286" w:type="dxa"/>
                <w:tcBorders>
                  <w:top w:val="nil"/>
                  <w:left w:val="nil"/>
                  <w:bottom w:val="single" w:sz="8" w:space="0" w:color="auto"/>
                  <w:right w:val="single" w:sz="8" w:space="0" w:color="auto"/>
                </w:tcBorders>
                <w:shd w:val="clear" w:color="auto" w:fill="auto"/>
                <w:vAlign w:val="center"/>
              </w:tcPr>
              <w:p w14:paraId="050CF568" w14:textId="77777777" w:rsidR="0098218B" w:rsidRPr="00FF027F" w:rsidRDefault="0098218B" w:rsidP="00DA3F49">
                <w:pPr>
                  <w:spacing w:after="0"/>
                  <w:jc w:val="right"/>
                  <w:rPr>
                    <w:rFonts w:ascii="Verdana" w:eastAsia="Arial" w:hAnsi="Verdana" w:cs="Arial"/>
                    <w:color w:val="000000"/>
                    <w:sz w:val="20"/>
                    <w:szCs w:val="20"/>
                    <w:lang w:val="en-GB" w:eastAsia="en-GB"/>
                  </w:rPr>
                </w:pPr>
              </w:p>
            </w:tc>
            <w:tc>
              <w:tcPr>
                <w:tcW w:w="1111" w:type="dxa"/>
                <w:tcBorders>
                  <w:top w:val="nil"/>
                  <w:left w:val="nil"/>
                  <w:bottom w:val="single" w:sz="8" w:space="0" w:color="auto"/>
                  <w:right w:val="single" w:sz="8" w:space="0" w:color="auto"/>
                </w:tcBorders>
                <w:shd w:val="clear" w:color="auto" w:fill="auto"/>
                <w:vAlign w:val="center"/>
              </w:tcPr>
              <w:p w14:paraId="5D2F4C6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tcPr>
              <w:p w14:paraId="7A93F3E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tcPr>
              <w:p w14:paraId="19009387"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810" w:type="dxa"/>
                <w:tcBorders>
                  <w:top w:val="nil"/>
                  <w:left w:val="nil"/>
                  <w:bottom w:val="nil"/>
                  <w:right w:val="nil"/>
                </w:tcBorders>
                <w:shd w:val="clear" w:color="auto" w:fill="auto"/>
                <w:noWrap/>
                <w:vAlign w:val="bottom"/>
              </w:tcPr>
              <w:p w14:paraId="462854EB"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26221769" w14:textId="77777777" w:rsidTr="003733C8">
            <w:trPr>
              <w:trHeight w:val="330"/>
            </w:trPr>
            <w:tc>
              <w:tcPr>
                <w:tcW w:w="20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AA942D"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Total</w:t>
                </w:r>
              </w:p>
            </w:tc>
            <w:tc>
              <w:tcPr>
                <w:tcW w:w="1420" w:type="dxa"/>
                <w:tcBorders>
                  <w:top w:val="nil"/>
                  <w:left w:val="nil"/>
                  <w:bottom w:val="single" w:sz="8" w:space="0" w:color="auto"/>
                  <w:right w:val="single" w:sz="8" w:space="0" w:color="auto"/>
                </w:tcBorders>
                <w:shd w:val="clear" w:color="auto" w:fill="auto"/>
                <w:vAlign w:val="center"/>
                <w:hideMark/>
              </w:tcPr>
              <w:p w14:paraId="56034D93"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42</w:t>
                </w:r>
              </w:p>
            </w:tc>
            <w:tc>
              <w:tcPr>
                <w:tcW w:w="1606" w:type="dxa"/>
                <w:tcBorders>
                  <w:top w:val="nil"/>
                  <w:left w:val="nil"/>
                  <w:bottom w:val="single" w:sz="8" w:space="0" w:color="auto"/>
                  <w:right w:val="single" w:sz="8" w:space="0" w:color="auto"/>
                </w:tcBorders>
                <w:shd w:val="clear" w:color="auto" w:fill="auto"/>
                <w:vAlign w:val="center"/>
              </w:tcPr>
              <w:p w14:paraId="57C3E854"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49</w:t>
                </w:r>
              </w:p>
            </w:tc>
            <w:tc>
              <w:tcPr>
                <w:tcW w:w="1387" w:type="dxa"/>
                <w:tcBorders>
                  <w:top w:val="nil"/>
                  <w:left w:val="nil"/>
                  <w:bottom w:val="single" w:sz="8" w:space="0" w:color="auto"/>
                  <w:right w:val="single" w:sz="8" w:space="0" w:color="auto"/>
                </w:tcBorders>
                <w:shd w:val="clear" w:color="auto" w:fill="auto"/>
                <w:vAlign w:val="center"/>
              </w:tcPr>
              <w:p w14:paraId="11B4B5E3"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47</w:t>
                </w:r>
              </w:p>
            </w:tc>
            <w:tc>
              <w:tcPr>
                <w:tcW w:w="1571" w:type="dxa"/>
                <w:tcBorders>
                  <w:top w:val="nil"/>
                  <w:left w:val="nil"/>
                  <w:bottom w:val="single" w:sz="8" w:space="0" w:color="auto"/>
                  <w:right w:val="single" w:sz="8" w:space="0" w:color="auto"/>
                </w:tcBorders>
                <w:shd w:val="clear" w:color="auto" w:fill="auto"/>
                <w:vAlign w:val="center"/>
              </w:tcPr>
              <w:p w14:paraId="5CB270F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54</w:t>
                </w:r>
              </w:p>
            </w:tc>
            <w:tc>
              <w:tcPr>
                <w:tcW w:w="1286" w:type="dxa"/>
                <w:tcBorders>
                  <w:top w:val="nil"/>
                  <w:left w:val="nil"/>
                  <w:bottom w:val="single" w:sz="8" w:space="0" w:color="auto"/>
                  <w:right w:val="single" w:sz="8" w:space="0" w:color="auto"/>
                </w:tcBorders>
                <w:shd w:val="clear" w:color="auto" w:fill="auto"/>
                <w:vAlign w:val="center"/>
              </w:tcPr>
              <w:p w14:paraId="44A5D4EE" w14:textId="77777777" w:rsidR="0098218B" w:rsidRPr="00FF027F" w:rsidRDefault="0098218B" w:rsidP="00DA3F49">
                <w:pPr>
                  <w:spacing w:after="0"/>
                  <w:jc w:val="right"/>
                  <w:rPr>
                    <w:rFonts w:ascii="Verdana" w:eastAsia="Arial" w:hAnsi="Verdana" w:cs="Arial"/>
                    <w:color w:val="000000"/>
                    <w:sz w:val="20"/>
                    <w:szCs w:val="20"/>
                    <w:lang w:val="en-GB" w:eastAsia="en-GB"/>
                  </w:rPr>
                </w:pPr>
              </w:p>
            </w:tc>
            <w:tc>
              <w:tcPr>
                <w:tcW w:w="1111" w:type="dxa"/>
                <w:tcBorders>
                  <w:top w:val="nil"/>
                  <w:left w:val="nil"/>
                  <w:bottom w:val="single" w:sz="8" w:space="0" w:color="auto"/>
                  <w:right w:val="single" w:sz="8" w:space="0" w:color="auto"/>
                </w:tcBorders>
                <w:shd w:val="clear" w:color="auto" w:fill="auto"/>
                <w:vAlign w:val="center"/>
                <w:hideMark/>
              </w:tcPr>
              <w:p w14:paraId="28E696B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95</w:t>
                </w:r>
              </w:p>
            </w:tc>
            <w:tc>
              <w:tcPr>
                <w:tcW w:w="1359" w:type="dxa"/>
                <w:tcBorders>
                  <w:top w:val="nil"/>
                  <w:left w:val="nil"/>
                  <w:bottom w:val="single" w:sz="8" w:space="0" w:color="auto"/>
                  <w:right w:val="single" w:sz="8" w:space="0" w:color="auto"/>
                </w:tcBorders>
                <w:shd w:val="clear" w:color="auto" w:fill="auto"/>
                <w:vAlign w:val="center"/>
                <w:hideMark/>
              </w:tcPr>
              <w:p w14:paraId="312FAAD1"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95</w:t>
                </w:r>
              </w:p>
            </w:tc>
            <w:tc>
              <w:tcPr>
                <w:tcW w:w="1359" w:type="dxa"/>
                <w:tcBorders>
                  <w:top w:val="nil"/>
                  <w:left w:val="nil"/>
                  <w:bottom w:val="single" w:sz="8" w:space="0" w:color="auto"/>
                  <w:right w:val="single" w:sz="8" w:space="0" w:color="auto"/>
                </w:tcBorders>
                <w:shd w:val="clear" w:color="auto" w:fill="auto"/>
                <w:vAlign w:val="center"/>
                <w:hideMark/>
              </w:tcPr>
              <w:p w14:paraId="0CB8D557"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95</w:t>
                </w:r>
              </w:p>
            </w:tc>
            <w:tc>
              <w:tcPr>
                <w:tcW w:w="810" w:type="dxa"/>
                <w:tcBorders>
                  <w:top w:val="nil"/>
                  <w:left w:val="nil"/>
                  <w:bottom w:val="nil"/>
                  <w:right w:val="nil"/>
                </w:tcBorders>
                <w:shd w:val="clear" w:color="auto" w:fill="auto"/>
                <w:noWrap/>
                <w:vAlign w:val="center"/>
                <w:hideMark/>
              </w:tcPr>
              <w:p w14:paraId="29DD3409"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202ACFF6" w14:textId="77777777" w:rsidTr="009B63E1">
            <w:trPr>
              <w:trHeight w:val="330"/>
            </w:trPr>
            <w:tc>
              <w:tcPr>
                <w:tcW w:w="13169" w:type="dxa"/>
                <w:gridSpan w:val="10"/>
                <w:tcBorders>
                  <w:top w:val="single" w:sz="8" w:space="0" w:color="auto"/>
                  <w:left w:val="single" w:sz="8" w:space="0" w:color="auto"/>
                  <w:bottom w:val="single" w:sz="8" w:space="0" w:color="auto"/>
                  <w:right w:val="single" w:sz="8" w:space="0" w:color="000000"/>
                </w:tcBorders>
                <w:shd w:val="clear" w:color="000000" w:fill="BFBFBF"/>
                <w:vAlign w:val="center"/>
                <w:hideMark/>
              </w:tcPr>
              <w:p w14:paraId="04E8DE5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810" w:type="dxa"/>
                <w:tcBorders>
                  <w:top w:val="nil"/>
                  <w:left w:val="nil"/>
                  <w:bottom w:val="nil"/>
                  <w:right w:val="nil"/>
                </w:tcBorders>
                <w:shd w:val="clear" w:color="auto" w:fill="auto"/>
                <w:noWrap/>
                <w:vAlign w:val="bottom"/>
                <w:hideMark/>
              </w:tcPr>
              <w:p w14:paraId="74A6056B"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6DDA9E00" w14:textId="77777777" w:rsidTr="003733C8">
            <w:trPr>
              <w:trHeight w:val="330"/>
            </w:trPr>
            <w:tc>
              <w:tcPr>
                <w:tcW w:w="20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578CE09"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CA GFIV</w:t>
                </w:r>
              </w:p>
            </w:tc>
            <w:tc>
              <w:tcPr>
                <w:tcW w:w="1420" w:type="dxa"/>
                <w:tcBorders>
                  <w:top w:val="nil"/>
                  <w:left w:val="nil"/>
                  <w:bottom w:val="single" w:sz="8" w:space="0" w:color="auto"/>
                  <w:right w:val="single" w:sz="8" w:space="0" w:color="auto"/>
                </w:tcBorders>
                <w:shd w:val="clear" w:color="auto" w:fill="auto"/>
                <w:vAlign w:val="center"/>
                <w:hideMark/>
              </w:tcPr>
              <w:p w14:paraId="2684F58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w:t>
                </w:r>
              </w:p>
            </w:tc>
            <w:tc>
              <w:tcPr>
                <w:tcW w:w="1606" w:type="dxa"/>
                <w:tcBorders>
                  <w:top w:val="nil"/>
                  <w:left w:val="nil"/>
                  <w:bottom w:val="single" w:sz="8" w:space="0" w:color="auto"/>
                  <w:right w:val="single" w:sz="8" w:space="0" w:color="auto"/>
                </w:tcBorders>
                <w:shd w:val="clear" w:color="auto" w:fill="auto"/>
                <w:vAlign w:val="center"/>
                <w:hideMark/>
              </w:tcPr>
              <w:p w14:paraId="55CD0A9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1</w:t>
                </w:r>
              </w:p>
            </w:tc>
            <w:tc>
              <w:tcPr>
                <w:tcW w:w="1387" w:type="dxa"/>
                <w:tcBorders>
                  <w:top w:val="nil"/>
                  <w:left w:val="nil"/>
                  <w:bottom w:val="single" w:sz="8" w:space="0" w:color="auto"/>
                  <w:right w:val="single" w:sz="8" w:space="0" w:color="auto"/>
                </w:tcBorders>
                <w:shd w:val="clear" w:color="auto" w:fill="auto"/>
                <w:vAlign w:val="center"/>
                <w:hideMark/>
              </w:tcPr>
              <w:p w14:paraId="361C6A6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w:t>
                </w:r>
              </w:p>
            </w:tc>
            <w:tc>
              <w:tcPr>
                <w:tcW w:w="1571" w:type="dxa"/>
                <w:tcBorders>
                  <w:top w:val="nil"/>
                  <w:left w:val="nil"/>
                  <w:bottom w:val="single" w:sz="8" w:space="0" w:color="auto"/>
                  <w:right w:val="single" w:sz="8" w:space="0" w:color="auto"/>
                </w:tcBorders>
                <w:shd w:val="clear" w:color="auto" w:fill="auto"/>
                <w:vAlign w:val="center"/>
                <w:hideMark/>
              </w:tcPr>
              <w:p w14:paraId="7B2A843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5</w:t>
                </w:r>
              </w:p>
            </w:tc>
            <w:tc>
              <w:tcPr>
                <w:tcW w:w="1286" w:type="dxa"/>
                <w:tcBorders>
                  <w:top w:val="nil"/>
                  <w:left w:val="nil"/>
                  <w:bottom w:val="single" w:sz="8" w:space="0" w:color="auto"/>
                  <w:right w:val="single" w:sz="8" w:space="0" w:color="auto"/>
                </w:tcBorders>
                <w:shd w:val="clear" w:color="auto" w:fill="auto"/>
                <w:vAlign w:val="center"/>
                <w:hideMark/>
              </w:tcPr>
              <w:p w14:paraId="291F6F4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35FBBD7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9</w:t>
                </w:r>
              </w:p>
            </w:tc>
            <w:tc>
              <w:tcPr>
                <w:tcW w:w="1359" w:type="dxa"/>
                <w:tcBorders>
                  <w:top w:val="nil"/>
                  <w:left w:val="nil"/>
                  <w:bottom w:val="single" w:sz="8" w:space="0" w:color="auto"/>
                  <w:right w:val="single" w:sz="8" w:space="0" w:color="auto"/>
                </w:tcBorders>
                <w:shd w:val="clear" w:color="auto" w:fill="auto"/>
                <w:vAlign w:val="center"/>
                <w:hideMark/>
              </w:tcPr>
              <w:p w14:paraId="15A1836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9</w:t>
                </w:r>
              </w:p>
            </w:tc>
            <w:tc>
              <w:tcPr>
                <w:tcW w:w="1359" w:type="dxa"/>
                <w:tcBorders>
                  <w:top w:val="nil"/>
                  <w:left w:val="nil"/>
                  <w:bottom w:val="single" w:sz="8" w:space="0" w:color="auto"/>
                  <w:right w:val="single" w:sz="8" w:space="0" w:color="auto"/>
                </w:tcBorders>
                <w:shd w:val="clear" w:color="auto" w:fill="auto"/>
                <w:vAlign w:val="center"/>
                <w:hideMark/>
              </w:tcPr>
              <w:p w14:paraId="703B178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9</w:t>
                </w:r>
              </w:p>
            </w:tc>
            <w:tc>
              <w:tcPr>
                <w:tcW w:w="810" w:type="dxa"/>
                <w:tcBorders>
                  <w:top w:val="nil"/>
                  <w:left w:val="nil"/>
                  <w:bottom w:val="nil"/>
                  <w:right w:val="nil"/>
                </w:tcBorders>
                <w:shd w:val="clear" w:color="auto" w:fill="auto"/>
                <w:noWrap/>
                <w:vAlign w:val="bottom"/>
                <w:hideMark/>
              </w:tcPr>
              <w:p w14:paraId="26037635"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344FC1B5" w14:textId="77777777" w:rsidTr="003733C8">
            <w:trPr>
              <w:trHeight w:val="330"/>
            </w:trPr>
            <w:tc>
              <w:tcPr>
                <w:tcW w:w="20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6EC6287"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CA GF III</w:t>
                </w:r>
              </w:p>
            </w:tc>
            <w:tc>
              <w:tcPr>
                <w:tcW w:w="1420" w:type="dxa"/>
                <w:tcBorders>
                  <w:top w:val="nil"/>
                  <w:left w:val="nil"/>
                  <w:bottom w:val="single" w:sz="8" w:space="0" w:color="auto"/>
                  <w:right w:val="single" w:sz="8" w:space="0" w:color="auto"/>
                </w:tcBorders>
                <w:shd w:val="clear" w:color="auto" w:fill="auto"/>
                <w:vAlign w:val="center"/>
                <w:hideMark/>
              </w:tcPr>
              <w:p w14:paraId="658CD10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606" w:type="dxa"/>
                <w:tcBorders>
                  <w:top w:val="nil"/>
                  <w:left w:val="nil"/>
                  <w:bottom w:val="single" w:sz="8" w:space="0" w:color="auto"/>
                  <w:right w:val="single" w:sz="8" w:space="0" w:color="auto"/>
                </w:tcBorders>
                <w:shd w:val="clear" w:color="auto" w:fill="auto"/>
                <w:vAlign w:val="center"/>
                <w:hideMark/>
              </w:tcPr>
              <w:p w14:paraId="663CAAE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387" w:type="dxa"/>
                <w:tcBorders>
                  <w:top w:val="nil"/>
                  <w:left w:val="nil"/>
                  <w:bottom w:val="single" w:sz="8" w:space="0" w:color="auto"/>
                  <w:right w:val="single" w:sz="8" w:space="0" w:color="auto"/>
                </w:tcBorders>
                <w:shd w:val="clear" w:color="auto" w:fill="auto"/>
                <w:vAlign w:val="center"/>
                <w:hideMark/>
              </w:tcPr>
              <w:p w14:paraId="4074345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571" w:type="dxa"/>
                <w:tcBorders>
                  <w:top w:val="nil"/>
                  <w:left w:val="nil"/>
                  <w:bottom w:val="single" w:sz="8" w:space="0" w:color="auto"/>
                  <w:right w:val="single" w:sz="8" w:space="0" w:color="auto"/>
                </w:tcBorders>
                <w:shd w:val="clear" w:color="auto" w:fill="auto"/>
                <w:vAlign w:val="center"/>
                <w:hideMark/>
              </w:tcPr>
              <w:p w14:paraId="45087C5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286" w:type="dxa"/>
                <w:tcBorders>
                  <w:top w:val="nil"/>
                  <w:left w:val="nil"/>
                  <w:bottom w:val="single" w:sz="8" w:space="0" w:color="auto"/>
                  <w:right w:val="single" w:sz="8" w:space="0" w:color="auto"/>
                </w:tcBorders>
                <w:shd w:val="clear" w:color="auto" w:fill="auto"/>
                <w:vAlign w:val="center"/>
                <w:hideMark/>
              </w:tcPr>
              <w:p w14:paraId="7197F3A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6D6BD8E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359" w:type="dxa"/>
                <w:tcBorders>
                  <w:top w:val="nil"/>
                  <w:left w:val="nil"/>
                  <w:bottom w:val="single" w:sz="8" w:space="0" w:color="auto"/>
                  <w:right w:val="single" w:sz="8" w:space="0" w:color="auto"/>
                </w:tcBorders>
                <w:shd w:val="clear" w:color="auto" w:fill="auto"/>
                <w:vAlign w:val="center"/>
                <w:hideMark/>
              </w:tcPr>
              <w:p w14:paraId="5D6E45B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359" w:type="dxa"/>
                <w:tcBorders>
                  <w:top w:val="nil"/>
                  <w:left w:val="nil"/>
                  <w:bottom w:val="single" w:sz="8" w:space="0" w:color="auto"/>
                  <w:right w:val="single" w:sz="8" w:space="0" w:color="auto"/>
                </w:tcBorders>
                <w:shd w:val="clear" w:color="auto" w:fill="auto"/>
                <w:vAlign w:val="center"/>
                <w:hideMark/>
              </w:tcPr>
              <w:p w14:paraId="6A75E8F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810" w:type="dxa"/>
                <w:tcBorders>
                  <w:top w:val="nil"/>
                  <w:left w:val="nil"/>
                  <w:bottom w:val="nil"/>
                  <w:right w:val="nil"/>
                </w:tcBorders>
                <w:shd w:val="clear" w:color="auto" w:fill="auto"/>
                <w:noWrap/>
                <w:vAlign w:val="bottom"/>
                <w:hideMark/>
              </w:tcPr>
              <w:p w14:paraId="4877BB0D"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1FA910FB" w14:textId="77777777" w:rsidTr="003733C8">
            <w:trPr>
              <w:trHeight w:val="330"/>
            </w:trPr>
            <w:tc>
              <w:tcPr>
                <w:tcW w:w="20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2C70A60"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CA GF II</w:t>
                </w:r>
              </w:p>
            </w:tc>
            <w:tc>
              <w:tcPr>
                <w:tcW w:w="1420" w:type="dxa"/>
                <w:tcBorders>
                  <w:top w:val="nil"/>
                  <w:left w:val="nil"/>
                  <w:bottom w:val="single" w:sz="8" w:space="0" w:color="auto"/>
                  <w:right w:val="single" w:sz="8" w:space="0" w:color="auto"/>
                </w:tcBorders>
                <w:shd w:val="clear" w:color="auto" w:fill="auto"/>
                <w:vAlign w:val="center"/>
                <w:hideMark/>
              </w:tcPr>
              <w:p w14:paraId="58E60BF8"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3</w:t>
                </w:r>
              </w:p>
            </w:tc>
            <w:tc>
              <w:tcPr>
                <w:tcW w:w="1606" w:type="dxa"/>
                <w:tcBorders>
                  <w:top w:val="nil"/>
                  <w:left w:val="nil"/>
                  <w:bottom w:val="single" w:sz="8" w:space="0" w:color="auto"/>
                  <w:right w:val="single" w:sz="8" w:space="0" w:color="auto"/>
                </w:tcBorders>
                <w:shd w:val="clear" w:color="auto" w:fill="auto"/>
                <w:vAlign w:val="center"/>
                <w:hideMark/>
              </w:tcPr>
              <w:p w14:paraId="0C66161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6</w:t>
                </w:r>
              </w:p>
            </w:tc>
            <w:tc>
              <w:tcPr>
                <w:tcW w:w="1387" w:type="dxa"/>
                <w:tcBorders>
                  <w:top w:val="nil"/>
                  <w:left w:val="nil"/>
                  <w:bottom w:val="single" w:sz="8" w:space="0" w:color="auto"/>
                  <w:right w:val="single" w:sz="8" w:space="0" w:color="auto"/>
                </w:tcBorders>
                <w:shd w:val="clear" w:color="auto" w:fill="auto"/>
                <w:vAlign w:val="center"/>
                <w:hideMark/>
              </w:tcPr>
              <w:p w14:paraId="436B3B64"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6</w:t>
                </w:r>
              </w:p>
            </w:tc>
            <w:tc>
              <w:tcPr>
                <w:tcW w:w="1571" w:type="dxa"/>
                <w:tcBorders>
                  <w:top w:val="nil"/>
                  <w:left w:val="nil"/>
                  <w:bottom w:val="single" w:sz="8" w:space="0" w:color="auto"/>
                  <w:right w:val="single" w:sz="8" w:space="0" w:color="auto"/>
                </w:tcBorders>
                <w:shd w:val="clear" w:color="auto" w:fill="auto"/>
                <w:vAlign w:val="center"/>
                <w:hideMark/>
              </w:tcPr>
              <w:p w14:paraId="03D2318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6</w:t>
                </w:r>
              </w:p>
            </w:tc>
            <w:tc>
              <w:tcPr>
                <w:tcW w:w="1286" w:type="dxa"/>
                <w:tcBorders>
                  <w:top w:val="nil"/>
                  <w:left w:val="nil"/>
                  <w:bottom w:val="single" w:sz="8" w:space="0" w:color="auto"/>
                  <w:right w:val="single" w:sz="8" w:space="0" w:color="auto"/>
                </w:tcBorders>
                <w:shd w:val="clear" w:color="auto" w:fill="auto"/>
                <w:vAlign w:val="center"/>
                <w:hideMark/>
              </w:tcPr>
              <w:p w14:paraId="31C3362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29023B4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6</w:t>
                </w:r>
              </w:p>
            </w:tc>
            <w:tc>
              <w:tcPr>
                <w:tcW w:w="1359" w:type="dxa"/>
                <w:tcBorders>
                  <w:top w:val="nil"/>
                  <w:left w:val="nil"/>
                  <w:bottom w:val="single" w:sz="8" w:space="0" w:color="auto"/>
                  <w:right w:val="single" w:sz="8" w:space="0" w:color="auto"/>
                </w:tcBorders>
                <w:shd w:val="clear" w:color="auto" w:fill="auto"/>
                <w:vAlign w:val="center"/>
                <w:hideMark/>
              </w:tcPr>
              <w:p w14:paraId="55A9185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6</w:t>
                </w:r>
              </w:p>
            </w:tc>
            <w:tc>
              <w:tcPr>
                <w:tcW w:w="1359" w:type="dxa"/>
                <w:tcBorders>
                  <w:top w:val="nil"/>
                  <w:left w:val="nil"/>
                  <w:bottom w:val="single" w:sz="8" w:space="0" w:color="auto"/>
                  <w:right w:val="single" w:sz="8" w:space="0" w:color="auto"/>
                </w:tcBorders>
                <w:shd w:val="clear" w:color="auto" w:fill="auto"/>
                <w:vAlign w:val="center"/>
                <w:hideMark/>
              </w:tcPr>
              <w:p w14:paraId="5316A92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6</w:t>
                </w:r>
              </w:p>
            </w:tc>
            <w:tc>
              <w:tcPr>
                <w:tcW w:w="810" w:type="dxa"/>
                <w:tcBorders>
                  <w:top w:val="nil"/>
                  <w:left w:val="nil"/>
                  <w:bottom w:val="nil"/>
                  <w:right w:val="nil"/>
                </w:tcBorders>
                <w:shd w:val="clear" w:color="auto" w:fill="auto"/>
                <w:noWrap/>
                <w:vAlign w:val="bottom"/>
                <w:hideMark/>
              </w:tcPr>
              <w:p w14:paraId="27631854"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1FECE847" w14:textId="77777777" w:rsidTr="003733C8">
            <w:trPr>
              <w:trHeight w:val="330"/>
            </w:trPr>
            <w:tc>
              <w:tcPr>
                <w:tcW w:w="207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14:paraId="33FD2515"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CA GFI</w:t>
                </w:r>
              </w:p>
            </w:tc>
            <w:tc>
              <w:tcPr>
                <w:tcW w:w="1420" w:type="dxa"/>
                <w:tcBorders>
                  <w:top w:val="nil"/>
                  <w:left w:val="nil"/>
                  <w:bottom w:val="single" w:sz="4" w:space="0" w:color="auto"/>
                  <w:right w:val="single" w:sz="8" w:space="0" w:color="auto"/>
                </w:tcBorders>
                <w:shd w:val="clear" w:color="auto" w:fill="auto"/>
                <w:vAlign w:val="center"/>
                <w:hideMark/>
              </w:tcPr>
              <w:p w14:paraId="11845D7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606" w:type="dxa"/>
                <w:tcBorders>
                  <w:top w:val="nil"/>
                  <w:left w:val="nil"/>
                  <w:bottom w:val="single" w:sz="4" w:space="0" w:color="auto"/>
                  <w:right w:val="single" w:sz="8" w:space="0" w:color="auto"/>
                </w:tcBorders>
                <w:shd w:val="clear" w:color="auto" w:fill="auto"/>
                <w:vAlign w:val="center"/>
                <w:hideMark/>
              </w:tcPr>
              <w:p w14:paraId="1E015E1E"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387" w:type="dxa"/>
                <w:tcBorders>
                  <w:top w:val="nil"/>
                  <w:left w:val="nil"/>
                  <w:bottom w:val="single" w:sz="8" w:space="0" w:color="auto"/>
                  <w:right w:val="single" w:sz="8" w:space="0" w:color="auto"/>
                </w:tcBorders>
                <w:shd w:val="clear" w:color="auto" w:fill="auto"/>
                <w:vAlign w:val="center"/>
                <w:hideMark/>
              </w:tcPr>
              <w:p w14:paraId="358462D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571" w:type="dxa"/>
                <w:tcBorders>
                  <w:top w:val="nil"/>
                  <w:left w:val="nil"/>
                  <w:bottom w:val="single" w:sz="8" w:space="0" w:color="auto"/>
                  <w:right w:val="single" w:sz="8" w:space="0" w:color="auto"/>
                </w:tcBorders>
                <w:shd w:val="clear" w:color="auto" w:fill="auto"/>
                <w:vAlign w:val="center"/>
                <w:hideMark/>
              </w:tcPr>
              <w:p w14:paraId="32D19A71"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286" w:type="dxa"/>
                <w:tcBorders>
                  <w:top w:val="nil"/>
                  <w:left w:val="nil"/>
                  <w:bottom w:val="single" w:sz="8" w:space="0" w:color="auto"/>
                  <w:right w:val="single" w:sz="8" w:space="0" w:color="auto"/>
                </w:tcBorders>
                <w:shd w:val="clear" w:color="auto" w:fill="auto"/>
                <w:vAlign w:val="center"/>
                <w:hideMark/>
              </w:tcPr>
              <w:p w14:paraId="2E1EB8F1"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6BA9D1D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0</w:t>
                </w:r>
              </w:p>
            </w:tc>
            <w:tc>
              <w:tcPr>
                <w:tcW w:w="1359" w:type="dxa"/>
                <w:tcBorders>
                  <w:top w:val="nil"/>
                  <w:left w:val="nil"/>
                  <w:bottom w:val="single" w:sz="8" w:space="0" w:color="auto"/>
                  <w:right w:val="single" w:sz="8" w:space="0" w:color="auto"/>
                </w:tcBorders>
                <w:shd w:val="clear" w:color="auto" w:fill="auto"/>
                <w:vAlign w:val="center"/>
                <w:hideMark/>
              </w:tcPr>
              <w:p w14:paraId="6CE4DCB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1359" w:type="dxa"/>
                <w:tcBorders>
                  <w:top w:val="nil"/>
                  <w:left w:val="nil"/>
                  <w:bottom w:val="single" w:sz="8" w:space="0" w:color="auto"/>
                  <w:right w:val="single" w:sz="8" w:space="0" w:color="auto"/>
                </w:tcBorders>
                <w:shd w:val="clear" w:color="auto" w:fill="auto"/>
                <w:vAlign w:val="center"/>
                <w:hideMark/>
              </w:tcPr>
              <w:p w14:paraId="22F4DCD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0</w:t>
                </w:r>
              </w:p>
            </w:tc>
            <w:tc>
              <w:tcPr>
                <w:tcW w:w="810" w:type="dxa"/>
                <w:tcBorders>
                  <w:top w:val="nil"/>
                  <w:left w:val="nil"/>
                  <w:bottom w:val="nil"/>
                  <w:right w:val="nil"/>
                </w:tcBorders>
                <w:shd w:val="clear" w:color="auto" w:fill="auto"/>
                <w:noWrap/>
                <w:vAlign w:val="bottom"/>
                <w:hideMark/>
              </w:tcPr>
              <w:p w14:paraId="26C99F31"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45E11EA1" w14:textId="77777777" w:rsidTr="003733C8">
            <w:trPr>
              <w:trHeight w:val="330"/>
            </w:trPr>
            <w:tc>
              <w:tcPr>
                <w:tcW w:w="20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7BE96" w14:textId="77777777" w:rsidR="0098218B" w:rsidRPr="00FF027F" w:rsidRDefault="0098218B" w:rsidP="009B63E1">
                <w:pPr>
                  <w:spacing w:after="0"/>
                  <w:rPr>
                    <w:rFonts w:ascii="Verdana" w:eastAsia="Arial" w:hAnsi="Verdana" w:cs="Calibri"/>
                    <w:color w:val="000000"/>
                    <w:sz w:val="20"/>
                    <w:szCs w:val="20"/>
                    <w:lang w:val="en-GB" w:eastAsia="en-GB"/>
                  </w:rPr>
                </w:pPr>
                <w:r w:rsidRPr="00FF027F">
                  <w:rPr>
                    <w:rFonts w:ascii="Verdana" w:eastAsia="Arial" w:hAnsi="Verdana" w:cs="Calibri"/>
                    <w:color w:val="000000"/>
                    <w:sz w:val="20"/>
                    <w:szCs w:val="20"/>
                    <w:lang w:val="en-GB" w:eastAsia="en-GB"/>
                  </w:rPr>
                  <w:t>Total CA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775A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4</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A7159"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7</w:t>
                </w:r>
              </w:p>
            </w:tc>
            <w:tc>
              <w:tcPr>
                <w:tcW w:w="1387" w:type="dxa"/>
                <w:tcBorders>
                  <w:top w:val="nil"/>
                  <w:left w:val="single" w:sz="4" w:space="0" w:color="auto"/>
                  <w:bottom w:val="single" w:sz="8" w:space="0" w:color="auto"/>
                  <w:right w:val="single" w:sz="8" w:space="0" w:color="auto"/>
                </w:tcBorders>
                <w:shd w:val="clear" w:color="auto" w:fill="auto"/>
                <w:vAlign w:val="center"/>
                <w:hideMark/>
              </w:tcPr>
              <w:p w14:paraId="080B34C8"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7</w:t>
                </w:r>
              </w:p>
            </w:tc>
            <w:tc>
              <w:tcPr>
                <w:tcW w:w="1571" w:type="dxa"/>
                <w:tcBorders>
                  <w:top w:val="nil"/>
                  <w:left w:val="nil"/>
                  <w:bottom w:val="single" w:sz="8" w:space="0" w:color="auto"/>
                  <w:right w:val="single" w:sz="8" w:space="0" w:color="auto"/>
                </w:tcBorders>
                <w:shd w:val="clear" w:color="auto" w:fill="auto"/>
                <w:vAlign w:val="center"/>
                <w:hideMark/>
              </w:tcPr>
              <w:p w14:paraId="30F4A124"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11</w:t>
                </w:r>
              </w:p>
            </w:tc>
            <w:tc>
              <w:tcPr>
                <w:tcW w:w="1286" w:type="dxa"/>
                <w:tcBorders>
                  <w:top w:val="nil"/>
                  <w:left w:val="nil"/>
                  <w:bottom w:val="single" w:sz="8" w:space="0" w:color="auto"/>
                  <w:right w:val="single" w:sz="8" w:space="0" w:color="auto"/>
                </w:tcBorders>
                <w:shd w:val="clear" w:color="auto" w:fill="auto"/>
                <w:vAlign w:val="center"/>
                <w:hideMark/>
              </w:tcPr>
              <w:p w14:paraId="33D6BCAB" w14:textId="77777777" w:rsidR="0098218B" w:rsidRPr="00FF027F" w:rsidRDefault="0098218B" w:rsidP="00DA3F49">
                <w:pPr>
                  <w:spacing w:after="0"/>
                  <w:jc w:val="right"/>
                  <w:rPr>
                    <w:rFonts w:ascii="Verdana" w:eastAsia="Arial" w:hAnsi="Verdana" w:cs="Arial"/>
                    <w:color w:val="000000"/>
                    <w:sz w:val="20"/>
                    <w:szCs w:val="20"/>
                    <w:lang w:val="en-GB" w:eastAsia="en-GB"/>
                  </w:rPr>
                </w:pPr>
              </w:p>
            </w:tc>
            <w:tc>
              <w:tcPr>
                <w:tcW w:w="1111" w:type="dxa"/>
                <w:tcBorders>
                  <w:top w:val="nil"/>
                  <w:left w:val="nil"/>
                  <w:bottom w:val="single" w:sz="8" w:space="0" w:color="auto"/>
                  <w:right w:val="single" w:sz="8" w:space="0" w:color="auto"/>
                </w:tcBorders>
                <w:shd w:val="clear" w:color="auto" w:fill="auto"/>
                <w:vAlign w:val="center"/>
                <w:hideMark/>
              </w:tcPr>
              <w:p w14:paraId="5010B6C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15</w:t>
                </w:r>
              </w:p>
            </w:tc>
            <w:tc>
              <w:tcPr>
                <w:tcW w:w="1359" w:type="dxa"/>
                <w:tcBorders>
                  <w:top w:val="nil"/>
                  <w:left w:val="nil"/>
                  <w:bottom w:val="single" w:sz="8" w:space="0" w:color="auto"/>
                  <w:right w:val="single" w:sz="8" w:space="0" w:color="auto"/>
                </w:tcBorders>
                <w:shd w:val="clear" w:color="auto" w:fill="auto"/>
                <w:vAlign w:val="center"/>
                <w:hideMark/>
              </w:tcPr>
              <w:p w14:paraId="2C3FBA4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15</w:t>
                </w:r>
              </w:p>
            </w:tc>
            <w:tc>
              <w:tcPr>
                <w:tcW w:w="1359" w:type="dxa"/>
                <w:tcBorders>
                  <w:top w:val="nil"/>
                  <w:left w:val="nil"/>
                  <w:bottom w:val="single" w:sz="8" w:space="0" w:color="auto"/>
                  <w:right w:val="single" w:sz="8" w:space="0" w:color="auto"/>
                </w:tcBorders>
                <w:shd w:val="clear" w:color="auto" w:fill="auto"/>
                <w:vAlign w:val="center"/>
                <w:hideMark/>
              </w:tcPr>
              <w:p w14:paraId="23DAA138"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15</w:t>
                </w:r>
              </w:p>
            </w:tc>
            <w:tc>
              <w:tcPr>
                <w:tcW w:w="810" w:type="dxa"/>
                <w:tcBorders>
                  <w:top w:val="nil"/>
                  <w:left w:val="nil"/>
                  <w:bottom w:val="nil"/>
                  <w:right w:val="nil"/>
                </w:tcBorders>
                <w:shd w:val="clear" w:color="auto" w:fill="auto"/>
                <w:noWrap/>
                <w:vAlign w:val="bottom"/>
                <w:hideMark/>
              </w:tcPr>
              <w:p w14:paraId="1567B03F"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28C8F08A" w14:textId="77777777" w:rsidTr="003733C8">
            <w:trPr>
              <w:trHeight w:val="330"/>
            </w:trPr>
            <w:tc>
              <w:tcPr>
                <w:tcW w:w="207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60D3BD"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SNE</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7DDE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8</w:t>
                </w:r>
              </w:p>
            </w:tc>
            <w:tc>
              <w:tcPr>
                <w:tcW w:w="16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93531"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16</w:t>
                </w:r>
              </w:p>
            </w:tc>
            <w:tc>
              <w:tcPr>
                <w:tcW w:w="1387" w:type="dxa"/>
                <w:tcBorders>
                  <w:top w:val="nil"/>
                  <w:left w:val="single" w:sz="4" w:space="0" w:color="auto"/>
                  <w:bottom w:val="single" w:sz="8" w:space="0" w:color="auto"/>
                  <w:right w:val="single" w:sz="8" w:space="0" w:color="auto"/>
                </w:tcBorders>
                <w:shd w:val="clear" w:color="auto" w:fill="auto"/>
                <w:vAlign w:val="center"/>
                <w:hideMark/>
              </w:tcPr>
              <w:p w14:paraId="3A7A9B2D"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15</w:t>
                </w:r>
              </w:p>
            </w:tc>
            <w:tc>
              <w:tcPr>
                <w:tcW w:w="1571" w:type="dxa"/>
                <w:tcBorders>
                  <w:top w:val="nil"/>
                  <w:left w:val="nil"/>
                  <w:bottom w:val="single" w:sz="8" w:space="0" w:color="auto"/>
                  <w:right w:val="single" w:sz="8" w:space="0" w:color="auto"/>
                </w:tcBorders>
                <w:shd w:val="clear" w:color="auto" w:fill="auto"/>
                <w:vAlign w:val="center"/>
                <w:hideMark/>
              </w:tcPr>
              <w:p w14:paraId="0C9FE94A"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 12</w:t>
                </w:r>
              </w:p>
            </w:tc>
            <w:tc>
              <w:tcPr>
                <w:tcW w:w="1286" w:type="dxa"/>
                <w:tcBorders>
                  <w:top w:val="nil"/>
                  <w:left w:val="nil"/>
                  <w:bottom w:val="single" w:sz="8" w:space="0" w:color="auto"/>
                  <w:right w:val="single" w:sz="8" w:space="0" w:color="auto"/>
                </w:tcBorders>
                <w:shd w:val="clear" w:color="auto" w:fill="auto"/>
                <w:vAlign w:val="center"/>
                <w:hideMark/>
              </w:tcPr>
              <w:p w14:paraId="6DC56A7C"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w:t>
                </w:r>
              </w:p>
            </w:tc>
            <w:tc>
              <w:tcPr>
                <w:tcW w:w="1111" w:type="dxa"/>
                <w:tcBorders>
                  <w:top w:val="nil"/>
                  <w:left w:val="nil"/>
                  <w:bottom w:val="single" w:sz="8" w:space="0" w:color="auto"/>
                  <w:right w:val="single" w:sz="8" w:space="0" w:color="auto"/>
                </w:tcBorders>
                <w:shd w:val="clear" w:color="auto" w:fill="auto"/>
                <w:vAlign w:val="center"/>
                <w:hideMark/>
              </w:tcPr>
              <w:p w14:paraId="4993168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8</w:t>
                </w:r>
              </w:p>
            </w:tc>
            <w:tc>
              <w:tcPr>
                <w:tcW w:w="1359" w:type="dxa"/>
                <w:tcBorders>
                  <w:top w:val="nil"/>
                  <w:left w:val="nil"/>
                  <w:bottom w:val="single" w:sz="8" w:space="0" w:color="auto"/>
                  <w:right w:val="single" w:sz="8" w:space="0" w:color="auto"/>
                </w:tcBorders>
                <w:shd w:val="clear" w:color="auto" w:fill="auto"/>
                <w:vAlign w:val="center"/>
                <w:hideMark/>
              </w:tcPr>
              <w:p w14:paraId="2AD3054B"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8</w:t>
                </w:r>
              </w:p>
            </w:tc>
            <w:tc>
              <w:tcPr>
                <w:tcW w:w="1359" w:type="dxa"/>
                <w:tcBorders>
                  <w:top w:val="nil"/>
                  <w:left w:val="nil"/>
                  <w:bottom w:val="single" w:sz="8" w:space="0" w:color="auto"/>
                  <w:right w:val="single" w:sz="8" w:space="0" w:color="auto"/>
                </w:tcBorders>
                <w:shd w:val="clear" w:color="auto" w:fill="auto"/>
                <w:vAlign w:val="center"/>
                <w:hideMark/>
              </w:tcPr>
              <w:p w14:paraId="7C7ECB16"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8</w:t>
                </w:r>
              </w:p>
            </w:tc>
            <w:tc>
              <w:tcPr>
                <w:tcW w:w="810" w:type="dxa"/>
                <w:tcBorders>
                  <w:top w:val="nil"/>
                  <w:left w:val="nil"/>
                  <w:bottom w:val="nil"/>
                  <w:right w:val="nil"/>
                </w:tcBorders>
                <w:shd w:val="clear" w:color="auto" w:fill="auto"/>
                <w:noWrap/>
                <w:vAlign w:val="bottom"/>
                <w:hideMark/>
              </w:tcPr>
              <w:p w14:paraId="2741F7B7" w14:textId="77777777" w:rsidR="0098218B" w:rsidRPr="00FF027F" w:rsidRDefault="0098218B" w:rsidP="009B63E1">
                <w:pPr>
                  <w:spacing w:after="0"/>
                  <w:rPr>
                    <w:rFonts w:ascii="Verdana" w:eastAsia="Arial" w:hAnsi="Verdana" w:cs="Calibri"/>
                    <w:color w:val="000000"/>
                    <w:sz w:val="20"/>
                    <w:szCs w:val="20"/>
                    <w:lang w:val="en-GB" w:eastAsia="en-GB"/>
                  </w:rPr>
                </w:pPr>
              </w:p>
            </w:tc>
          </w:tr>
          <w:tr w:rsidR="0098218B" w:rsidRPr="00FF027F" w14:paraId="197A55D2" w14:textId="77777777" w:rsidTr="003733C8">
            <w:trPr>
              <w:trHeight w:val="330"/>
            </w:trPr>
            <w:tc>
              <w:tcPr>
                <w:tcW w:w="207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142E26F" w14:textId="77777777" w:rsidR="0098218B" w:rsidRPr="00FF027F" w:rsidRDefault="0098218B" w:rsidP="009B63E1">
                <w:pPr>
                  <w:spacing w:after="0"/>
                  <w:rPr>
                    <w:rFonts w:ascii="Verdana" w:eastAsia="Arial" w:hAnsi="Verdana" w:cs="Arial"/>
                    <w:color w:val="000000"/>
                    <w:sz w:val="20"/>
                    <w:szCs w:val="20"/>
                    <w:lang w:val="en-GB" w:eastAsia="en-GB"/>
                  </w:rPr>
                </w:pPr>
                <w:r w:rsidRPr="00FF027F">
                  <w:rPr>
                    <w:rFonts w:ascii="Verdana" w:eastAsia="Arial" w:hAnsi="Verdana" w:cs="Arial"/>
                    <w:color w:val="000000"/>
                    <w:sz w:val="20"/>
                    <w:szCs w:val="20"/>
                    <w:lang w:val="en-GB" w:eastAsia="en-GB"/>
                  </w:rPr>
                  <w:t xml:space="preserve">TOTAL </w:t>
                </w:r>
              </w:p>
            </w:tc>
            <w:tc>
              <w:tcPr>
                <w:tcW w:w="1420" w:type="dxa"/>
                <w:tcBorders>
                  <w:top w:val="nil"/>
                  <w:left w:val="nil"/>
                  <w:bottom w:val="single" w:sz="8" w:space="0" w:color="auto"/>
                  <w:right w:val="single" w:sz="8" w:space="0" w:color="auto"/>
                </w:tcBorders>
                <w:shd w:val="clear" w:color="auto" w:fill="auto"/>
                <w:vAlign w:val="center"/>
                <w:hideMark/>
              </w:tcPr>
              <w:p w14:paraId="6DF57784"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54</w:t>
                </w:r>
              </w:p>
            </w:tc>
            <w:tc>
              <w:tcPr>
                <w:tcW w:w="1606" w:type="dxa"/>
                <w:tcBorders>
                  <w:top w:val="nil"/>
                  <w:left w:val="nil"/>
                  <w:bottom w:val="single" w:sz="8" w:space="0" w:color="auto"/>
                  <w:right w:val="single" w:sz="8" w:space="0" w:color="auto"/>
                </w:tcBorders>
                <w:shd w:val="clear" w:color="auto" w:fill="auto"/>
                <w:vAlign w:val="center"/>
                <w:hideMark/>
              </w:tcPr>
              <w:p w14:paraId="7CF6EFD2"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72</w:t>
                </w:r>
              </w:p>
            </w:tc>
            <w:tc>
              <w:tcPr>
                <w:tcW w:w="1387" w:type="dxa"/>
                <w:tcBorders>
                  <w:top w:val="nil"/>
                  <w:left w:val="nil"/>
                  <w:bottom w:val="single" w:sz="8" w:space="0" w:color="auto"/>
                  <w:right w:val="single" w:sz="8" w:space="0" w:color="auto"/>
                </w:tcBorders>
                <w:shd w:val="clear" w:color="auto" w:fill="auto"/>
                <w:vAlign w:val="center"/>
                <w:hideMark/>
              </w:tcPr>
              <w:p w14:paraId="285B48A5"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69</w:t>
                </w:r>
              </w:p>
            </w:tc>
            <w:tc>
              <w:tcPr>
                <w:tcW w:w="1571" w:type="dxa"/>
                <w:tcBorders>
                  <w:top w:val="nil"/>
                  <w:left w:val="nil"/>
                  <w:bottom w:val="single" w:sz="8" w:space="0" w:color="auto"/>
                  <w:right w:val="single" w:sz="8" w:space="0" w:color="auto"/>
                </w:tcBorders>
                <w:shd w:val="clear" w:color="auto" w:fill="auto"/>
                <w:vAlign w:val="center"/>
                <w:hideMark/>
              </w:tcPr>
              <w:p w14:paraId="50FEB76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77</w:t>
                </w:r>
              </w:p>
            </w:tc>
            <w:tc>
              <w:tcPr>
                <w:tcW w:w="1286" w:type="dxa"/>
                <w:tcBorders>
                  <w:top w:val="nil"/>
                  <w:left w:val="nil"/>
                  <w:bottom w:val="single" w:sz="8" w:space="0" w:color="auto"/>
                  <w:right w:val="single" w:sz="8" w:space="0" w:color="auto"/>
                </w:tcBorders>
                <w:shd w:val="clear" w:color="auto" w:fill="auto"/>
                <w:vAlign w:val="center"/>
                <w:hideMark/>
              </w:tcPr>
              <w:p w14:paraId="56D000D4" w14:textId="77777777" w:rsidR="0098218B" w:rsidRPr="00FF027F" w:rsidRDefault="0098218B" w:rsidP="00DA3F49">
                <w:pPr>
                  <w:spacing w:after="0"/>
                  <w:jc w:val="right"/>
                  <w:rPr>
                    <w:rFonts w:ascii="Verdana" w:eastAsia="Arial" w:hAnsi="Verdana" w:cs="Arial"/>
                    <w:color w:val="000000"/>
                    <w:sz w:val="20"/>
                    <w:szCs w:val="20"/>
                    <w:lang w:val="en-GB" w:eastAsia="en-GB"/>
                  </w:rPr>
                </w:pPr>
              </w:p>
            </w:tc>
            <w:tc>
              <w:tcPr>
                <w:tcW w:w="1111" w:type="dxa"/>
                <w:tcBorders>
                  <w:top w:val="nil"/>
                  <w:left w:val="nil"/>
                  <w:bottom w:val="single" w:sz="8" w:space="0" w:color="auto"/>
                  <w:right w:val="single" w:sz="8" w:space="0" w:color="auto"/>
                </w:tcBorders>
                <w:shd w:val="clear" w:color="auto" w:fill="auto"/>
                <w:vAlign w:val="center"/>
                <w:hideMark/>
              </w:tcPr>
              <w:p w14:paraId="04BCA740"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118</w:t>
                </w:r>
              </w:p>
            </w:tc>
            <w:tc>
              <w:tcPr>
                <w:tcW w:w="1359" w:type="dxa"/>
                <w:tcBorders>
                  <w:top w:val="nil"/>
                  <w:left w:val="nil"/>
                  <w:bottom w:val="single" w:sz="8" w:space="0" w:color="auto"/>
                  <w:right w:val="single" w:sz="8" w:space="0" w:color="auto"/>
                </w:tcBorders>
                <w:shd w:val="clear" w:color="auto" w:fill="auto"/>
                <w:vAlign w:val="center"/>
                <w:hideMark/>
              </w:tcPr>
              <w:p w14:paraId="5468FABF"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118</w:t>
                </w:r>
              </w:p>
            </w:tc>
            <w:tc>
              <w:tcPr>
                <w:tcW w:w="1359" w:type="dxa"/>
                <w:tcBorders>
                  <w:top w:val="nil"/>
                  <w:left w:val="nil"/>
                  <w:bottom w:val="single" w:sz="8" w:space="0" w:color="auto"/>
                  <w:right w:val="single" w:sz="8" w:space="0" w:color="auto"/>
                </w:tcBorders>
                <w:shd w:val="clear" w:color="auto" w:fill="auto"/>
                <w:vAlign w:val="center"/>
                <w:hideMark/>
              </w:tcPr>
              <w:p w14:paraId="5A684993" w14:textId="77777777" w:rsidR="0098218B" w:rsidRPr="00FF027F" w:rsidRDefault="0098218B" w:rsidP="00DA3F49">
                <w:pPr>
                  <w:spacing w:after="0"/>
                  <w:jc w:val="right"/>
                  <w:rPr>
                    <w:rFonts w:ascii="Verdana" w:eastAsia="Arial" w:hAnsi="Verdana" w:cs="Arial"/>
                    <w:color w:val="000000"/>
                    <w:sz w:val="20"/>
                    <w:szCs w:val="20"/>
                    <w:lang w:val="en-GB" w:eastAsia="en-GB"/>
                  </w:rPr>
                </w:pPr>
                <w:r w:rsidRPr="00FF027F">
                  <w:rPr>
                    <w:rFonts w:ascii="Verdana" w:hAnsi="Verdana" w:cs="Arial"/>
                    <w:color w:val="000000"/>
                    <w:sz w:val="20"/>
                    <w:szCs w:val="20"/>
                    <w:lang w:val="en-GB"/>
                  </w:rPr>
                  <w:t>118</w:t>
                </w:r>
              </w:p>
            </w:tc>
            <w:tc>
              <w:tcPr>
                <w:tcW w:w="810" w:type="dxa"/>
                <w:tcBorders>
                  <w:top w:val="nil"/>
                  <w:left w:val="nil"/>
                  <w:bottom w:val="nil"/>
                  <w:right w:val="nil"/>
                </w:tcBorders>
                <w:shd w:val="clear" w:color="auto" w:fill="auto"/>
                <w:noWrap/>
                <w:vAlign w:val="bottom"/>
                <w:hideMark/>
              </w:tcPr>
              <w:p w14:paraId="6DDB8496" w14:textId="77777777" w:rsidR="0098218B" w:rsidRPr="00FF027F" w:rsidRDefault="0098218B" w:rsidP="009B63E1">
                <w:pPr>
                  <w:spacing w:after="0"/>
                  <w:rPr>
                    <w:rFonts w:ascii="Verdana" w:eastAsia="Arial" w:hAnsi="Verdana" w:cs="Calibri"/>
                    <w:color w:val="000000"/>
                    <w:sz w:val="20"/>
                    <w:szCs w:val="20"/>
                    <w:lang w:val="en-GB" w:eastAsia="en-GB"/>
                  </w:rPr>
                </w:pPr>
              </w:p>
            </w:tc>
          </w:tr>
        </w:tbl>
        <w:p w14:paraId="3810DBA6" w14:textId="77777777" w:rsidR="000304DA" w:rsidRPr="00FF027F" w:rsidRDefault="00DF7B7F" w:rsidP="000304DA">
          <w:pPr>
            <w:pStyle w:val="Heading2"/>
            <w:numPr>
              <w:ilvl w:val="0"/>
              <w:numId w:val="0"/>
            </w:numPr>
            <w:ind w:left="90"/>
            <w:rPr>
              <w:lang w:eastAsia="en-GB"/>
            </w:rPr>
          </w:pPr>
          <w:bookmarkStart w:id="130" w:name="_Toc396913814"/>
          <w:r w:rsidRPr="00FF027F">
            <w:rPr>
              <w:lang w:eastAsia="en-GB"/>
            </w:rPr>
            <w:t>Table 2 -</w:t>
          </w:r>
          <w:r w:rsidR="001F6927" w:rsidRPr="00FF027F">
            <w:rPr>
              <w:lang w:eastAsia="en-GB"/>
            </w:rPr>
            <w:t xml:space="preserve"> Multi-annual staff policy plan Year N+1-Year N+3</w:t>
          </w:r>
          <w:bookmarkEnd w:id="130"/>
          <w:r w:rsidR="001F6927" w:rsidRPr="00FF027F">
            <w:rPr>
              <w:lang w:eastAsia="en-GB"/>
            </w:rPr>
            <w:t xml:space="preserve"> </w:t>
          </w:r>
        </w:p>
        <w:tbl>
          <w:tblPr>
            <w:tblW w:w="13972" w:type="dxa"/>
            <w:tblInd w:w="74" w:type="dxa"/>
            <w:tblLook w:val="04A0" w:firstRow="1" w:lastRow="0" w:firstColumn="1" w:lastColumn="0" w:noHBand="0" w:noVBand="1"/>
          </w:tblPr>
          <w:tblGrid>
            <w:gridCol w:w="1050"/>
            <w:gridCol w:w="883"/>
            <w:gridCol w:w="640"/>
            <w:gridCol w:w="883"/>
            <w:gridCol w:w="715"/>
            <w:gridCol w:w="883"/>
            <w:gridCol w:w="639"/>
            <w:gridCol w:w="883"/>
            <w:gridCol w:w="792"/>
            <w:gridCol w:w="883"/>
            <w:gridCol w:w="774"/>
            <w:gridCol w:w="883"/>
            <w:gridCol w:w="723"/>
            <w:gridCol w:w="883"/>
            <w:gridCol w:w="723"/>
            <w:gridCol w:w="883"/>
            <w:gridCol w:w="852"/>
          </w:tblGrid>
          <w:tr w:rsidR="00DA3F49" w:rsidRPr="00FF027F" w14:paraId="2B203C44" w14:textId="77777777" w:rsidTr="00CC33A7">
            <w:trPr>
              <w:trHeight w:val="1308"/>
            </w:trPr>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E78DA3"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Category and grade</w:t>
                </w:r>
              </w:p>
            </w:tc>
            <w:tc>
              <w:tcPr>
                <w:tcW w:w="1523" w:type="dxa"/>
                <w:gridSpan w:val="2"/>
                <w:tcBorders>
                  <w:top w:val="single" w:sz="8" w:space="0" w:color="auto"/>
                  <w:left w:val="nil"/>
                  <w:bottom w:val="single" w:sz="8" w:space="0" w:color="auto"/>
                  <w:right w:val="single" w:sz="8" w:space="0" w:color="000000"/>
                </w:tcBorders>
                <w:shd w:val="clear" w:color="auto" w:fill="auto"/>
                <w:vAlign w:val="center"/>
                <w:hideMark/>
              </w:tcPr>
              <w:p w14:paraId="6C31842C"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Establishment plan in EU Budget N-1</w:t>
                </w:r>
              </w:p>
            </w:tc>
            <w:tc>
              <w:tcPr>
                <w:tcW w:w="1598" w:type="dxa"/>
                <w:gridSpan w:val="2"/>
                <w:tcBorders>
                  <w:top w:val="single" w:sz="8" w:space="0" w:color="auto"/>
                  <w:left w:val="nil"/>
                  <w:bottom w:val="single" w:sz="8" w:space="0" w:color="auto"/>
                  <w:right w:val="single" w:sz="8" w:space="0" w:color="000000"/>
                </w:tcBorders>
                <w:shd w:val="clear" w:color="auto" w:fill="auto"/>
                <w:vAlign w:val="center"/>
                <w:hideMark/>
              </w:tcPr>
              <w:p w14:paraId="42A883A5" w14:textId="418DE178" w:rsidR="00DA3F49" w:rsidRPr="00FF027F" w:rsidRDefault="00DA3F49" w:rsidP="00016A74">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Filled as of 31/12/N-1</w:t>
                </w:r>
              </w:p>
            </w:tc>
            <w:tc>
              <w:tcPr>
                <w:tcW w:w="1522" w:type="dxa"/>
                <w:gridSpan w:val="2"/>
                <w:tcBorders>
                  <w:top w:val="single" w:sz="8" w:space="0" w:color="auto"/>
                  <w:left w:val="nil"/>
                  <w:bottom w:val="single" w:sz="8" w:space="0" w:color="auto"/>
                  <w:right w:val="single" w:sz="8" w:space="0" w:color="000000"/>
                </w:tcBorders>
                <w:shd w:val="clear" w:color="auto" w:fill="auto"/>
                <w:vAlign w:val="center"/>
                <w:hideMark/>
              </w:tcPr>
              <w:p w14:paraId="55CF2DED" w14:textId="505E395B" w:rsidR="00DA3F49" w:rsidRPr="00FF027F" w:rsidRDefault="00DA3F49" w:rsidP="00016A74">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Modifications in year N-1 in application of flexibility rule</w:t>
                </w:r>
              </w:p>
            </w:tc>
            <w:tc>
              <w:tcPr>
                <w:tcW w:w="1675" w:type="dxa"/>
                <w:gridSpan w:val="2"/>
                <w:tcBorders>
                  <w:top w:val="single" w:sz="8" w:space="0" w:color="auto"/>
                  <w:left w:val="nil"/>
                  <w:bottom w:val="single" w:sz="8" w:space="0" w:color="auto"/>
                  <w:right w:val="single" w:sz="8" w:space="0" w:color="000000"/>
                </w:tcBorders>
                <w:shd w:val="clear" w:color="auto" w:fill="auto"/>
                <w:vAlign w:val="center"/>
                <w:hideMark/>
              </w:tcPr>
              <w:p w14:paraId="0821C6E6"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Establishment plan in voted EU Budget n</w:t>
                </w:r>
              </w:p>
            </w:tc>
            <w:tc>
              <w:tcPr>
                <w:tcW w:w="1657" w:type="dxa"/>
                <w:gridSpan w:val="2"/>
                <w:tcBorders>
                  <w:top w:val="single" w:sz="8" w:space="0" w:color="auto"/>
                  <w:left w:val="nil"/>
                  <w:bottom w:val="single" w:sz="8" w:space="0" w:color="auto"/>
                  <w:right w:val="single" w:sz="8" w:space="0" w:color="000000"/>
                </w:tcBorders>
                <w:shd w:val="clear" w:color="auto" w:fill="auto"/>
                <w:vAlign w:val="center"/>
                <w:hideMark/>
              </w:tcPr>
              <w:p w14:paraId="12D82B51" w14:textId="49CB32B9" w:rsidR="00DA3F49" w:rsidRPr="00FF027F" w:rsidRDefault="00DA3F49" w:rsidP="00016A74">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Modifications in year N in application of flexibility rule</w:t>
                </w:r>
              </w:p>
            </w:tc>
            <w:tc>
              <w:tcPr>
                <w:tcW w:w="1606" w:type="dxa"/>
                <w:gridSpan w:val="2"/>
                <w:tcBorders>
                  <w:top w:val="single" w:sz="8" w:space="0" w:color="auto"/>
                  <w:left w:val="nil"/>
                  <w:bottom w:val="single" w:sz="8" w:space="0" w:color="auto"/>
                  <w:right w:val="single" w:sz="8" w:space="0" w:color="000000"/>
                </w:tcBorders>
                <w:shd w:val="clear" w:color="auto" w:fill="auto"/>
                <w:vAlign w:val="center"/>
                <w:hideMark/>
              </w:tcPr>
              <w:p w14:paraId="0A027A07"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Establishment plan in Draft EU Budget N+1</w:t>
                </w:r>
              </w:p>
            </w:tc>
            <w:tc>
              <w:tcPr>
                <w:tcW w:w="1606" w:type="dxa"/>
                <w:gridSpan w:val="2"/>
                <w:tcBorders>
                  <w:top w:val="single" w:sz="8" w:space="0" w:color="auto"/>
                  <w:left w:val="nil"/>
                  <w:bottom w:val="single" w:sz="8" w:space="0" w:color="auto"/>
                  <w:right w:val="single" w:sz="8" w:space="0" w:color="000000"/>
                </w:tcBorders>
                <w:shd w:val="clear" w:color="auto" w:fill="auto"/>
                <w:vAlign w:val="center"/>
                <w:hideMark/>
              </w:tcPr>
              <w:p w14:paraId="1C10097B"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Establishment plan N+2</w:t>
                </w:r>
              </w:p>
            </w:tc>
            <w:tc>
              <w:tcPr>
                <w:tcW w:w="1735" w:type="dxa"/>
                <w:gridSpan w:val="2"/>
                <w:tcBorders>
                  <w:top w:val="single" w:sz="8" w:space="0" w:color="auto"/>
                  <w:left w:val="nil"/>
                  <w:bottom w:val="single" w:sz="8" w:space="0" w:color="auto"/>
                  <w:right w:val="single" w:sz="8" w:space="0" w:color="000000"/>
                </w:tcBorders>
                <w:shd w:val="clear" w:color="auto" w:fill="auto"/>
                <w:vAlign w:val="center"/>
                <w:hideMark/>
              </w:tcPr>
              <w:p w14:paraId="2E486A3C"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Establishment plan N+3</w:t>
                </w:r>
              </w:p>
            </w:tc>
          </w:tr>
          <w:tr w:rsidR="00DA3F49" w:rsidRPr="00FF027F" w14:paraId="62695797" w14:textId="77777777" w:rsidTr="00CC33A7">
            <w:trPr>
              <w:trHeight w:val="309"/>
            </w:trPr>
            <w:tc>
              <w:tcPr>
                <w:tcW w:w="1050" w:type="dxa"/>
                <w:vMerge/>
                <w:tcBorders>
                  <w:top w:val="single" w:sz="8" w:space="0" w:color="auto"/>
                  <w:left w:val="single" w:sz="8" w:space="0" w:color="auto"/>
                  <w:bottom w:val="single" w:sz="8" w:space="0" w:color="000000"/>
                  <w:right w:val="single" w:sz="8" w:space="0" w:color="auto"/>
                </w:tcBorders>
                <w:vAlign w:val="center"/>
                <w:hideMark/>
              </w:tcPr>
              <w:p w14:paraId="0EB4C696" w14:textId="77777777" w:rsidR="00DA3F49" w:rsidRPr="00FF027F" w:rsidRDefault="00DA3F49" w:rsidP="009B63E1">
                <w:pPr>
                  <w:spacing w:after="0"/>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48331FB7"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640" w:type="dxa"/>
                <w:tcBorders>
                  <w:top w:val="nil"/>
                  <w:left w:val="nil"/>
                  <w:bottom w:val="single" w:sz="8" w:space="0" w:color="auto"/>
                  <w:right w:val="single" w:sz="8" w:space="0" w:color="auto"/>
                </w:tcBorders>
                <w:shd w:val="clear" w:color="auto" w:fill="auto"/>
                <w:vAlign w:val="center"/>
                <w:hideMark/>
              </w:tcPr>
              <w:p w14:paraId="6C54844C"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c>
              <w:tcPr>
                <w:tcW w:w="883" w:type="dxa"/>
                <w:tcBorders>
                  <w:top w:val="nil"/>
                  <w:left w:val="nil"/>
                  <w:bottom w:val="single" w:sz="8" w:space="0" w:color="auto"/>
                  <w:right w:val="single" w:sz="8" w:space="0" w:color="auto"/>
                </w:tcBorders>
                <w:shd w:val="clear" w:color="auto" w:fill="auto"/>
                <w:vAlign w:val="center"/>
                <w:hideMark/>
              </w:tcPr>
              <w:p w14:paraId="01644921"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715" w:type="dxa"/>
                <w:tcBorders>
                  <w:top w:val="nil"/>
                  <w:left w:val="nil"/>
                  <w:bottom w:val="single" w:sz="8" w:space="0" w:color="auto"/>
                  <w:right w:val="single" w:sz="8" w:space="0" w:color="auto"/>
                </w:tcBorders>
                <w:shd w:val="clear" w:color="auto" w:fill="auto"/>
                <w:vAlign w:val="center"/>
                <w:hideMark/>
              </w:tcPr>
              <w:p w14:paraId="7F5631A7"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c>
              <w:tcPr>
                <w:tcW w:w="883" w:type="dxa"/>
                <w:tcBorders>
                  <w:top w:val="nil"/>
                  <w:left w:val="nil"/>
                  <w:bottom w:val="single" w:sz="8" w:space="0" w:color="auto"/>
                  <w:right w:val="single" w:sz="8" w:space="0" w:color="auto"/>
                </w:tcBorders>
                <w:shd w:val="clear" w:color="auto" w:fill="auto"/>
                <w:vAlign w:val="center"/>
                <w:hideMark/>
              </w:tcPr>
              <w:p w14:paraId="28BBDC7D"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639" w:type="dxa"/>
                <w:tcBorders>
                  <w:top w:val="nil"/>
                  <w:left w:val="nil"/>
                  <w:bottom w:val="single" w:sz="8" w:space="0" w:color="auto"/>
                  <w:right w:val="single" w:sz="8" w:space="0" w:color="auto"/>
                </w:tcBorders>
                <w:shd w:val="clear" w:color="auto" w:fill="auto"/>
                <w:vAlign w:val="center"/>
                <w:hideMark/>
              </w:tcPr>
              <w:p w14:paraId="4A06805A"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c>
              <w:tcPr>
                <w:tcW w:w="883" w:type="dxa"/>
                <w:tcBorders>
                  <w:top w:val="nil"/>
                  <w:left w:val="nil"/>
                  <w:bottom w:val="single" w:sz="8" w:space="0" w:color="auto"/>
                  <w:right w:val="single" w:sz="8" w:space="0" w:color="auto"/>
                </w:tcBorders>
                <w:shd w:val="clear" w:color="auto" w:fill="auto"/>
                <w:vAlign w:val="center"/>
                <w:hideMark/>
              </w:tcPr>
              <w:p w14:paraId="7676C779"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792" w:type="dxa"/>
                <w:tcBorders>
                  <w:top w:val="nil"/>
                  <w:left w:val="nil"/>
                  <w:bottom w:val="single" w:sz="8" w:space="0" w:color="auto"/>
                  <w:right w:val="single" w:sz="8" w:space="0" w:color="auto"/>
                </w:tcBorders>
                <w:shd w:val="clear" w:color="auto" w:fill="auto"/>
                <w:vAlign w:val="center"/>
                <w:hideMark/>
              </w:tcPr>
              <w:p w14:paraId="45CF5170"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c>
              <w:tcPr>
                <w:tcW w:w="883" w:type="dxa"/>
                <w:tcBorders>
                  <w:top w:val="nil"/>
                  <w:left w:val="nil"/>
                  <w:bottom w:val="single" w:sz="8" w:space="0" w:color="auto"/>
                  <w:right w:val="single" w:sz="8" w:space="0" w:color="auto"/>
                </w:tcBorders>
                <w:shd w:val="clear" w:color="auto" w:fill="auto"/>
                <w:vAlign w:val="center"/>
                <w:hideMark/>
              </w:tcPr>
              <w:p w14:paraId="3D73FF7E"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774" w:type="dxa"/>
                <w:tcBorders>
                  <w:top w:val="nil"/>
                  <w:left w:val="nil"/>
                  <w:bottom w:val="single" w:sz="8" w:space="0" w:color="auto"/>
                  <w:right w:val="single" w:sz="8" w:space="0" w:color="auto"/>
                </w:tcBorders>
                <w:shd w:val="clear" w:color="auto" w:fill="auto"/>
                <w:vAlign w:val="center"/>
                <w:hideMark/>
              </w:tcPr>
              <w:p w14:paraId="261D5B64"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c>
              <w:tcPr>
                <w:tcW w:w="883" w:type="dxa"/>
                <w:tcBorders>
                  <w:top w:val="nil"/>
                  <w:left w:val="nil"/>
                  <w:bottom w:val="single" w:sz="8" w:space="0" w:color="auto"/>
                  <w:right w:val="single" w:sz="8" w:space="0" w:color="auto"/>
                </w:tcBorders>
                <w:shd w:val="clear" w:color="auto" w:fill="auto"/>
                <w:vAlign w:val="center"/>
                <w:hideMark/>
              </w:tcPr>
              <w:p w14:paraId="4F47E444"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723" w:type="dxa"/>
                <w:tcBorders>
                  <w:top w:val="nil"/>
                  <w:left w:val="nil"/>
                  <w:bottom w:val="single" w:sz="8" w:space="0" w:color="auto"/>
                  <w:right w:val="single" w:sz="8" w:space="0" w:color="auto"/>
                </w:tcBorders>
                <w:shd w:val="clear" w:color="auto" w:fill="auto"/>
                <w:vAlign w:val="center"/>
                <w:hideMark/>
              </w:tcPr>
              <w:p w14:paraId="140CF5D9"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c>
              <w:tcPr>
                <w:tcW w:w="883" w:type="dxa"/>
                <w:tcBorders>
                  <w:top w:val="nil"/>
                  <w:left w:val="nil"/>
                  <w:bottom w:val="single" w:sz="8" w:space="0" w:color="auto"/>
                  <w:right w:val="single" w:sz="8" w:space="0" w:color="auto"/>
                </w:tcBorders>
                <w:shd w:val="clear" w:color="auto" w:fill="auto"/>
                <w:vAlign w:val="center"/>
                <w:hideMark/>
              </w:tcPr>
              <w:p w14:paraId="504043F2"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723" w:type="dxa"/>
                <w:tcBorders>
                  <w:top w:val="nil"/>
                  <w:left w:val="nil"/>
                  <w:bottom w:val="single" w:sz="8" w:space="0" w:color="auto"/>
                  <w:right w:val="single" w:sz="8" w:space="0" w:color="auto"/>
                </w:tcBorders>
                <w:shd w:val="clear" w:color="auto" w:fill="auto"/>
                <w:vAlign w:val="center"/>
                <w:hideMark/>
              </w:tcPr>
              <w:p w14:paraId="4C7B8B02"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c>
              <w:tcPr>
                <w:tcW w:w="883" w:type="dxa"/>
                <w:tcBorders>
                  <w:top w:val="nil"/>
                  <w:left w:val="nil"/>
                  <w:bottom w:val="single" w:sz="8" w:space="0" w:color="auto"/>
                  <w:right w:val="single" w:sz="8" w:space="0" w:color="auto"/>
                </w:tcBorders>
                <w:shd w:val="clear" w:color="auto" w:fill="auto"/>
                <w:vAlign w:val="center"/>
                <w:hideMark/>
              </w:tcPr>
              <w:p w14:paraId="3A909B60"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officials</w:t>
                </w:r>
              </w:p>
            </w:tc>
            <w:tc>
              <w:tcPr>
                <w:tcW w:w="852" w:type="dxa"/>
                <w:tcBorders>
                  <w:top w:val="nil"/>
                  <w:left w:val="nil"/>
                  <w:bottom w:val="single" w:sz="8" w:space="0" w:color="auto"/>
                  <w:right w:val="single" w:sz="8" w:space="0" w:color="auto"/>
                </w:tcBorders>
                <w:shd w:val="clear" w:color="auto" w:fill="auto"/>
                <w:vAlign w:val="center"/>
                <w:hideMark/>
              </w:tcPr>
              <w:p w14:paraId="58A58EEF"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TA</w:t>
                </w:r>
              </w:p>
            </w:tc>
          </w:tr>
          <w:tr w:rsidR="00DA3F49" w:rsidRPr="00FF027F" w14:paraId="4FD28F75"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7E5223DA"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16</w:t>
                </w:r>
              </w:p>
            </w:tc>
            <w:tc>
              <w:tcPr>
                <w:tcW w:w="883" w:type="dxa"/>
                <w:tcBorders>
                  <w:top w:val="nil"/>
                  <w:left w:val="nil"/>
                  <w:bottom w:val="single" w:sz="8" w:space="0" w:color="auto"/>
                  <w:right w:val="single" w:sz="8" w:space="0" w:color="auto"/>
                </w:tcBorders>
                <w:shd w:val="clear" w:color="auto" w:fill="auto"/>
                <w:hideMark/>
              </w:tcPr>
              <w:p w14:paraId="303666E5"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32162D0B"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7CACE46"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5A580DA6"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F10784F"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35E47B31"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956D075"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3287E12F"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1D6A942"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43281301"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36DF8E2"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5CF1E90A"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786170C"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7E2F0F35"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6E675B03"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0E1B7E8D"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DA3F49" w:rsidRPr="00FF027F" w14:paraId="0F74FA78"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5BD66A19"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15</w:t>
                </w:r>
              </w:p>
            </w:tc>
            <w:tc>
              <w:tcPr>
                <w:tcW w:w="883" w:type="dxa"/>
                <w:tcBorders>
                  <w:top w:val="nil"/>
                  <w:left w:val="nil"/>
                  <w:bottom w:val="single" w:sz="8" w:space="0" w:color="auto"/>
                  <w:right w:val="single" w:sz="8" w:space="0" w:color="auto"/>
                </w:tcBorders>
                <w:shd w:val="clear" w:color="auto" w:fill="auto"/>
                <w:hideMark/>
              </w:tcPr>
              <w:p w14:paraId="4BB11ED1"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64F81AAE"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D246E7D"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19AF6CC2" w14:textId="77777777" w:rsidR="00DA3F49" w:rsidRPr="00FF027F" w:rsidRDefault="00DA3F49" w:rsidP="009B63E1">
                <w:pPr>
                  <w:spacing w:after="0"/>
                  <w:jc w:val="center"/>
                  <w:rPr>
                    <w:rFonts w:ascii="Calibri" w:eastAsia="Arial" w:hAnsi="Calibri"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9EBFC8E"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6D44C89F"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2D1717A"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37FB1695"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69E33FD"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6E3D43EE"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F63E531"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765C59A5"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FE80EC5"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148B70EA" w14:textId="77777777" w:rsidR="00DA3F49" w:rsidRPr="00FF027F" w:rsidRDefault="00DA3F49"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44777036"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3518B217" w14:textId="77777777" w:rsidR="00DA3F49" w:rsidRPr="00FF027F" w:rsidRDefault="00DA3F49"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1A2435" w:rsidRPr="00FF027F" w14:paraId="7D98CE2F"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15B98678"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14</w:t>
                </w:r>
              </w:p>
            </w:tc>
            <w:tc>
              <w:tcPr>
                <w:tcW w:w="883" w:type="dxa"/>
                <w:tcBorders>
                  <w:top w:val="nil"/>
                  <w:left w:val="nil"/>
                  <w:bottom w:val="single" w:sz="8" w:space="0" w:color="auto"/>
                  <w:right w:val="single" w:sz="8" w:space="0" w:color="auto"/>
                </w:tcBorders>
                <w:shd w:val="clear" w:color="auto" w:fill="auto"/>
                <w:hideMark/>
              </w:tcPr>
              <w:p w14:paraId="096857E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0300F623"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hideMark/>
              </w:tcPr>
              <w:p w14:paraId="56EF5F8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38317EF7" w14:textId="3C521D39" w:rsidR="001A2435" w:rsidRPr="00FF027F" w:rsidRDefault="001A2435"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1</w:t>
                </w:r>
              </w:p>
            </w:tc>
            <w:tc>
              <w:tcPr>
                <w:tcW w:w="883" w:type="dxa"/>
                <w:tcBorders>
                  <w:top w:val="nil"/>
                  <w:left w:val="nil"/>
                  <w:bottom w:val="single" w:sz="8" w:space="0" w:color="auto"/>
                  <w:right w:val="single" w:sz="8" w:space="0" w:color="auto"/>
                </w:tcBorders>
                <w:shd w:val="clear" w:color="auto" w:fill="auto"/>
                <w:hideMark/>
              </w:tcPr>
              <w:p w14:paraId="5DE092E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0B71C66D" w14:textId="06157BB9"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6D5F0C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7882F06F" w14:textId="5E1D37B6"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hideMark/>
              </w:tcPr>
              <w:p w14:paraId="524ED2FA"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35009604" w14:textId="05891624"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7287DF1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61861B58" w14:textId="4BEBBE28"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tcPr>
              <w:p w14:paraId="70D3DC6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0ABB48AB" w14:textId="2DEAE291"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hideMark/>
              </w:tcPr>
              <w:p w14:paraId="4DDF754D" w14:textId="2702ACF1"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10A3F91F" w14:textId="2E7C56D0"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r>
          <w:tr w:rsidR="001A2435" w:rsidRPr="00FF027F" w14:paraId="40779ECD"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6A2ADC8E"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13</w:t>
                </w:r>
              </w:p>
            </w:tc>
            <w:tc>
              <w:tcPr>
                <w:tcW w:w="883" w:type="dxa"/>
                <w:tcBorders>
                  <w:top w:val="nil"/>
                  <w:left w:val="nil"/>
                  <w:bottom w:val="single" w:sz="8" w:space="0" w:color="auto"/>
                  <w:right w:val="single" w:sz="8" w:space="0" w:color="auto"/>
                </w:tcBorders>
                <w:shd w:val="clear" w:color="auto" w:fill="auto"/>
                <w:hideMark/>
              </w:tcPr>
              <w:p w14:paraId="095C1A9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2D75C98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AC05D3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60C4CA6A" w14:textId="77777777" w:rsidR="001A2435" w:rsidRPr="00FF027F" w:rsidRDefault="001A2435" w:rsidP="009B63E1">
                <w:pPr>
                  <w:spacing w:after="0"/>
                  <w:jc w:val="center"/>
                  <w:rPr>
                    <w:rFonts w:ascii="Calibri" w:eastAsia="Arial" w:hAnsi="Calibri"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89630A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34D46E7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49E033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4CEE8C8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692FE2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002DCEF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786A235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1ADB78C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70B487C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58C9232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7564471" w14:textId="731B2FEB"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038C8283" w14:textId="750A39B6" w:rsidR="001A2435" w:rsidRPr="00FF027F" w:rsidRDefault="001A2435" w:rsidP="009B63E1">
                <w:pPr>
                  <w:spacing w:after="0"/>
                  <w:jc w:val="center"/>
                  <w:rPr>
                    <w:rFonts w:ascii="Arial" w:eastAsia="Arial" w:hAnsi="Arial" w:cs="Arial"/>
                    <w:color w:val="000000"/>
                    <w:sz w:val="20"/>
                    <w:szCs w:val="20"/>
                    <w:lang w:val="en-GB" w:eastAsia="en-GB"/>
                  </w:rPr>
                </w:pPr>
              </w:p>
            </w:tc>
          </w:tr>
          <w:tr w:rsidR="001A2435" w:rsidRPr="00FF027F" w14:paraId="63DBE658"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4813F5B0"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12</w:t>
                </w:r>
              </w:p>
            </w:tc>
            <w:tc>
              <w:tcPr>
                <w:tcW w:w="883" w:type="dxa"/>
                <w:tcBorders>
                  <w:top w:val="nil"/>
                  <w:left w:val="nil"/>
                  <w:bottom w:val="single" w:sz="8" w:space="0" w:color="auto"/>
                  <w:right w:val="single" w:sz="8" w:space="0" w:color="auto"/>
                </w:tcBorders>
                <w:shd w:val="clear" w:color="auto" w:fill="auto"/>
                <w:hideMark/>
              </w:tcPr>
              <w:p w14:paraId="40C54B4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6BE5198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F109E1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4B8CC62C" w14:textId="77777777" w:rsidR="001A2435" w:rsidRPr="00FF027F" w:rsidRDefault="001A2435" w:rsidP="009B63E1">
                <w:pPr>
                  <w:spacing w:after="0"/>
                  <w:jc w:val="center"/>
                  <w:rPr>
                    <w:rFonts w:ascii="Calibri" w:eastAsia="Arial" w:hAnsi="Calibri"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29B513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4B876C8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55BE7F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51DDBB0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25DCBE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2363F8C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4D4C4D1A"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0336B19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6448C5B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56D552E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0DB11FB" w14:textId="2454F82D"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7F4DB9C0" w14:textId="6AC18FF7" w:rsidR="001A2435" w:rsidRPr="00FF027F" w:rsidRDefault="001A2435" w:rsidP="009B63E1">
                <w:pPr>
                  <w:spacing w:after="0"/>
                  <w:jc w:val="center"/>
                  <w:rPr>
                    <w:rFonts w:ascii="Arial" w:eastAsia="Arial" w:hAnsi="Arial" w:cs="Arial"/>
                    <w:color w:val="000000"/>
                    <w:sz w:val="20"/>
                    <w:szCs w:val="20"/>
                    <w:lang w:val="en-GB" w:eastAsia="en-GB"/>
                  </w:rPr>
                </w:pPr>
              </w:p>
            </w:tc>
          </w:tr>
          <w:tr w:rsidR="001A2435" w:rsidRPr="00FF027F" w14:paraId="195E80DF"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0620B7E2"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11</w:t>
                </w:r>
              </w:p>
            </w:tc>
            <w:tc>
              <w:tcPr>
                <w:tcW w:w="883" w:type="dxa"/>
                <w:tcBorders>
                  <w:top w:val="nil"/>
                  <w:left w:val="nil"/>
                  <w:bottom w:val="single" w:sz="8" w:space="0" w:color="auto"/>
                  <w:right w:val="single" w:sz="8" w:space="0" w:color="auto"/>
                </w:tcBorders>
                <w:shd w:val="clear" w:color="auto" w:fill="auto"/>
                <w:hideMark/>
              </w:tcPr>
              <w:p w14:paraId="303AFA8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61A99A9A"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4</w:t>
                </w:r>
              </w:p>
            </w:tc>
            <w:tc>
              <w:tcPr>
                <w:tcW w:w="883" w:type="dxa"/>
                <w:tcBorders>
                  <w:top w:val="nil"/>
                  <w:left w:val="nil"/>
                  <w:bottom w:val="single" w:sz="8" w:space="0" w:color="auto"/>
                  <w:right w:val="single" w:sz="8" w:space="0" w:color="auto"/>
                </w:tcBorders>
                <w:shd w:val="clear" w:color="auto" w:fill="auto"/>
                <w:hideMark/>
              </w:tcPr>
              <w:p w14:paraId="429D016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1C4C99A0" w14:textId="0B40459D" w:rsidR="001A2435" w:rsidRPr="00FF027F" w:rsidRDefault="001A2435"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4</w:t>
                </w:r>
              </w:p>
            </w:tc>
            <w:tc>
              <w:tcPr>
                <w:tcW w:w="883" w:type="dxa"/>
                <w:tcBorders>
                  <w:top w:val="nil"/>
                  <w:left w:val="nil"/>
                  <w:bottom w:val="single" w:sz="8" w:space="0" w:color="auto"/>
                  <w:right w:val="single" w:sz="8" w:space="0" w:color="auto"/>
                </w:tcBorders>
                <w:shd w:val="clear" w:color="auto" w:fill="auto"/>
                <w:hideMark/>
              </w:tcPr>
              <w:p w14:paraId="41AE5F9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59964D91" w14:textId="01381BB0"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62A9D7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5BE81714" w14:textId="21EF1FD4"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4</w:t>
                </w:r>
              </w:p>
            </w:tc>
            <w:tc>
              <w:tcPr>
                <w:tcW w:w="883" w:type="dxa"/>
                <w:tcBorders>
                  <w:top w:val="nil"/>
                  <w:left w:val="nil"/>
                  <w:bottom w:val="single" w:sz="8" w:space="0" w:color="auto"/>
                  <w:right w:val="single" w:sz="8" w:space="0" w:color="auto"/>
                </w:tcBorders>
                <w:shd w:val="clear" w:color="auto" w:fill="auto"/>
                <w:hideMark/>
              </w:tcPr>
              <w:p w14:paraId="71CA384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75DEBA3C" w14:textId="5A5E881C"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7C9B8F1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76CDA34C" w14:textId="1EBCEAB9"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5</w:t>
                </w:r>
              </w:p>
            </w:tc>
            <w:tc>
              <w:tcPr>
                <w:tcW w:w="883" w:type="dxa"/>
                <w:tcBorders>
                  <w:top w:val="nil"/>
                  <w:left w:val="nil"/>
                  <w:bottom w:val="single" w:sz="8" w:space="0" w:color="auto"/>
                  <w:right w:val="single" w:sz="8" w:space="0" w:color="auto"/>
                </w:tcBorders>
                <w:shd w:val="clear" w:color="auto" w:fill="auto"/>
              </w:tcPr>
              <w:p w14:paraId="49FE862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446C9301" w14:textId="50857593"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5</w:t>
                </w:r>
              </w:p>
            </w:tc>
            <w:tc>
              <w:tcPr>
                <w:tcW w:w="883" w:type="dxa"/>
                <w:tcBorders>
                  <w:top w:val="nil"/>
                  <w:left w:val="nil"/>
                  <w:bottom w:val="single" w:sz="8" w:space="0" w:color="auto"/>
                  <w:right w:val="single" w:sz="8" w:space="0" w:color="auto"/>
                </w:tcBorders>
                <w:shd w:val="clear" w:color="auto" w:fill="auto"/>
                <w:hideMark/>
              </w:tcPr>
              <w:p w14:paraId="1450603D" w14:textId="2AFC755A"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6A88B396" w14:textId="44EAEFAC"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5</w:t>
                </w:r>
              </w:p>
            </w:tc>
          </w:tr>
          <w:tr w:rsidR="001A2435" w:rsidRPr="00FF027F" w14:paraId="68377555"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5982BCC2"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10</w:t>
                </w:r>
              </w:p>
            </w:tc>
            <w:tc>
              <w:tcPr>
                <w:tcW w:w="883" w:type="dxa"/>
                <w:tcBorders>
                  <w:top w:val="nil"/>
                  <w:left w:val="nil"/>
                  <w:bottom w:val="single" w:sz="8" w:space="0" w:color="auto"/>
                  <w:right w:val="single" w:sz="8" w:space="0" w:color="auto"/>
                </w:tcBorders>
                <w:shd w:val="clear" w:color="auto" w:fill="auto"/>
                <w:hideMark/>
              </w:tcPr>
              <w:p w14:paraId="07903ED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43C761D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3018DF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7DAFDED2" w14:textId="77777777" w:rsidR="001A2435" w:rsidRPr="00FF027F" w:rsidRDefault="001A2435" w:rsidP="009B63E1">
                <w:pPr>
                  <w:spacing w:after="0"/>
                  <w:jc w:val="center"/>
                  <w:rPr>
                    <w:rFonts w:ascii="Calibri" w:eastAsia="Arial" w:hAnsi="Calibri"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F0410E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3A0A510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8D2655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7A86632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096402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6F29185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16970C6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3BC3CD1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61A0E1D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7405158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217B1C4" w14:textId="03F97A85"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620B57E2" w14:textId="14DDFC69" w:rsidR="001A2435" w:rsidRPr="00FF027F" w:rsidRDefault="001A2435" w:rsidP="009B63E1">
                <w:pPr>
                  <w:spacing w:after="0"/>
                  <w:jc w:val="center"/>
                  <w:rPr>
                    <w:rFonts w:ascii="Arial" w:eastAsia="Arial" w:hAnsi="Arial" w:cs="Arial"/>
                    <w:color w:val="000000"/>
                    <w:sz w:val="20"/>
                    <w:szCs w:val="20"/>
                    <w:lang w:val="en-GB" w:eastAsia="en-GB"/>
                  </w:rPr>
                </w:pPr>
              </w:p>
            </w:tc>
          </w:tr>
          <w:tr w:rsidR="001A2435" w:rsidRPr="00FF027F" w14:paraId="2DC4B8EB"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329D34DE"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9</w:t>
                </w:r>
              </w:p>
            </w:tc>
            <w:tc>
              <w:tcPr>
                <w:tcW w:w="883" w:type="dxa"/>
                <w:tcBorders>
                  <w:top w:val="nil"/>
                  <w:left w:val="nil"/>
                  <w:bottom w:val="single" w:sz="8" w:space="0" w:color="auto"/>
                  <w:right w:val="single" w:sz="8" w:space="0" w:color="auto"/>
                </w:tcBorders>
                <w:shd w:val="clear" w:color="auto" w:fill="auto"/>
                <w:hideMark/>
              </w:tcPr>
              <w:p w14:paraId="5401ED3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68F5EBCF"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2</w:t>
                </w:r>
              </w:p>
            </w:tc>
            <w:tc>
              <w:tcPr>
                <w:tcW w:w="883" w:type="dxa"/>
                <w:tcBorders>
                  <w:top w:val="nil"/>
                  <w:left w:val="nil"/>
                  <w:bottom w:val="single" w:sz="8" w:space="0" w:color="auto"/>
                  <w:right w:val="single" w:sz="8" w:space="0" w:color="auto"/>
                </w:tcBorders>
                <w:shd w:val="clear" w:color="auto" w:fill="auto"/>
                <w:hideMark/>
              </w:tcPr>
              <w:p w14:paraId="3D64511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4C86F675" w14:textId="3BBB54E1" w:rsidR="001A2435" w:rsidRPr="00FF027F" w:rsidRDefault="001A2435"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2</w:t>
                </w:r>
              </w:p>
            </w:tc>
            <w:tc>
              <w:tcPr>
                <w:tcW w:w="883" w:type="dxa"/>
                <w:tcBorders>
                  <w:top w:val="nil"/>
                  <w:left w:val="nil"/>
                  <w:bottom w:val="single" w:sz="8" w:space="0" w:color="auto"/>
                  <w:right w:val="single" w:sz="8" w:space="0" w:color="auto"/>
                </w:tcBorders>
                <w:shd w:val="clear" w:color="auto" w:fill="auto"/>
                <w:hideMark/>
              </w:tcPr>
              <w:p w14:paraId="70A9B4F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398FD54D" w14:textId="608ADA3F"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DF6AAB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5B00DE3D" w14:textId="6DA4D244"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2</w:t>
                </w:r>
              </w:p>
            </w:tc>
            <w:tc>
              <w:tcPr>
                <w:tcW w:w="883" w:type="dxa"/>
                <w:tcBorders>
                  <w:top w:val="nil"/>
                  <w:left w:val="nil"/>
                  <w:bottom w:val="single" w:sz="8" w:space="0" w:color="auto"/>
                  <w:right w:val="single" w:sz="8" w:space="0" w:color="auto"/>
                </w:tcBorders>
                <w:shd w:val="clear" w:color="auto" w:fill="auto"/>
                <w:hideMark/>
              </w:tcPr>
              <w:p w14:paraId="4B5AB23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71748D19" w14:textId="16667C04"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1F55E81A"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3DB5F633" w14:textId="2329158C"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2</w:t>
                </w:r>
              </w:p>
            </w:tc>
            <w:tc>
              <w:tcPr>
                <w:tcW w:w="883" w:type="dxa"/>
                <w:tcBorders>
                  <w:top w:val="nil"/>
                  <w:left w:val="nil"/>
                  <w:bottom w:val="single" w:sz="8" w:space="0" w:color="auto"/>
                  <w:right w:val="single" w:sz="8" w:space="0" w:color="auto"/>
                </w:tcBorders>
                <w:shd w:val="clear" w:color="auto" w:fill="auto"/>
              </w:tcPr>
              <w:p w14:paraId="08B2EAA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52E1DB1E" w14:textId="7A2C67AF"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2</w:t>
                </w:r>
              </w:p>
            </w:tc>
            <w:tc>
              <w:tcPr>
                <w:tcW w:w="883" w:type="dxa"/>
                <w:tcBorders>
                  <w:top w:val="nil"/>
                  <w:left w:val="nil"/>
                  <w:bottom w:val="single" w:sz="8" w:space="0" w:color="auto"/>
                  <w:right w:val="single" w:sz="8" w:space="0" w:color="auto"/>
                </w:tcBorders>
                <w:shd w:val="clear" w:color="auto" w:fill="auto"/>
                <w:hideMark/>
              </w:tcPr>
              <w:p w14:paraId="3D9FF9CC" w14:textId="14929DE3"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3D3ED02A" w14:textId="72CCAA0C"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2</w:t>
                </w:r>
              </w:p>
            </w:tc>
          </w:tr>
          <w:tr w:rsidR="001A2435" w:rsidRPr="00FF027F" w14:paraId="504848E1"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6EF6EB28"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8</w:t>
                </w:r>
              </w:p>
            </w:tc>
            <w:tc>
              <w:tcPr>
                <w:tcW w:w="883" w:type="dxa"/>
                <w:tcBorders>
                  <w:top w:val="nil"/>
                  <w:left w:val="nil"/>
                  <w:bottom w:val="single" w:sz="8" w:space="0" w:color="auto"/>
                  <w:right w:val="single" w:sz="8" w:space="0" w:color="auto"/>
                </w:tcBorders>
                <w:shd w:val="clear" w:color="auto" w:fill="auto"/>
                <w:hideMark/>
              </w:tcPr>
              <w:p w14:paraId="11A84AE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004F476F"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6</w:t>
                </w:r>
              </w:p>
            </w:tc>
            <w:tc>
              <w:tcPr>
                <w:tcW w:w="883" w:type="dxa"/>
                <w:tcBorders>
                  <w:top w:val="nil"/>
                  <w:left w:val="nil"/>
                  <w:bottom w:val="single" w:sz="8" w:space="0" w:color="auto"/>
                  <w:right w:val="single" w:sz="8" w:space="0" w:color="auto"/>
                </w:tcBorders>
                <w:shd w:val="clear" w:color="auto" w:fill="auto"/>
                <w:hideMark/>
              </w:tcPr>
              <w:p w14:paraId="7C741EE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tcPr>
              <w:p w14:paraId="0DD34D62" w14:textId="704A24A7" w:rsidR="001A2435" w:rsidRPr="00FF027F" w:rsidRDefault="001A2435"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7</w:t>
                </w:r>
              </w:p>
            </w:tc>
            <w:tc>
              <w:tcPr>
                <w:tcW w:w="883" w:type="dxa"/>
                <w:tcBorders>
                  <w:top w:val="nil"/>
                  <w:left w:val="nil"/>
                  <w:bottom w:val="single" w:sz="8" w:space="0" w:color="auto"/>
                  <w:right w:val="single" w:sz="8" w:space="0" w:color="auto"/>
                </w:tcBorders>
                <w:shd w:val="clear" w:color="auto" w:fill="auto"/>
                <w:hideMark/>
              </w:tcPr>
              <w:p w14:paraId="7E4C5E0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52BFF993" w14:textId="745523FB"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7</w:t>
                </w:r>
              </w:p>
            </w:tc>
            <w:tc>
              <w:tcPr>
                <w:tcW w:w="883" w:type="dxa"/>
                <w:tcBorders>
                  <w:top w:val="nil"/>
                  <w:left w:val="nil"/>
                  <w:bottom w:val="single" w:sz="8" w:space="0" w:color="auto"/>
                  <w:right w:val="single" w:sz="8" w:space="0" w:color="auto"/>
                </w:tcBorders>
                <w:shd w:val="clear" w:color="auto" w:fill="auto"/>
                <w:hideMark/>
              </w:tcPr>
              <w:p w14:paraId="29D65DB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1FD6CD44" w14:textId="67237B21"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7</w:t>
                </w:r>
              </w:p>
            </w:tc>
            <w:tc>
              <w:tcPr>
                <w:tcW w:w="883" w:type="dxa"/>
                <w:tcBorders>
                  <w:top w:val="nil"/>
                  <w:left w:val="nil"/>
                  <w:bottom w:val="single" w:sz="8" w:space="0" w:color="auto"/>
                  <w:right w:val="single" w:sz="8" w:space="0" w:color="auto"/>
                </w:tcBorders>
                <w:shd w:val="clear" w:color="auto" w:fill="auto"/>
                <w:hideMark/>
              </w:tcPr>
              <w:p w14:paraId="0E8D66A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61A6AF16" w14:textId="4E8CD11E"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5297CA3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2435770D" w14:textId="30A482B9"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10</w:t>
                </w:r>
              </w:p>
            </w:tc>
            <w:tc>
              <w:tcPr>
                <w:tcW w:w="883" w:type="dxa"/>
                <w:tcBorders>
                  <w:top w:val="nil"/>
                  <w:left w:val="nil"/>
                  <w:bottom w:val="single" w:sz="8" w:space="0" w:color="auto"/>
                  <w:right w:val="single" w:sz="8" w:space="0" w:color="auto"/>
                </w:tcBorders>
                <w:shd w:val="clear" w:color="auto" w:fill="auto"/>
              </w:tcPr>
              <w:p w14:paraId="3224E3B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4C41EECD" w14:textId="3237D07E"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10</w:t>
                </w:r>
              </w:p>
            </w:tc>
            <w:tc>
              <w:tcPr>
                <w:tcW w:w="883" w:type="dxa"/>
                <w:tcBorders>
                  <w:top w:val="nil"/>
                  <w:left w:val="nil"/>
                  <w:bottom w:val="single" w:sz="8" w:space="0" w:color="auto"/>
                  <w:right w:val="single" w:sz="8" w:space="0" w:color="auto"/>
                </w:tcBorders>
                <w:shd w:val="clear" w:color="auto" w:fill="auto"/>
                <w:hideMark/>
              </w:tcPr>
              <w:p w14:paraId="18731534" w14:textId="22465116"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1201207E" w14:textId="1210062A"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10</w:t>
                </w:r>
              </w:p>
            </w:tc>
          </w:tr>
          <w:tr w:rsidR="001A2435" w:rsidRPr="00FF027F" w14:paraId="063F55FC"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0020C80B"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7</w:t>
                </w:r>
              </w:p>
            </w:tc>
            <w:tc>
              <w:tcPr>
                <w:tcW w:w="883" w:type="dxa"/>
                <w:tcBorders>
                  <w:top w:val="nil"/>
                  <w:left w:val="nil"/>
                  <w:bottom w:val="single" w:sz="8" w:space="0" w:color="auto"/>
                  <w:right w:val="single" w:sz="8" w:space="0" w:color="auto"/>
                </w:tcBorders>
                <w:shd w:val="clear" w:color="auto" w:fill="auto"/>
                <w:hideMark/>
              </w:tcPr>
              <w:p w14:paraId="04A6FB7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150A5AFB"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6</w:t>
                </w:r>
              </w:p>
            </w:tc>
            <w:tc>
              <w:tcPr>
                <w:tcW w:w="883" w:type="dxa"/>
                <w:tcBorders>
                  <w:top w:val="nil"/>
                  <w:left w:val="nil"/>
                  <w:bottom w:val="single" w:sz="8" w:space="0" w:color="auto"/>
                  <w:right w:val="single" w:sz="8" w:space="0" w:color="auto"/>
                </w:tcBorders>
                <w:shd w:val="clear" w:color="auto" w:fill="auto"/>
                <w:hideMark/>
              </w:tcPr>
              <w:p w14:paraId="495100F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tcPr>
              <w:p w14:paraId="43A017EE" w14:textId="676D1ED7" w:rsidR="001A2435" w:rsidRPr="00FF027F" w:rsidRDefault="001A2435"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5</w:t>
                </w:r>
              </w:p>
            </w:tc>
            <w:tc>
              <w:tcPr>
                <w:tcW w:w="883" w:type="dxa"/>
                <w:tcBorders>
                  <w:top w:val="nil"/>
                  <w:left w:val="nil"/>
                  <w:bottom w:val="single" w:sz="8" w:space="0" w:color="auto"/>
                  <w:right w:val="single" w:sz="8" w:space="0" w:color="auto"/>
                </w:tcBorders>
                <w:shd w:val="clear" w:color="auto" w:fill="auto"/>
                <w:hideMark/>
              </w:tcPr>
              <w:p w14:paraId="6FC2ED2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241126B9" w14:textId="0152572A"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5</w:t>
                </w:r>
              </w:p>
            </w:tc>
            <w:tc>
              <w:tcPr>
                <w:tcW w:w="883" w:type="dxa"/>
                <w:tcBorders>
                  <w:top w:val="nil"/>
                  <w:left w:val="nil"/>
                  <w:bottom w:val="single" w:sz="8" w:space="0" w:color="auto"/>
                  <w:right w:val="single" w:sz="8" w:space="0" w:color="auto"/>
                </w:tcBorders>
                <w:shd w:val="clear" w:color="auto" w:fill="auto"/>
                <w:hideMark/>
              </w:tcPr>
              <w:p w14:paraId="41073F2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4E0F957C" w14:textId="57378790"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5</w:t>
                </w:r>
              </w:p>
            </w:tc>
            <w:tc>
              <w:tcPr>
                <w:tcW w:w="883" w:type="dxa"/>
                <w:tcBorders>
                  <w:top w:val="nil"/>
                  <w:left w:val="nil"/>
                  <w:bottom w:val="single" w:sz="8" w:space="0" w:color="auto"/>
                  <w:right w:val="single" w:sz="8" w:space="0" w:color="auto"/>
                </w:tcBorders>
                <w:shd w:val="clear" w:color="auto" w:fill="auto"/>
                <w:hideMark/>
              </w:tcPr>
              <w:p w14:paraId="46E6A4B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1949E530" w14:textId="254C128C"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42EA1AB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2A0F7B68" w14:textId="0BC93C79"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15</w:t>
                </w:r>
              </w:p>
            </w:tc>
            <w:tc>
              <w:tcPr>
                <w:tcW w:w="883" w:type="dxa"/>
                <w:tcBorders>
                  <w:top w:val="nil"/>
                  <w:left w:val="nil"/>
                  <w:bottom w:val="single" w:sz="8" w:space="0" w:color="auto"/>
                  <w:right w:val="single" w:sz="8" w:space="0" w:color="auto"/>
                </w:tcBorders>
                <w:shd w:val="clear" w:color="auto" w:fill="auto"/>
              </w:tcPr>
              <w:p w14:paraId="2EFDFC9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60D08625" w14:textId="42219ECF"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15</w:t>
                </w:r>
              </w:p>
            </w:tc>
            <w:tc>
              <w:tcPr>
                <w:tcW w:w="883" w:type="dxa"/>
                <w:tcBorders>
                  <w:top w:val="nil"/>
                  <w:left w:val="nil"/>
                  <w:bottom w:val="single" w:sz="8" w:space="0" w:color="auto"/>
                  <w:right w:val="single" w:sz="8" w:space="0" w:color="auto"/>
                </w:tcBorders>
                <w:shd w:val="clear" w:color="auto" w:fill="auto"/>
                <w:hideMark/>
              </w:tcPr>
              <w:p w14:paraId="3AB7305A" w14:textId="1ED65586"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20C6D0A7" w14:textId="360223AC"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15</w:t>
                </w:r>
              </w:p>
            </w:tc>
          </w:tr>
          <w:tr w:rsidR="001A2435" w:rsidRPr="00FF027F" w14:paraId="7AE36971"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46D26AAE"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6</w:t>
                </w:r>
              </w:p>
            </w:tc>
            <w:tc>
              <w:tcPr>
                <w:tcW w:w="883" w:type="dxa"/>
                <w:tcBorders>
                  <w:top w:val="nil"/>
                  <w:left w:val="nil"/>
                  <w:bottom w:val="single" w:sz="8" w:space="0" w:color="auto"/>
                  <w:right w:val="single" w:sz="8" w:space="0" w:color="auto"/>
                </w:tcBorders>
                <w:shd w:val="clear" w:color="auto" w:fill="auto"/>
                <w:hideMark/>
              </w:tcPr>
              <w:p w14:paraId="11536FA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48EF165C"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3</w:t>
                </w:r>
              </w:p>
            </w:tc>
            <w:tc>
              <w:tcPr>
                <w:tcW w:w="883" w:type="dxa"/>
                <w:tcBorders>
                  <w:top w:val="nil"/>
                  <w:left w:val="nil"/>
                  <w:bottom w:val="single" w:sz="8" w:space="0" w:color="auto"/>
                  <w:right w:val="single" w:sz="8" w:space="0" w:color="auto"/>
                </w:tcBorders>
                <w:shd w:val="clear" w:color="auto" w:fill="auto"/>
                <w:hideMark/>
              </w:tcPr>
              <w:p w14:paraId="1739A63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19AA107B" w14:textId="08E38E51" w:rsidR="001A2435" w:rsidRPr="00FF027F" w:rsidRDefault="001A2435"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2</w:t>
                </w:r>
              </w:p>
            </w:tc>
            <w:tc>
              <w:tcPr>
                <w:tcW w:w="883" w:type="dxa"/>
                <w:tcBorders>
                  <w:top w:val="nil"/>
                  <w:left w:val="nil"/>
                  <w:bottom w:val="single" w:sz="8" w:space="0" w:color="auto"/>
                  <w:right w:val="single" w:sz="8" w:space="0" w:color="auto"/>
                </w:tcBorders>
                <w:shd w:val="clear" w:color="auto" w:fill="auto"/>
                <w:hideMark/>
              </w:tcPr>
              <w:p w14:paraId="2C46EE4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382F674B" w14:textId="695E1DC8"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D9A71C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790AB3DB" w14:textId="085892B5"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6</w:t>
                </w:r>
              </w:p>
            </w:tc>
            <w:tc>
              <w:tcPr>
                <w:tcW w:w="883" w:type="dxa"/>
                <w:tcBorders>
                  <w:top w:val="nil"/>
                  <w:left w:val="nil"/>
                  <w:bottom w:val="single" w:sz="8" w:space="0" w:color="auto"/>
                  <w:right w:val="single" w:sz="8" w:space="0" w:color="auto"/>
                </w:tcBorders>
                <w:shd w:val="clear" w:color="auto" w:fill="auto"/>
                <w:hideMark/>
              </w:tcPr>
              <w:p w14:paraId="2AA2C1F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40F8A9E7" w14:textId="19DBC1B1"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1E9AD61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3513FBA9" w14:textId="0B1F5168"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6</w:t>
                </w:r>
              </w:p>
            </w:tc>
            <w:tc>
              <w:tcPr>
                <w:tcW w:w="883" w:type="dxa"/>
                <w:tcBorders>
                  <w:top w:val="nil"/>
                  <w:left w:val="nil"/>
                  <w:bottom w:val="single" w:sz="8" w:space="0" w:color="auto"/>
                  <w:right w:val="single" w:sz="8" w:space="0" w:color="auto"/>
                </w:tcBorders>
                <w:shd w:val="clear" w:color="auto" w:fill="auto"/>
              </w:tcPr>
              <w:p w14:paraId="5AAA4AE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52093958" w14:textId="4B82C70A"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6</w:t>
                </w:r>
              </w:p>
            </w:tc>
            <w:tc>
              <w:tcPr>
                <w:tcW w:w="883" w:type="dxa"/>
                <w:tcBorders>
                  <w:top w:val="nil"/>
                  <w:left w:val="nil"/>
                  <w:bottom w:val="single" w:sz="8" w:space="0" w:color="auto"/>
                  <w:right w:val="single" w:sz="8" w:space="0" w:color="auto"/>
                </w:tcBorders>
                <w:shd w:val="clear" w:color="auto" w:fill="auto"/>
                <w:hideMark/>
              </w:tcPr>
              <w:p w14:paraId="46E9B73D" w14:textId="731AB6AD"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0F2789F0" w14:textId="214A8863"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6</w:t>
                </w:r>
              </w:p>
            </w:tc>
          </w:tr>
          <w:tr w:rsidR="001A2435" w:rsidRPr="00FF027F" w14:paraId="14DCD88E"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0151092B"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AD 5</w:t>
                </w:r>
              </w:p>
            </w:tc>
            <w:tc>
              <w:tcPr>
                <w:tcW w:w="883" w:type="dxa"/>
                <w:tcBorders>
                  <w:top w:val="nil"/>
                  <w:left w:val="nil"/>
                  <w:bottom w:val="single" w:sz="8" w:space="0" w:color="auto"/>
                  <w:right w:val="single" w:sz="8" w:space="0" w:color="auto"/>
                </w:tcBorders>
                <w:shd w:val="clear" w:color="auto" w:fill="auto"/>
                <w:hideMark/>
              </w:tcPr>
              <w:p w14:paraId="1CD9668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5B3E18F6"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12</w:t>
                </w:r>
              </w:p>
            </w:tc>
            <w:tc>
              <w:tcPr>
                <w:tcW w:w="883" w:type="dxa"/>
                <w:tcBorders>
                  <w:top w:val="nil"/>
                  <w:left w:val="nil"/>
                  <w:bottom w:val="single" w:sz="8" w:space="0" w:color="auto"/>
                  <w:right w:val="single" w:sz="8" w:space="0" w:color="auto"/>
                </w:tcBorders>
                <w:shd w:val="clear" w:color="auto" w:fill="auto"/>
                <w:hideMark/>
              </w:tcPr>
              <w:p w14:paraId="7850804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4355088B" w14:textId="090BCB73" w:rsidR="001A2435" w:rsidRPr="00FF027F" w:rsidRDefault="00EC6C16"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9</w:t>
                </w:r>
              </w:p>
            </w:tc>
            <w:tc>
              <w:tcPr>
                <w:tcW w:w="883" w:type="dxa"/>
                <w:tcBorders>
                  <w:top w:val="nil"/>
                  <w:left w:val="nil"/>
                  <w:bottom w:val="single" w:sz="8" w:space="0" w:color="auto"/>
                  <w:right w:val="single" w:sz="8" w:space="0" w:color="auto"/>
                </w:tcBorders>
                <w:shd w:val="clear" w:color="auto" w:fill="auto"/>
                <w:hideMark/>
              </w:tcPr>
              <w:p w14:paraId="3035888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10C44AB7" w14:textId="5AA96349"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572F88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36B4B5F9" w14:textId="4900D2BD"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14</w:t>
                </w:r>
              </w:p>
            </w:tc>
            <w:tc>
              <w:tcPr>
                <w:tcW w:w="883" w:type="dxa"/>
                <w:tcBorders>
                  <w:top w:val="nil"/>
                  <w:left w:val="nil"/>
                  <w:bottom w:val="single" w:sz="8" w:space="0" w:color="auto"/>
                  <w:right w:val="single" w:sz="8" w:space="0" w:color="auto"/>
                </w:tcBorders>
                <w:shd w:val="clear" w:color="auto" w:fill="auto"/>
                <w:hideMark/>
              </w:tcPr>
              <w:p w14:paraId="4DB5D90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545333D6" w14:textId="435A557A"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16F87A3A"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5575C29C" w14:textId="435EFB1B"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33</w:t>
                </w:r>
              </w:p>
            </w:tc>
            <w:tc>
              <w:tcPr>
                <w:tcW w:w="883" w:type="dxa"/>
                <w:tcBorders>
                  <w:top w:val="nil"/>
                  <w:left w:val="nil"/>
                  <w:bottom w:val="single" w:sz="8" w:space="0" w:color="auto"/>
                  <w:right w:val="single" w:sz="8" w:space="0" w:color="auto"/>
                </w:tcBorders>
                <w:shd w:val="clear" w:color="auto" w:fill="auto"/>
              </w:tcPr>
              <w:p w14:paraId="21B7B5B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1FC2D532" w14:textId="2DD41D0B"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33</w:t>
                </w:r>
              </w:p>
            </w:tc>
            <w:tc>
              <w:tcPr>
                <w:tcW w:w="883" w:type="dxa"/>
                <w:tcBorders>
                  <w:top w:val="nil"/>
                  <w:left w:val="nil"/>
                  <w:bottom w:val="single" w:sz="8" w:space="0" w:color="auto"/>
                  <w:right w:val="single" w:sz="8" w:space="0" w:color="auto"/>
                </w:tcBorders>
                <w:shd w:val="clear" w:color="auto" w:fill="auto"/>
                <w:hideMark/>
              </w:tcPr>
              <w:p w14:paraId="10799CFC" w14:textId="3D6AE77E"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24881D68" w14:textId="29A8698E"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33</w:t>
                </w:r>
              </w:p>
            </w:tc>
          </w:tr>
          <w:tr w:rsidR="001A2435" w:rsidRPr="00FF027F" w14:paraId="756E00B8"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776C74C8" w14:textId="77777777" w:rsidR="001A2435" w:rsidRPr="00FF027F" w:rsidRDefault="001A2435" w:rsidP="009B63E1">
                <w:pPr>
                  <w:spacing w:after="0"/>
                  <w:jc w:val="center"/>
                  <w:rPr>
                    <w:rFonts w:ascii="Arial" w:eastAsia="Arial" w:hAnsi="Arial" w:cs="Arial"/>
                    <w:b/>
                    <w:bCs/>
                    <w:color w:val="000000"/>
                    <w:sz w:val="20"/>
                    <w:szCs w:val="20"/>
                    <w:lang w:val="en-GB" w:eastAsia="en-GB"/>
                  </w:rPr>
                </w:pPr>
                <w:r w:rsidRPr="00FF027F">
                  <w:rPr>
                    <w:rFonts w:ascii="Arial" w:eastAsia="Arial" w:hAnsi="Arial" w:cs="Arial"/>
                    <w:b/>
                    <w:bCs/>
                    <w:color w:val="000000"/>
                    <w:sz w:val="20"/>
                    <w:szCs w:val="20"/>
                    <w:lang w:val="en-GB" w:eastAsia="en-GB"/>
                  </w:rPr>
                  <w:t>Total AD</w:t>
                </w:r>
              </w:p>
            </w:tc>
            <w:tc>
              <w:tcPr>
                <w:tcW w:w="883" w:type="dxa"/>
                <w:tcBorders>
                  <w:top w:val="nil"/>
                  <w:left w:val="nil"/>
                  <w:bottom w:val="single" w:sz="8" w:space="0" w:color="auto"/>
                  <w:right w:val="single" w:sz="8" w:space="0" w:color="auto"/>
                </w:tcBorders>
                <w:shd w:val="clear" w:color="auto" w:fill="auto"/>
                <w:hideMark/>
              </w:tcPr>
              <w:p w14:paraId="16C91B8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3C3137FF"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34</w:t>
                </w:r>
              </w:p>
            </w:tc>
            <w:tc>
              <w:tcPr>
                <w:tcW w:w="883" w:type="dxa"/>
                <w:tcBorders>
                  <w:top w:val="nil"/>
                  <w:left w:val="nil"/>
                  <w:bottom w:val="single" w:sz="8" w:space="0" w:color="auto"/>
                  <w:right w:val="single" w:sz="8" w:space="0" w:color="auto"/>
                </w:tcBorders>
                <w:shd w:val="clear" w:color="auto" w:fill="auto"/>
                <w:hideMark/>
              </w:tcPr>
              <w:p w14:paraId="473E0F7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32E37224" w14:textId="0A689776" w:rsidR="001A2435" w:rsidRPr="00FF027F" w:rsidRDefault="00DB47B7"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30</w:t>
                </w:r>
              </w:p>
            </w:tc>
            <w:tc>
              <w:tcPr>
                <w:tcW w:w="883" w:type="dxa"/>
                <w:tcBorders>
                  <w:top w:val="nil"/>
                  <w:left w:val="nil"/>
                  <w:bottom w:val="single" w:sz="8" w:space="0" w:color="auto"/>
                  <w:right w:val="single" w:sz="8" w:space="0" w:color="auto"/>
                </w:tcBorders>
                <w:shd w:val="clear" w:color="auto" w:fill="auto"/>
                <w:hideMark/>
              </w:tcPr>
              <w:p w14:paraId="5A9E8DD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0FB55FBC" w14:textId="2F52DB5C"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C2659D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265206FE" w14:textId="3FA18436"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39</w:t>
                </w:r>
              </w:p>
            </w:tc>
            <w:tc>
              <w:tcPr>
                <w:tcW w:w="883" w:type="dxa"/>
                <w:tcBorders>
                  <w:top w:val="nil"/>
                  <w:left w:val="nil"/>
                  <w:bottom w:val="single" w:sz="8" w:space="0" w:color="auto"/>
                  <w:right w:val="single" w:sz="8" w:space="0" w:color="auto"/>
                </w:tcBorders>
                <w:shd w:val="clear" w:color="auto" w:fill="auto"/>
                <w:hideMark/>
              </w:tcPr>
              <w:p w14:paraId="33E30F5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28D09157" w14:textId="180FA0D3"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64647F6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7E79B470" w14:textId="3CE62D8D"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72</w:t>
                </w:r>
              </w:p>
            </w:tc>
            <w:tc>
              <w:tcPr>
                <w:tcW w:w="883" w:type="dxa"/>
                <w:tcBorders>
                  <w:top w:val="nil"/>
                  <w:left w:val="nil"/>
                  <w:bottom w:val="single" w:sz="8" w:space="0" w:color="auto"/>
                  <w:right w:val="single" w:sz="8" w:space="0" w:color="auto"/>
                </w:tcBorders>
                <w:shd w:val="clear" w:color="auto" w:fill="auto"/>
              </w:tcPr>
              <w:p w14:paraId="1E0C3B3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5647FFF3" w14:textId="656E4034"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72</w:t>
                </w:r>
              </w:p>
            </w:tc>
            <w:tc>
              <w:tcPr>
                <w:tcW w:w="883" w:type="dxa"/>
                <w:tcBorders>
                  <w:top w:val="nil"/>
                  <w:left w:val="nil"/>
                  <w:bottom w:val="single" w:sz="8" w:space="0" w:color="auto"/>
                  <w:right w:val="single" w:sz="8" w:space="0" w:color="auto"/>
                </w:tcBorders>
                <w:shd w:val="clear" w:color="auto" w:fill="auto"/>
                <w:hideMark/>
              </w:tcPr>
              <w:p w14:paraId="2332E0C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71E4E68F" w14:textId="51A1FDC1" w:rsidR="001A2435" w:rsidRPr="00FF027F" w:rsidRDefault="001A2435" w:rsidP="009B63E1">
                <w:pPr>
                  <w:spacing w:after="0"/>
                  <w:jc w:val="center"/>
                  <w:rPr>
                    <w:rFonts w:ascii="Arial" w:eastAsia="Arial" w:hAnsi="Arial" w:cs="Arial"/>
                    <w:color w:val="000000"/>
                    <w:sz w:val="20"/>
                    <w:szCs w:val="20"/>
                    <w:lang w:val="en-GB" w:eastAsia="en-GB"/>
                  </w:rPr>
                </w:pPr>
                <w:r w:rsidRPr="00FF027F">
                  <w:rPr>
                    <w:sz w:val="20"/>
                    <w:szCs w:val="20"/>
                    <w:lang w:val="en-GB"/>
                  </w:rPr>
                  <w:t>72</w:t>
                </w:r>
              </w:p>
            </w:tc>
          </w:tr>
          <w:tr w:rsidR="001A2435" w:rsidRPr="00FF027F" w14:paraId="2B06D527"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181E8DF4"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11</w:t>
                </w:r>
              </w:p>
            </w:tc>
            <w:tc>
              <w:tcPr>
                <w:tcW w:w="883" w:type="dxa"/>
                <w:tcBorders>
                  <w:top w:val="nil"/>
                  <w:left w:val="nil"/>
                  <w:bottom w:val="single" w:sz="8" w:space="0" w:color="auto"/>
                  <w:right w:val="single" w:sz="8" w:space="0" w:color="auto"/>
                </w:tcBorders>
                <w:shd w:val="clear" w:color="auto" w:fill="auto"/>
                <w:hideMark/>
              </w:tcPr>
              <w:p w14:paraId="67388DE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7FA89C9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28C96F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66874AA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6F48D8B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58AEDDB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77C8B6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0FFD953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E511BF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58A9CDA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5438F7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0BE344CA"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8D29F3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33331D2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4AF16982"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2A6976FF"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1A2435" w:rsidRPr="00FF027F" w14:paraId="5AA93C6A"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402BFBB4"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10</w:t>
                </w:r>
              </w:p>
            </w:tc>
            <w:tc>
              <w:tcPr>
                <w:tcW w:w="883" w:type="dxa"/>
                <w:tcBorders>
                  <w:top w:val="nil"/>
                  <w:left w:val="nil"/>
                  <w:bottom w:val="single" w:sz="8" w:space="0" w:color="auto"/>
                  <w:right w:val="single" w:sz="8" w:space="0" w:color="auto"/>
                </w:tcBorders>
                <w:shd w:val="clear" w:color="auto" w:fill="auto"/>
                <w:hideMark/>
              </w:tcPr>
              <w:p w14:paraId="72640D9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036B4F7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6D3BBB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43D5BD5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9CC91B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37FFB3D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67A1F63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4B6FC35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9A6E51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32B0359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D04DA9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2E41B80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A3EC09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446F099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72D0C50B"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4E241E3F"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1A2435" w:rsidRPr="00FF027F" w14:paraId="05D1A53E"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297F8D12"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9</w:t>
                </w:r>
              </w:p>
            </w:tc>
            <w:tc>
              <w:tcPr>
                <w:tcW w:w="883" w:type="dxa"/>
                <w:tcBorders>
                  <w:top w:val="nil"/>
                  <w:left w:val="nil"/>
                  <w:bottom w:val="single" w:sz="8" w:space="0" w:color="auto"/>
                  <w:right w:val="single" w:sz="8" w:space="0" w:color="auto"/>
                </w:tcBorders>
                <w:shd w:val="clear" w:color="auto" w:fill="auto"/>
                <w:hideMark/>
              </w:tcPr>
              <w:p w14:paraId="1D53A7D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2D5B5ED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5532A1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02836E9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737028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6467F2A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2D578D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528A45F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DAA2D5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2499ED3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02F5BC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73E0F5F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848538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29B848D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1DCE424F"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0CD29603"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1A2435" w:rsidRPr="00FF027F" w14:paraId="5F7BE754"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56BCFF2F"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8</w:t>
                </w:r>
              </w:p>
            </w:tc>
            <w:tc>
              <w:tcPr>
                <w:tcW w:w="883" w:type="dxa"/>
                <w:tcBorders>
                  <w:top w:val="nil"/>
                  <w:left w:val="nil"/>
                  <w:bottom w:val="single" w:sz="8" w:space="0" w:color="auto"/>
                  <w:right w:val="single" w:sz="8" w:space="0" w:color="auto"/>
                </w:tcBorders>
                <w:shd w:val="clear" w:color="auto" w:fill="auto"/>
                <w:hideMark/>
              </w:tcPr>
              <w:p w14:paraId="2B9688B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49088C42"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67F9926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6C722566"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211ABC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2AF880C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A706F9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6676AB6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19A98A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52DF6A1A"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FF6581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089D37E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27572F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3EC7C7A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1143BA79"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6E557524"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1A2435" w:rsidRPr="00FF027F" w14:paraId="67742394"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2F666818"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7</w:t>
                </w:r>
              </w:p>
            </w:tc>
            <w:tc>
              <w:tcPr>
                <w:tcW w:w="883" w:type="dxa"/>
                <w:tcBorders>
                  <w:top w:val="nil"/>
                  <w:left w:val="nil"/>
                  <w:bottom w:val="single" w:sz="8" w:space="0" w:color="auto"/>
                  <w:right w:val="single" w:sz="8" w:space="0" w:color="auto"/>
                </w:tcBorders>
                <w:shd w:val="clear" w:color="auto" w:fill="auto"/>
                <w:hideMark/>
              </w:tcPr>
              <w:p w14:paraId="06B42DC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494BC7B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B3A5ED8"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095585B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0F7CA6C"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2D1D5E43"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AB5FFB0"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131EEA7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416984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11DD821D"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9D5589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08B492B1"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26C514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607663A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38DB2371"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49EB6AFC"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1A2435" w:rsidRPr="00FF027F" w14:paraId="64A16352"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6D85E364"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6</w:t>
                </w:r>
              </w:p>
            </w:tc>
            <w:tc>
              <w:tcPr>
                <w:tcW w:w="883" w:type="dxa"/>
                <w:tcBorders>
                  <w:top w:val="nil"/>
                  <w:left w:val="nil"/>
                  <w:bottom w:val="single" w:sz="8" w:space="0" w:color="auto"/>
                  <w:right w:val="single" w:sz="8" w:space="0" w:color="auto"/>
                </w:tcBorders>
                <w:shd w:val="clear" w:color="auto" w:fill="auto"/>
                <w:hideMark/>
              </w:tcPr>
              <w:p w14:paraId="4471727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4F41BBF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27D4C00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27D8C44F"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1EFE1C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2AB4F89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BB1914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661EEACB"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B2248C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hideMark/>
              </w:tcPr>
              <w:p w14:paraId="7D4F1517"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DE91DE5"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532CD4D9"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79EE6FEE"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hideMark/>
              </w:tcPr>
              <w:p w14:paraId="4B48FB44" w14:textId="77777777" w:rsidR="001A2435" w:rsidRPr="00FF027F" w:rsidRDefault="001A2435"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49DC38A5"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c>
              <w:tcPr>
                <w:tcW w:w="852" w:type="dxa"/>
                <w:tcBorders>
                  <w:top w:val="nil"/>
                  <w:left w:val="nil"/>
                  <w:bottom w:val="single" w:sz="8" w:space="0" w:color="auto"/>
                  <w:right w:val="single" w:sz="8" w:space="0" w:color="auto"/>
                </w:tcBorders>
                <w:shd w:val="clear" w:color="auto" w:fill="auto"/>
                <w:vAlign w:val="center"/>
                <w:hideMark/>
              </w:tcPr>
              <w:p w14:paraId="2075DCB9" w14:textId="77777777" w:rsidR="001A2435" w:rsidRPr="00FF027F" w:rsidRDefault="001A2435"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 </w:t>
                </w:r>
              </w:p>
            </w:tc>
          </w:tr>
          <w:tr w:rsidR="00CC33A7" w:rsidRPr="00FF027F" w14:paraId="0C2EC08D"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1E6C30E2"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5</w:t>
                </w:r>
              </w:p>
            </w:tc>
            <w:tc>
              <w:tcPr>
                <w:tcW w:w="883" w:type="dxa"/>
                <w:tcBorders>
                  <w:top w:val="nil"/>
                  <w:left w:val="nil"/>
                  <w:bottom w:val="single" w:sz="8" w:space="0" w:color="auto"/>
                  <w:right w:val="single" w:sz="8" w:space="0" w:color="auto"/>
                </w:tcBorders>
                <w:shd w:val="clear" w:color="auto" w:fill="auto"/>
                <w:hideMark/>
              </w:tcPr>
              <w:p w14:paraId="379C1DC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7B2E2BCF"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hideMark/>
              </w:tcPr>
              <w:p w14:paraId="355394F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6286AFCE" w14:textId="6061407A" w:rsidR="00CC33A7" w:rsidRPr="00FF027F" w:rsidRDefault="00CC33A7"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1</w:t>
                </w:r>
              </w:p>
            </w:tc>
            <w:tc>
              <w:tcPr>
                <w:tcW w:w="883" w:type="dxa"/>
                <w:tcBorders>
                  <w:top w:val="nil"/>
                  <w:left w:val="nil"/>
                  <w:bottom w:val="single" w:sz="8" w:space="0" w:color="auto"/>
                  <w:right w:val="single" w:sz="8" w:space="0" w:color="auto"/>
                </w:tcBorders>
                <w:shd w:val="clear" w:color="auto" w:fill="auto"/>
                <w:hideMark/>
              </w:tcPr>
              <w:p w14:paraId="6413572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5502C9BB"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hideMark/>
              </w:tcPr>
              <w:p w14:paraId="6701F9F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51DFCD0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1C8696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50800CD9" w14:textId="10D3586F"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5B79D3C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6BBE1ED4" w14:textId="2F1A3CC2"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tcPr>
              <w:p w14:paraId="77B1AB4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760534E2" w14:textId="1C999DCB"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hideMark/>
              </w:tcPr>
              <w:p w14:paraId="40CABDCF" w14:textId="4C473AE1"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3CE083D8" w14:textId="24693568"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r>
          <w:tr w:rsidR="00CC33A7" w:rsidRPr="00FF027F" w14:paraId="04081EDA"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789D94D8"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4</w:t>
                </w:r>
              </w:p>
            </w:tc>
            <w:tc>
              <w:tcPr>
                <w:tcW w:w="883" w:type="dxa"/>
                <w:tcBorders>
                  <w:top w:val="nil"/>
                  <w:left w:val="nil"/>
                  <w:bottom w:val="single" w:sz="8" w:space="0" w:color="auto"/>
                  <w:right w:val="single" w:sz="8" w:space="0" w:color="auto"/>
                </w:tcBorders>
                <w:shd w:val="clear" w:color="auto" w:fill="auto"/>
                <w:hideMark/>
              </w:tcPr>
              <w:p w14:paraId="5064287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2D70483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78E9B8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44F06893" w14:textId="77777777" w:rsidR="00CC33A7" w:rsidRPr="00FF027F" w:rsidRDefault="00CC33A7" w:rsidP="009B63E1">
                <w:pPr>
                  <w:spacing w:after="0"/>
                  <w:jc w:val="center"/>
                  <w:rPr>
                    <w:rFonts w:ascii="Calibri" w:eastAsia="Arial" w:hAnsi="Calibri"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5E8988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57307E09"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w:t>
                </w:r>
              </w:p>
            </w:tc>
            <w:tc>
              <w:tcPr>
                <w:tcW w:w="883" w:type="dxa"/>
                <w:tcBorders>
                  <w:top w:val="nil"/>
                  <w:left w:val="nil"/>
                  <w:bottom w:val="single" w:sz="8" w:space="0" w:color="auto"/>
                  <w:right w:val="single" w:sz="8" w:space="0" w:color="auto"/>
                </w:tcBorders>
                <w:shd w:val="clear" w:color="auto" w:fill="auto"/>
                <w:hideMark/>
              </w:tcPr>
              <w:p w14:paraId="7A5FF6E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4E911C9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002D11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771CC322" w14:textId="1AFA3F5C"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2576F6C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5FE4DFEA" w14:textId="73328F33"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3</w:t>
                </w:r>
              </w:p>
            </w:tc>
            <w:tc>
              <w:tcPr>
                <w:tcW w:w="883" w:type="dxa"/>
                <w:tcBorders>
                  <w:top w:val="nil"/>
                  <w:left w:val="nil"/>
                  <w:bottom w:val="single" w:sz="8" w:space="0" w:color="auto"/>
                  <w:right w:val="single" w:sz="8" w:space="0" w:color="auto"/>
                </w:tcBorders>
                <w:shd w:val="clear" w:color="auto" w:fill="auto"/>
              </w:tcPr>
              <w:p w14:paraId="6A6F0EB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419556BB" w14:textId="75AC8F1C"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3</w:t>
                </w:r>
              </w:p>
            </w:tc>
            <w:tc>
              <w:tcPr>
                <w:tcW w:w="883" w:type="dxa"/>
                <w:tcBorders>
                  <w:top w:val="nil"/>
                  <w:left w:val="nil"/>
                  <w:bottom w:val="single" w:sz="8" w:space="0" w:color="auto"/>
                  <w:right w:val="single" w:sz="8" w:space="0" w:color="auto"/>
                </w:tcBorders>
                <w:shd w:val="clear" w:color="auto" w:fill="auto"/>
                <w:hideMark/>
              </w:tcPr>
              <w:p w14:paraId="192D1742" w14:textId="77FB217A"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71E1F1DA" w14:textId="50F222E1"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3</w:t>
                </w:r>
              </w:p>
            </w:tc>
          </w:tr>
          <w:tr w:rsidR="00CC33A7" w:rsidRPr="00FF027F" w14:paraId="62E292A8"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46943EFA"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3</w:t>
                </w:r>
              </w:p>
            </w:tc>
            <w:tc>
              <w:tcPr>
                <w:tcW w:w="883" w:type="dxa"/>
                <w:tcBorders>
                  <w:top w:val="nil"/>
                  <w:left w:val="nil"/>
                  <w:bottom w:val="single" w:sz="8" w:space="0" w:color="auto"/>
                  <w:right w:val="single" w:sz="8" w:space="0" w:color="auto"/>
                </w:tcBorders>
                <w:shd w:val="clear" w:color="auto" w:fill="auto"/>
                <w:hideMark/>
              </w:tcPr>
              <w:p w14:paraId="4040D5F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125E043C"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14</w:t>
                </w:r>
              </w:p>
            </w:tc>
            <w:tc>
              <w:tcPr>
                <w:tcW w:w="883" w:type="dxa"/>
                <w:tcBorders>
                  <w:top w:val="nil"/>
                  <w:left w:val="nil"/>
                  <w:bottom w:val="single" w:sz="8" w:space="0" w:color="auto"/>
                  <w:right w:val="single" w:sz="8" w:space="0" w:color="auto"/>
                </w:tcBorders>
                <w:shd w:val="clear" w:color="auto" w:fill="auto"/>
                <w:hideMark/>
              </w:tcPr>
              <w:p w14:paraId="3BD5238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7AC1A313" w14:textId="5E0D4A03" w:rsidR="00CC33A7" w:rsidRPr="00FF027F" w:rsidRDefault="00CC33A7"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13</w:t>
                </w:r>
              </w:p>
            </w:tc>
            <w:tc>
              <w:tcPr>
                <w:tcW w:w="883" w:type="dxa"/>
                <w:tcBorders>
                  <w:top w:val="nil"/>
                  <w:left w:val="nil"/>
                  <w:bottom w:val="single" w:sz="8" w:space="0" w:color="auto"/>
                  <w:right w:val="single" w:sz="8" w:space="0" w:color="auto"/>
                </w:tcBorders>
                <w:shd w:val="clear" w:color="auto" w:fill="auto"/>
                <w:hideMark/>
              </w:tcPr>
              <w:p w14:paraId="7199FB5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3B4C7174"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13</w:t>
                </w:r>
              </w:p>
            </w:tc>
            <w:tc>
              <w:tcPr>
                <w:tcW w:w="883" w:type="dxa"/>
                <w:tcBorders>
                  <w:top w:val="nil"/>
                  <w:left w:val="nil"/>
                  <w:bottom w:val="single" w:sz="8" w:space="0" w:color="auto"/>
                  <w:right w:val="single" w:sz="8" w:space="0" w:color="auto"/>
                </w:tcBorders>
                <w:shd w:val="clear" w:color="auto" w:fill="auto"/>
                <w:hideMark/>
              </w:tcPr>
              <w:p w14:paraId="7EA94D2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40028F9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D4C52F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34180B9A" w14:textId="4C476B13"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1981D11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243E1C8B" w14:textId="7430F5C4"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19</w:t>
                </w:r>
              </w:p>
            </w:tc>
            <w:tc>
              <w:tcPr>
                <w:tcW w:w="883" w:type="dxa"/>
                <w:tcBorders>
                  <w:top w:val="nil"/>
                  <w:left w:val="nil"/>
                  <w:bottom w:val="single" w:sz="8" w:space="0" w:color="auto"/>
                  <w:right w:val="single" w:sz="8" w:space="0" w:color="auto"/>
                </w:tcBorders>
                <w:shd w:val="clear" w:color="auto" w:fill="auto"/>
              </w:tcPr>
              <w:p w14:paraId="7DD9D02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2812F881" w14:textId="15514CDA"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19</w:t>
                </w:r>
              </w:p>
            </w:tc>
            <w:tc>
              <w:tcPr>
                <w:tcW w:w="883" w:type="dxa"/>
                <w:tcBorders>
                  <w:top w:val="nil"/>
                  <w:left w:val="nil"/>
                  <w:bottom w:val="single" w:sz="8" w:space="0" w:color="auto"/>
                  <w:right w:val="single" w:sz="8" w:space="0" w:color="auto"/>
                </w:tcBorders>
                <w:shd w:val="clear" w:color="auto" w:fill="auto"/>
                <w:hideMark/>
              </w:tcPr>
              <w:p w14:paraId="7AD4376A" w14:textId="6AFE0934"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3A5ED372" w14:textId="4CFF98B5"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19</w:t>
                </w:r>
              </w:p>
            </w:tc>
          </w:tr>
          <w:tr w:rsidR="00CC33A7" w:rsidRPr="00FF027F" w14:paraId="042AF949"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2921137F"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2</w:t>
                </w:r>
              </w:p>
            </w:tc>
            <w:tc>
              <w:tcPr>
                <w:tcW w:w="883" w:type="dxa"/>
                <w:tcBorders>
                  <w:top w:val="nil"/>
                  <w:left w:val="nil"/>
                  <w:bottom w:val="single" w:sz="8" w:space="0" w:color="auto"/>
                  <w:right w:val="single" w:sz="8" w:space="0" w:color="auto"/>
                </w:tcBorders>
                <w:shd w:val="clear" w:color="auto" w:fill="auto"/>
                <w:hideMark/>
              </w:tcPr>
              <w:p w14:paraId="74F5A82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0F40E92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483CBF0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5D7A3FAB" w14:textId="77777777" w:rsidR="00CC33A7" w:rsidRPr="00FF027F" w:rsidRDefault="00CC33A7" w:rsidP="009B63E1">
                <w:pPr>
                  <w:spacing w:after="0"/>
                  <w:jc w:val="center"/>
                  <w:rPr>
                    <w:rFonts w:ascii="Calibri" w:eastAsia="Arial" w:hAnsi="Calibri"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5E97D2E"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5974236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780050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654CF39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429EE3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67A40E8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1BCDBEB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3F192C8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43CDC83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48863D3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60E76E60" w14:textId="0492484D"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29823B55" w14:textId="7AEC5EB4"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49FE3CEB" w14:textId="77777777" w:rsidTr="00CC33A7">
            <w:trPr>
              <w:trHeight w:val="220"/>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7FAA0AFB"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rFonts w:ascii="Arial" w:eastAsia="Arial" w:hAnsi="Arial" w:cs="Arial"/>
                    <w:color w:val="000000"/>
                    <w:sz w:val="20"/>
                    <w:szCs w:val="20"/>
                    <w:lang w:val="en-GB" w:eastAsia="en-GB"/>
                  </w:rPr>
                  <w:t>AST 1</w:t>
                </w:r>
              </w:p>
            </w:tc>
            <w:tc>
              <w:tcPr>
                <w:tcW w:w="883" w:type="dxa"/>
                <w:tcBorders>
                  <w:top w:val="nil"/>
                  <w:left w:val="nil"/>
                  <w:bottom w:val="single" w:sz="8" w:space="0" w:color="auto"/>
                  <w:right w:val="single" w:sz="8" w:space="0" w:color="auto"/>
                </w:tcBorders>
                <w:shd w:val="clear" w:color="auto" w:fill="auto"/>
                <w:hideMark/>
              </w:tcPr>
              <w:p w14:paraId="3974387E"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3AA8169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D783A8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686A67C5" w14:textId="77777777" w:rsidR="00CC33A7" w:rsidRPr="00FF027F" w:rsidRDefault="00CC33A7" w:rsidP="009B63E1">
                <w:pPr>
                  <w:spacing w:after="0"/>
                  <w:jc w:val="center"/>
                  <w:rPr>
                    <w:rFonts w:ascii="Calibri" w:eastAsia="Arial" w:hAnsi="Calibri"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551BCDC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26B223A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1B0DDD9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7DFB88C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5BA413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45647A1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3AAC135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766F457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25C934B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32F8DAD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0FF0ACC6" w14:textId="58FA0A16"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1F20D7A9" w14:textId="0B61E103"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0D2A2BFF" w14:textId="77777777" w:rsidTr="00CC33A7">
            <w:trPr>
              <w:trHeight w:val="470"/>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3973EAFF" w14:textId="77777777" w:rsidR="00CC33A7" w:rsidRPr="00FF027F" w:rsidRDefault="00CC33A7" w:rsidP="009B63E1">
                <w:pPr>
                  <w:spacing w:after="0"/>
                  <w:jc w:val="center"/>
                  <w:rPr>
                    <w:rFonts w:ascii="Arial" w:eastAsia="Arial" w:hAnsi="Arial" w:cs="Arial"/>
                    <w:b/>
                    <w:bCs/>
                    <w:color w:val="000000"/>
                    <w:sz w:val="20"/>
                    <w:szCs w:val="20"/>
                    <w:lang w:val="en-GB" w:eastAsia="en-GB"/>
                  </w:rPr>
                </w:pPr>
                <w:r w:rsidRPr="00FF027F">
                  <w:rPr>
                    <w:rFonts w:ascii="Arial" w:eastAsia="Arial" w:hAnsi="Arial" w:cs="Arial"/>
                    <w:b/>
                    <w:bCs/>
                    <w:color w:val="000000"/>
                    <w:sz w:val="20"/>
                    <w:szCs w:val="20"/>
                    <w:lang w:val="en-GB" w:eastAsia="en-GB"/>
                  </w:rPr>
                  <w:t>Total AST</w:t>
                </w:r>
              </w:p>
            </w:tc>
            <w:tc>
              <w:tcPr>
                <w:tcW w:w="883" w:type="dxa"/>
                <w:tcBorders>
                  <w:top w:val="nil"/>
                  <w:left w:val="nil"/>
                  <w:bottom w:val="single" w:sz="8" w:space="0" w:color="auto"/>
                  <w:right w:val="single" w:sz="8" w:space="0" w:color="auto"/>
                </w:tcBorders>
                <w:shd w:val="clear" w:color="auto" w:fill="auto"/>
                <w:hideMark/>
              </w:tcPr>
              <w:p w14:paraId="2F0B1A7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hideMark/>
              </w:tcPr>
              <w:p w14:paraId="58043627"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15</w:t>
                </w:r>
              </w:p>
            </w:tc>
            <w:tc>
              <w:tcPr>
                <w:tcW w:w="883" w:type="dxa"/>
                <w:tcBorders>
                  <w:top w:val="nil"/>
                  <w:left w:val="nil"/>
                  <w:bottom w:val="single" w:sz="8" w:space="0" w:color="auto"/>
                  <w:right w:val="single" w:sz="8" w:space="0" w:color="auto"/>
                </w:tcBorders>
                <w:shd w:val="clear" w:color="auto" w:fill="auto"/>
                <w:hideMark/>
              </w:tcPr>
              <w:p w14:paraId="349E62F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hideMark/>
              </w:tcPr>
              <w:p w14:paraId="3B476DAE" w14:textId="4D7A9BA9" w:rsidR="00CC33A7" w:rsidRPr="00FF027F" w:rsidRDefault="00CC33A7"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14</w:t>
                </w:r>
              </w:p>
            </w:tc>
            <w:tc>
              <w:tcPr>
                <w:tcW w:w="883" w:type="dxa"/>
                <w:tcBorders>
                  <w:top w:val="nil"/>
                  <w:left w:val="nil"/>
                  <w:bottom w:val="single" w:sz="8" w:space="0" w:color="auto"/>
                  <w:right w:val="single" w:sz="8" w:space="0" w:color="auto"/>
                </w:tcBorders>
                <w:shd w:val="clear" w:color="auto" w:fill="auto"/>
                <w:hideMark/>
              </w:tcPr>
              <w:p w14:paraId="3E477EC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hideMark/>
              </w:tcPr>
              <w:p w14:paraId="57D79EF0"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15</w:t>
                </w:r>
              </w:p>
            </w:tc>
            <w:tc>
              <w:tcPr>
                <w:tcW w:w="883" w:type="dxa"/>
                <w:tcBorders>
                  <w:top w:val="nil"/>
                  <w:left w:val="nil"/>
                  <w:bottom w:val="single" w:sz="8" w:space="0" w:color="auto"/>
                  <w:right w:val="single" w:sz="8" w:space="0" w:color="auto"/>
                </w:tcBorders>
                <w:shd w:val="clear" w:color="auto" w:fill="auto"/>
                <w:hideMark/>
              </w:tcPr>
              <w:p w14:paraId="05F946B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hideMark/>
              </w:tcPr>
              <w:p w14:paraId="47199E3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hideMark/>
              </w:tcPr>
              <w:p w14:paraId="3CD65F8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071B411E" w14:textId="5B12330F"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3B9DE08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32BBA9EF" w14:textId="77F1AEE4"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23</w:t>
                </w:r>
              </w:p>
            </w:tc>
            <w:tc>
              <w:tcPr>
                <w:tcW w:w="883" w:type="dxa"/>
                <w:tcBorders>
                  <w:top w:val="nil"/>
                  <w:left w:val="nil"/>
                  <w:bottom w:val="single" w:sz="8" w:space="0" w:color="auto"/>
                  <w:right w:val="single" w:sz="8" w:space="0" w:color="auto"/>
                </w:tcBorders>
                <w:shd w:val="clear" w:color="auto" w:fill="auto"/>
              </w:tcPr>
              <w:p w14:paraId="6472F83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29A906E9" w14:textId="0701D58D"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23</w:t>
                </w:r>
              </w:p>
            </w:tc>
            <w:tc>
              <w:tcPr>
                <w:tcW w:w="883" w:type="dxa"/>
                <w:tcBorders>
                  <w:top w:val="nil"/>
                  <w:left w:val="nil"/>
                  <w:bottom w:val="single" w:sz="8" w:space="0" w:color="auto"/>
                  <w:right w:val="single" w:sz="8" w:space="0" w:color="auto"/>
                </w:tcBorders>
                <w:shd w:val="clear" w:color="auto" w:fill="auto"/>
                <w:hideMark/>
              </w:tcPr>
              <w:p w14:paraId="547AE39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hideMark/>
              </w:tcPr>
              <w:p w14:paraId="09794A75" w14:textId="17D0F00B"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23</w:t>
                </w:r>
              </w:p>
            </w:tc>
          </w:tr>
          <w:tr w:rsidR="00CC33A7" w:rsidRPr="00FF027F" w14:paraId="2DE4862E"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tcPr>
              <w:p w14:paraId="25E67FAC" w14:textId="77777777" w:rsidR="00CC33A7" w:rsidRPr="00FF027F" w:rsidRDefault="00CC33A7" w:rsidP="009B63E1">
                <w:pPr>
                  <w:spacing w:after="0"/>
                  <w:jc w:val="center"/>
                  <w:rPr>
                    <w:rFonts w:ascii="Arial" w:eastAsia="Arial" w:hAnsi="Arial" w:cs="Arial"/>
                    <w:bCs/>
                    <w:color w:val="000000"/>
                    <w:sz w:val="20"/>
                    <w:szCs w:val="20"/>
                    <w:lang w:val="en-GB" w:eastAsia="en-GB"/>
                  </w:rPr>
                </w:pPr>
                <w:r w:rsidRPr="00FF027F">
                  <w:rPr>
                    <w:rFonts w:ascii="Arial" w:eastAsia="Arial" w:hAnsi="Arial" w:cs="Arial"/>
                    <w:bCs/>
                    <w:color w:val="000000"/>
                    <w:sz w:val="20"/>
                    <w:szCs w:val="20"/>
                    <w:lang w:val="en-GB" w:eastAsia="en-GB"/>
                  </w:rPr>
                  <w:t>AST/SC1</w:t>
                </w:r>
              </w:p>
            </w:tc>
            <w:tc>
              <w:tcPr>
                <w:tcW w:w="883" w:type="dxa"/>
                <w:tcBorders>
                  <w:top w:val="nil"/>
                  <w:left w:val="nil"/>
                  <w:bottom w:val="single" w:sz="8" w:space="0" w:color="auto"/>
                  <w:right w:val="single" w:sz="8" w:space="0" w:color="auto"/>
                </w:tcBorders>
                <w:shd w:val="clear" w:color="auto" w:fill="auto"/>
              </w:tcPr>
              <w:p w14:paraId="16BCBF8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tcPr>
              <w:p w14:paraId="620B7F6B"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49</w:t>
                </w:r>
              </w:p>
            </w:tc>
            <w:tc>
              <w:tcPr>
                <w:tcW w:w="883" w:type="dxa"/>
                <w:tcBorders>
                  <w:top w:val="nil"/>
                  <w:left w:val="nil"/>
                  <w:bottom w:val="single" w:sz="8" w:space="0" w:color="auto"/>
                  <w:right w:val="single" w:sz="8" w:space="0" w:color="auto"/>
                </w:tcBorders>
                <w:shd w:val="clear" w:color="auto" w:fill="auto"/>
              </w:tcPr>
              <w:p w14:paraId="6E24179E"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tcPr>
              <w:p w14:paraId="79AAE9E1" w14:textId="6987346D" w:rsidR="00CC33A7" w:rsidRPr="00FF027F" w:rsidRDefault="00CC33A7" w:rsidP="009B63E1">
                <w:pPr>
                  <w:spacing w:after="0"/>
                  <w:jc w:val="center"/>
                  <w:rPr>
                    <w:rFonts w:ascii="Calibri" w:eastAsia="Arial" w:hAnsi="Calibri" w:cs="Arial"/>
                    <w:color w:val="000000"/>
                    <w:sz w:val="20"/>
                    <w:szCs w:val="20"/>
                    <w:lang w:val="en-GB" w:eastAsia="en-GB"/>
                  </w:rPr>
                </w:pPr>
                <w:r w:rsidRPr="00FF027F">
                  <w:rPr>
                    <w:rFonts w:ascii="Calibri" w:eastAsia="Arial" w:hAnsi="Calibri" w:cs="Arial"/>
                    <w:color w:val="000000"/>
                    <w:sz w:val="20"/>
                    <w:szCs w:val="20"/>
                    <w:lang w:val="en-GB" w:eastAsia="en-GB"/>
                  </w:rPr>
                  <w:t>44</w:t>
                </w:r>
              </w:p>
            </w:tc>
            <w:tc>
              <w:tcPr>
                <w:tcW w:w="883" w:type="dxa"/>
                <w:tcBorders>
                  <w:top w:val="nil"/>
                  <w:left w:val="nil"/>
                  <w:bottom w:val="single" w:sz="8" w:space="0" w:color="auto"/>
                  <w:right w:val="single" w:sz="8" w:space="0" w:color="auto"/>
                </w:tcBorders>
                <w:shd w:val="clear" w:color="auto" w:fill="auto"/>
              </w:tcPr>
              <w:p w14:paraId="2CDB42B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tcPr>
              <w:p w14:paraId="729B488F" w14:textId="77777777"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54</w:t>
                </w:r>
              </w:p>
            </w:tc>
            <w:tc>
              <w:tcPr>
                <w:tcW w:w="883" w:type="dxa"/>
                <w:tcBorders>
                  <w:top w:val="nil"/>
                  <w:left w:val="nil"/>
                  <w:bottom w:val="single" w:sz="8" w:space="0" w:color="auto"/>
                  <w:right w:val="single" w:sz="8" w:space="0" w:color="auto"/>
                </w:tcBorders>
                <w:shd w:val="clear" w:color="auto" w:fill="auto"/>
              </w:tcPr>
              <w:p w14:paraId="4A3B8D3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tcPr>
              <w:p w14:paraId="69A6173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23D6038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tcPr>
              <w:p w14:paraId="64515A3B" w14:textId="7156DDED"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tcPr>
              <w:p w14:paraId="1FFF78A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26C3813F" w14:textId="52C9D293"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95</w:t>
                </w:r>
              </w:p>
            </w:tc>
            <w:tc>
              <w:tcPr>
                <w:tcW w:w="883" w:type="dxa"/>
                <w:tcBorders>
                  <w:top w:val="nil"/>
                  <w:left w:val="nil"/>
                  <w:bottom w:val="single" w:sz="8" w:space="0" w:color="auto"/>
                  <w:right w:val="single" w:sz="8" w:space="0" w:color="auto"/>
                </w:tcBorders>
                <w:shd w:val="clear" w:color="auto" w:fill="auto"/>
              </w:tcPr>
              <w:p w14:paraId="35420FA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tcPr>
              <w:p w14:paraId="426025C2" w14:textId="23A031D6"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95</w:t>
                </w:r>
              </w:p>
            </w:tc>
            <w:tc>
              <w:tcPr>
                <w:tcW w:w="883" w:type="dxa"/>
                <w:tcBorders>
                  <w:top w:val="nil"/>
                  <w:left w:val="nil"/>
                  <w:bottom w:val="single" w:sz="8" w:space="0" w:color="auto"/>
                  <w:right w:val="single" w:sz="8" w:space="0" w:color="auto"/>
                </w:tcBorders>
                <w:shd w:val="clear" w:color="auto" w:fill="auto"/>
              </w:tcPr>
              <w:p w14:paraId="7D95490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tcPr>
              <w:p w14:paraId="631EC125" w14:textId="53A4AFD0" w:rsidR="00CC33A7" w:rsidRPr="00FF027F" w:rsidRDefault="00CC33A7" w:rsidP="009B63E1">
                <w:pPr>
                  <w:spacing w:after="0"/>
                  <w:jc w:val="center"/>
                  <w:rPr>
                    <w:rFonts w:ascii="Arial" w:eastAsia="Arial" w:hAnsi="Arial" w:cs="Arial"/>
                    <w:color w:val="000000"/>
                    <w:sz w:val="20"/>
                    <w:szCs w:val="20"/>
                    <w:lang w:val="en-GB" w:eastAsia="en-GB"/>
                  </w:rPr>
                </w:pPr>
                <w:r w:rsidRPr="00FF027F">
                  <w:rPr>
                    <w:sz w:val="20"/>
                    <w:szCs w:val="20"/>
                    <w:lang w:val="en-GB"/>
                  </w:rPr>
                  <w:t>95</w:t>
                </w:r>
              </w:p>
            </w:tc>
          </w:tr>
          <w:tr w:rsidR="00CC33A7" w:rsidRPr="00FF027F" w14:paraId="0822747E"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tcPr>
              <w:p w14:paraId="32FC4F1B" w14:textId="77777777" w:rsidR="00CC33A7" w:rsidRPr="00FF027F" w:rsidRDefault="00CC33A7" w:rsidP="009B63E1">
                <w:pPr>
                  <w:spacing w:after="0"/>
                  <w:rPr>
                    <w:rFonts w:ascii="Arial" w:eastAsia="Arial" w:hAnsi="Arial" w:cs="Arial"/>
                    <w:color w:val="000000"/>
                    <w:lang w:val="en-GB" w:eastAsia="en-GB"/>
                  </w:rPr>
                </w:pPr>
                <w:r w:rsidRPr="00FF027F">
                  <w:rPr>
                    <w:rFonts w:ascii="Arial" w:eastAsia="Arial" w:hAnsi="Arial" w:cs="Arial"/>
                    <w:bCs/>
                    <w:color w:val="000000"/>
                    <w:sz w:val="20"/>
                    <w:szCs w:val="20"/>
                    <w:lang w:val="en-GB" w:eastAsia="en-GB"/>
                  </w:rPr>
                  <w:t>AST/SC2</w:t>
                </w:r>
              </w:p>
            </w:tc>
            <w:tc>
              <w:tcPr>
                <w:tcW w:w="883" w:type="dxa"/>
                <w:tcBorders>
                  <w:top w:val="nil"/>
                  <w:left w:val="nil"/>
                  <w:bottom w:val="single" w:sz="8" w:space="0" w:color="auto"/>
                  <w:right w:val="single" w:sz="8" w:space="0" w:color="auto"/>
                </w:tcBorders>
                <w:shd w:val="clear" w:color="auto" w:fill="auto"/>
                <w:vAlign w:val="center"/>
              </w:tcPr>
              <w:p w14:paraId="147381B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vAlign w:val="center"/>
              </w:tcPr>
              <w:p w14:paraId="2E44518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DF962A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vAlign w:val="center"/>
              </w:tcPr>
              <w:p w14:paraId="334B08C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609D494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vAlign w:val="center"/>
              </w:tcPr>
              <w:p w14:paraId="0D12355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E94213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vAlign w:val="center"/>
              </w:tcPr>
              <w:p w14:paraId="63CA3A8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603526A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vAlign w:val="center"/>
              </w:tcPr>
              <w:p w14:paraId="721A044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6B22150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158E225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8C800E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7BD7789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1439BDB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vAlign w:val="center"/>
              </w:tcPr>
              <w:p w14:paraId="06305B12" w14:textId="77777777"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1E8C8E0E"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tcPr>
              <w:p w14:paraId="2CDBCD08" w14:textId="77777777" w:rsidR="00CC33A7" w:rsidRPr="00FF027F" w:rsidRDefault="00CC33A7" w:rsidP="009B63E1">
                <w:pPr>
                  <w:spacing w:after="0"/>
                  <w:rPr>
                    <w:rFonts w:ascii="Arial" w:eastAsia="Arial" w:hAnsi="Arial" w:cs="Arial"/>
                    <w:color w:val="000000"/>
                    <w:lang w:val="en-GB" w:eastAsia="en-GB"/>
                  </w:rPr>
                </w:pPr>
                <w:r w:rsidRPr="00FF027F">
                  <w:rPr>
                    <w:rFonts w:ascii="Arial" w:eastAsia="Arial" w:hAnsi="Arial" w:cs="Arial"/>
                    <w:bCs/>
                    <w:color w:val="000000"/>
                    <w:sz w:val="20"/>
                    <w:szCs w:val="20"/>
                    <w:lang w:val="en-GB" w:eastAsia="en-GB"/>
                  </w:rPr>
                  <w:t>AST/SC3</w:t>
                </w:r>
              </w:p>
            </w:tc>
            <w:tc>
              <w:tcPr>
                <w:tcW w:w="883" w:type="dxa"/>
                <w:tcBorders>
                  <w:top w:val="nil"/>
                  <w:left w:val="nil"/>
                  <w:bottom w:val="single" w:sz="8" w:space="0" w:color="auto"/>
                  <w:right w:val="single" w:sz="8" w:space="0" w:color="auto"/>
                </w:tcBorders>
                <w:shd w:val="clear" w:color="auto" w:fill="auto"/>
                <w:vAlign w:val="center"/>
              </w:tcPr>
              <w:p w14:paraId="07557BC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vAlign w:val="center"/>
              </w:tcPr>
              <w:p w14:paraId="757A734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75A48F6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vAlign w:val="center"/>
              </w:tcPr>
              <w:p w14:paraId="451D655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13C674A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vAlign w:val="center"/>
              </w:tcPr>
              <w:p w14:paraId="3F75282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C91DD4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vAlign w:val="center"/>
              </w:tcPr>
              <w:p w14:paraId="52E1908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32717DCE"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vAlign w:val="center"/>
              </w:tcPr>
              <w:p w14:paraId="46F4129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1C7AF58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342992A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39ED133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57074EC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4E65A5F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vAlign w:val="center"/>
              </w:tcPr>
              <w:p w14:paraId="2C9D0319" w14:textId="77777777"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3EB6450D"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tcPr>
              <w:p w14:paraId="11327CDD" w14:textId="77777777" w:rsidR="00CC33A7" w:rsidRPr="00FF027F" w:rsidRDefault="00CC33A7" w:rsidP="009B63E1">
                <w:pPr>
                  <w:spacing w:after="0"/>
                  <w:rPr>
                    <w:rFonts w:ascii="Arial" w:eastAsia="Arial" w:hAnsi="Arial" w:cs="Arial"/>
                    <w:color w:val="000000"/>
                    <w:lang w:val="en-GB" w:eastAsia="en-GB"/>
                  </w:rPr>
                </w:pPr>
                <w:r w:rsidRPr="00FF027F">
                  <w:rPr>
                    <w:rFonts w:ascii="Arial" w:eastAsia="Arial" w:hAnsi="Arial" w:cs="Arial"/>
                    <w:bCs/>
                    <w:color w:val="000000"/>
                    <w:sz w:val="20"/>
                    <w:szCs w:val="20"/>
                    <w:lang w:val="en-GB" w:eastAsia="en-GB"/>
                  </w:rPr>
                  <w:t>AST/SC4</w:t>
                </w:r>
              </w:p>
            </w:tc>
            <w:tc>
              <w:tcPr>
                <w:tcW w:w="883" w:type="dxa"/>
                <w:tcBorders>
                  <w:top w:val="nil"/>
                  <w:left w:val="nil"/>
                  <w:bottom w:val="single" w:sz="8" w:space="0" w:color="auto"/>
                  <w:right w:val="single" w:sz="8" w:space="0" w:color="auto"/>
                </w:tcBorders>
                <w:shd w:val="clear" w:color="auto" w:fill="auto"/>
                <w:vAlign w:val="center"/>
              </w:tcPr>
              <w:p w14:paraId="58ECF29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vAlign w:val="center"/>
              </w:tcPr>
              <w:p w14:paraId="15236F9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B7B9F9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vAlign w:val="center"/>
              </w:tcPr>
              <w:p w14:paraId="20A600C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1B78B07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vAlign w:val="center"/>
              </w:tcPr>
              <w:p w14:paraId="00171E8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11FACB3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vAlign w:val="center"/>
              </w:tcPr>
              <w:p w14:paraId="5D53540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60CB5D8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vAlign w:val="center"/>
              </w:tcPr>
              <w:p w14:paraId="74CF517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50752B2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3A04763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5838050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7825D0B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5DC4908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vAlign w:val="center"/>
              </w:tcPr>
              <w:p w14:paraId="58EAB1DD" w14:textId="77777777"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27CA2ECF"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tcPr>
              <w:p w14:paraId="7183CE6C" w14:textId="77777777" w:rsidR="00CC33A7" w:rsidRPr="00FF027F" w:rsidRDefault="00CC33A7" w:rsidP="009B63E1">
                <w:pPr>
                  <w:spacing w:after="0"/>
                  <w:rPr>
                    <w:rFonts w:ascii="Arial" w:eastAsia="Arial" w:hAnsi="Arial" w:cs="Arial"/>
                    <w:color w:val="000000"/>
                    <w:lang w:val="en-GB" w:eastAsia="en-GB"/>
                  </w:rPr>
                </w:pPr>
                <w:r w:rsidRPr="00FF027F">
                  <w:rPr>
                    <w:rFonts w:ascii="Arial" w:eastAsia="Arial" w:hAnsi="Arial" w:cs="Arial"/>
                    <w:bCs/>
                    <w:color w:val="000000"/>
                    <w:sz w:val="20"/>
                    <w:szCs w:val="20"/>
                    <w:lang w:val="en-GB" w:eastAsia="en-GB"/>
                  </w:rPr>
                  <w:t>AST/SC5</w:t>
                </w:r>
              </w:p>
            </w:tc>
            <w:tc>
              <w:tcPr>
                <w:tcW w:w="883" w:type="dxa"/>
                <w:tcBorders>
                  <w:top w:val="nil"/>
                  <w:left w:val="nil"/>
                  <w:bottom w:val="single" w:sz="8" w:space="0" w:color="auto"/>
                  <w:right w:val="single" w:sz="8" w:space="0" w:color="auto"/>
                </w:tcBorders>
                <w:shd w:val="clear" w:color="auto" w:fill="auto"/>
                <w:vAlign w:val="center"/>
              </w:tcPr>
              <w:p w14:paraId="6893091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vAlign w:val="center"/>
              </w:tcPr>
              <w:p w14:paraId="6BD1450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5651C67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vAlign w:val="center"/>
              </w:tcPr>
              <w:p w14:paraId="1A3730E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525AC7F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vAlign w:val="center"/>
              </w:tcPr>
              <w:p w14:paraId="7FB5DFE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7F5AF82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vAlign w:val="center"/>
              </w:tcPr>
              <w:p w14:paraId="5FEEF79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6D9C31D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vAlign w:val="center"/>
              </w:tcPr>
              <w:p w14:paraId="1C30FFD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1ED3A2F7"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381F98A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2F2F032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3997A3A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96E7DB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vAlign w:val="center"/>
              </w:tcPr>
              <w:p w14:paraId="6ED9777F" w14:textId="77777777"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76616833"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tcPr>
              <w:p w14:paraId="127295CA" w14:textId="77777777" w:rsidR="00CC33A7" w:rsidRPr="00FF027F" w:rsidRDefault="00CC33A7" w:rsidP="009B63E1">
                <w:pPr>
                  <w:spacing w:after="0"/>
                  <w:rPr>
                    <w:rFonts w:ascii="Arial" w:eastAsia="Arial" w:hAnsi="Arial" w:cs="Arial"/>
                    <w:color w:val="000000"/>
                    <w:lang w:val="en-GB" w:eastAsia="en-GB"/>
                  </w:rPr>
                </w:pPr>
                <w:r w:rsidRPr="00FF027F">
                  <w:rPr>
                    <w:rFonts w:ascii="Arial" w:eastAsia="Arial" w:hAnsi="Arial" w:cs="Arial"/>
                    <w:bCs/>
                    <w:color w:val="000000"/>
                    <w:sz w:val="20"/>
                    <w:szCs w:val="20"/>
                    <w:lang w:val="en-GB" w:eastAsia="en-GB"/>
                  </w:rPr>
                  <w:t>AST/SC6</w:t>
                </w:r>
              </w:p>
            </w:tc>
            <w:tc>
              <w:tcPr>
                <w:tcW w:w="883" w:type="dxa"/>
                <w:tcBorders>
                  <w:top w:val="nil"/>
                  <w:left w:val="nil"/>
                  <w:bottom w:val="single" w:sz="8" w:space="0" w:color="auto"/>
                  <w:right w:val="single" w:sz="8" w:space="0" w:color="auto"/>
                </w:tcBorders>
                <w:shd w:val="clear" w:color="auto" w:fill="auto"/>
                <w:vAlign w:val="center"/>
              </w:tcPr>
              <w:p w14:paraId="50E9310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vAlign w:val="center"/>
              </w:tcPr>
              <w:p w14:paraId="1D0A16A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271316D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vAlign w:val="center"/>
              </w:tcPr>
              <w:p w14:paraId="225F6B8E"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41ADE45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vAlign w:val="center"/>
              </w:tcPr>
              <w:p w14:paraId="471D37C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46F13E7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vAlign w:val="center"/>
              </w:tcPr>
              <w:p w14:paraId="2FF5E9B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8130751"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vAlign w:val="center"/>
              </w:tcPr>
              <w:p w14:paraId="5D0C640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3F6528F8"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26E18B2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35A562C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24CBBB9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36E98D3E"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vAlign w:val="center"/>
              </w:tcPr>
              <w:p w14:paraId="38DC4C21" w14:textId="77777777"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52851996"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tcPr>
              <w:p w14:paraId="11E7610B" w14:textId="77777777" w:rsidR="00CC33A7" w:rsidRPr="00FF027F" w:rsidRDefault="00CC33A7" w:rsidP="009B63E1">
                <w:pPr>
                  <w:spacing w:after="0"/>
                  <w:jc w:val="center"/>
                  <w:rPr>
                    <w:rFonts w:ascii="Arial" w:eastAsia="Arial" w:hAnsi="Arial" w:cs="Arial"/>
                    <w:b/>
                    <w:bCs/>
                    <w:color w:val="000000"/>
                    <w:sz w:val="20"/>
                    <w:szCs w:val="20"/>
                    <w:lang w:val="en-GB" w:eastAsia="en-GB"/>
                  </w:rPr>
                </w:pPr>
                <w:r w:rsidRPr="00FF027F">
                  <w:rPr>
                    <w:rFonts w:ascii="Arial" w:eastAsia="Arial" w:hAnsi="Arial" w:cs="Arial"/>
                    <w:b/>
                    <w:bCs/>
                    <w:color w:val="000000"/>
                    <w:sz w:val="20"/>
                    <w:szCs w:val="20"/>
                    <w:lang w:val="en-GB" w:eastAsia="en-GB"/>
                  </w:rPr>
                  <w:t>Total AST/SC</w:t>
                </w:r>
              </w:p>
            </w:tc>
            <w:tc>
              <w:tcPr>
                <w:tcW w:w="883" w:type="dxa"/>
                <w:tcBorders>
                  <w:top w:val="nil"/>
                  <w:left w:val="nil"/>
                  <w:bottom w:val="single" w:sz="8" w:space="0" w:color="auto"/>
                  <w:right w:val="single" w:sz="8" w:space="0" w:color="auto"/>
                </w:tcBorders>
                <w:shd w:val="clear" w:color="auto" w:fill="auto"/>
                <w:vAlign w:val="center"/>
              </w:tcPr>
              <w:p w14:paraId="7482A7D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vAlign w:val="center"/>
              </w:tcPr>
              <w:p w14:paraId="536E53A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4A8AFDA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vAlign w:val="center"/>
              </w:tcPr>
              <w:p w14:paraId="513222B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0B6BD7E0"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vAlign w:val="center"/>
              </w:tcPr>
              <w:p w14:paraId="434561B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57C2DCA2"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vAlign w:val="center"/>
              </w:tcPr>
              <w:p w14:paraId="6997184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648C3FE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vAlign w:val="center"/>
              </w:tcPr>
              <w:p w14:paraId="737D4DE5"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2922527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24C3487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72C0133C"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tcPr>
              <w:p w14:paraId="4DAED75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tcPr>
              <w:p w14:paraId="4788DA4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vAlign w:val="center"/>
              </w:tcPr>
              <w:p w14:paraId="682AF1A4" w14:textId="77777777" w:rsidR="00CC33A7" w:rsidRPr="00FF027F" w:rsidRDefault="00CC33A7" w:rsidP="009B63E1">
                <w:pPr>
                  <w:spacing w:after="0"/>
                  <w:jc w:val="center"/>
                  <w:rPr>
                    <w:rFonts w:ascii="Arial" w:eastAsia="Arial" w:hAnsi="Arial" w:cs="Arial"/>
                    <w:color w:val="000000"/>
                    <w:sz w:val="20"/>
                    <w:szCs w:val="20"/>
                    <w:lang w:val="en-GB" w:eastAsia="en-GB"/>
                  </w:rPr>
                </w:pPr>
              </w:p>
            </w:tc>
          </w:tr>
          <w:tr w:rsidR="00CC33A7" w:rsidRPr="00FF027F" w14:paraId="2F475FA2" w14:textId="77777777" w:rsidTr="00CC33A7">
            <w:trPr>
              <w:trHeight w:val="309"/>
            </w:trPr>
            <w:tc>
              <w:tcPr>
                <w:tcW w:w="1050" w:type="dxa"/>
                <w:tcBorders>
                  <w:top w:val="nil"/>
                  <w:left w:val="single" w:sz="8" w:space="0" w:color="auto"/>
                  <w:bottom w:val="single" w:sz="8" w:space="0" w:color="auto"/>
                  <w:right w:val="single" w:sz="8" w:space="0" w:color="auto"/>
                </w:tcBorders>
                <w:shd w:val="clear" w:color="auto" w:fill="auto"/>
                <w:vAlign w:val="center"/>
                <w:hideMark/>
              </w:tcPr>
              <w:p w14:paraId="573376BE" w14:textId="77777777" w:rsidR="00CC33A7" w:rsidRPr="00FF027F" w:rsidRDefault="00CC33A7" w:rsidP="009B63E1">
                <w:pPr>
                  <w:spacing w:after="0"/>
                  <w:jc w:val="center"/>
                  <w:rPr>
                    <w:rFonts w:ascii="Arial" w:eastAsia="Arial" w:hAnsi="Arial" w:cs="Arial"/>
                    <w:b/>
                    <w:bCs/>
                    <w:color w:val="000000"/>
                    <w:sz w:val="20"/>
                    <w:szCs w:val="20"/>
                    <w:lang w:val="en-GB" w:eastAsia="en-GB"/>
                  </w:rPr>
                </w:pPr>
                <w:r w:rsidRPr="00FF027F">
                  <w:rPr>
                    <w:rFonts w:ascii="Arial" w:eastAsia="Arial" w:hAnsi="Arial" w:cs="Arial"/>
                    <w:b/>
                    <w:bCs/>
                    <w:color w:val="000000"/>
                    <w:sz w:val="20"/>
                    <w:szCs w:val="20"/>
                    <w:lang w:val="en-GB" w:eastAsia="en-GB"/>
                  </w:rPr>
                  <w:t>TOTAL</w:t>
                </w:r>
              </w:p>
            </w:tc>
            <w:tc>
              <w:tcPr>
                <w:tcW w:w="883" w:type="dxa"/>
                <w:tcBorders>
                  <w:top w:val="nil"/>
                  <w:left w:val="nil"/>
                  <w:bottom w:val="single" w:sz="8" w:space="0" w:color="auto"/>
                  <w:right w:val="single" w:sz="8" w:space="0" w:color="auto"/>
                </w:tcBorders>
                <w:shd w:val="clear" w:color="auto" w:fill="auto"/>
                <w:vAlign w:val="center"/>
                <w:hideMark/>
              </w:tcPr>
              <w:p w14:paraId="6C5F3C6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40" w:type="dxa"/>
                <w:tcBorders>
                  <w:top w:val="nil"/>
                  <w:left w:val="nil"/>
                  <w:bottom w:val="single" w:sz="8" w:space="0" w:color="auto"/>
                  <w:right w:val="single" w:sz="8" w:space="0" w:color="auto"/>
                </w:tcBorders>
                <w:shd w:val="clear" w:color="auto" w:fill="auto"/>
                <w:vAlign w:val="center"/>
                <w:hideMark/>
              </w:tcPr>
              <w:p w14:paraId="1C9D0C0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4FE3C68E"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15" w:type="dxa"/>
                <w:tcBorders>
                  <w:top w:val="nil"/>
                  <w:left w:val="nil"/>
                  <w:bottom w:val="single" w:sz="8" w:space="0" w:color="auto"/>
                  <w:right w:val="single" w:sz="8" w:space="0" w:color="auto"/>
                </w:tcBorders>
                <w:shd w:val="clear" w:color="auto" w:fill="auto"/>
                <w:vAlign w:val="center"/>
                <w:hideMark/>
              </w:tcPr>
              <w:p w14:paraId="7045172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2595ACF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639" w:type="dxa"/>
                <w:tcBorders>
                  <w:top w:val="nil"/>
                  <w:left w:val="nil"/>
                  <w:bottom w:val="single" w:sz="8" w:space="0" w:color="auto"/>
                  <w:right w:val="single" w:sz="8" w:space="0" w:color="auto"/>
                </w:tcBorders>
                <w:shd w:val="clear" w:color="auto" w:fill="auto"/>
                <w:vAlign w:val="center"/>
                <w:hideMark/>
              </w:tcPr>
              <w:p w14:paraId="7A18BD44"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2221D57D"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92" w:type="dxa"/>
                <w:tcBorders>
                  <w:top w:val="nil"/>
                  <w:left w:val="nil"/>
                  <w:bottom w:val="single" w:sz="8" w:space="0" w:color="auto"/>
                  <w:right w:val="single" w:sz="8" w:space="0" w:color="auto"/>
                </w:tcBorders>
                <w:shd w:val="clear" w:color="auto" w:fill="auto"/>
                <w:vAlign w:val="center"/>
                <w:hideMark/>
              </w:tcPr>
              <w:p w14:paraId="0707D29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5226847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74" w:type="dxa"/>
                <w:tcBorders>
                  <w:top w:val="nil"/>
                  <w:left w:val="nil"/>
                  <w:bottom w:val="single" w:sz="8" w:space="0" w:color="auto"/>
                  <w:right w:val="single" w:sz="8" w:space="0" w:color="auto"/>
                </w:tcBorders>
                <w:shd w:val="clear" w:color="auto" w:fill="auto"/>
                <w:vAlign w:val="center"/>
                <w:hideMark/>
              </w:tcPr>
              <w:p w14:paraId="2AB5412B"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0691EA56"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hideMark/>
              </w:tcPr>
              <w:p w14:paraId="26D7A54F"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39ED86CA"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723" w:type="dxa"/>
                <w:tcBorders>
                  <w:top w:val="nil"/>
                  <w:left w:val="nil"/>
                  <w:bottom w:val="single" w:sz="8" w:space="0" w:color="auto"/>
                  <w:right w:val="single" w:sz="8" w:space="0" w:color="auto"/>
                </w:tcBorders>
                <w:shd w:val="clear" w:color="auto" w:fill="auto"/>
                <w:vAlign w:val="center"/>
                <w:hideMark/>
              </w:tcPr>
              <w:p w14:paraId="6858CAF9"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83" w:type="dxa"/>
                <w:tcBorders>
                  <w:top w:val="nil"/>
                  <w:left w:val="nil"/>
                  <w:bottom w:val="single" w:sz="8" w:space="0" w:color="auto"/>
                  <w:right w:val="single" w:sz="8" w:space="0" w:color="auto"/>
                </w:tcBorders>
                <w:shd w:val="clear" w:color="auto" w:fill="auto"/>
                <w:vAlign w:val="center"/>
                <w:hideMark/>
              </w:tcPr>
              <w:p w14:paraId="316F9943" w14:textId="77777777" w:rsidR="00CC33A7" w:rsidRPr="00FF027F" w:rsidRDefault="00CC33A7" w:rsidP="009B63E1">
                <w:pPr>
                  <w:spacing w:after="0"/>
                  <w:jc w:val="center"/>
                  <w:rPr>
                    <w:rFonts w:ascii="Arial" w:eastAsia="Arial" w:hAnsi="Arial" w:cs="Arial"/>
                    <w:color w:val="000000"/>
                    <w:sz w:val="20"/>
                    <w:szCs w:val="20"/>
                    <w:lang w:val="en-GB" w:eastAsia="en-GB"/>
                  </w:rPr>
                </w:pPr>
              </w:p>
            </w:tc>
            <w:tc>
              <w:tcPr>
                <w:tcW w:w="852" w:type="dxa"/>
                <w:tcBorders>
                  <w:top w:val="nil"/>
                  <w:left w:val="nil"/>
                  <w:bottom w:val="single" w:sz="8" w:space="0" w:color="auto"/>
                  <w:right w:val="single" w:sz="8" w:space="0" w:color="auto"/>
                </w:tcBorders>
                <w:shd w:val="clear" w:color="auto" w:fill="auto"/>
                <w:vAlign w:val="center"/>
                <w:hideMark/>
              </w:tcPr>
              <w:p w14:paraId="21575AE9" w14:textId="77777777" w:rsidR="00CC33A7" w:rsidRPr="00FF027F" w:rsidRDefault="00CC33A7" w:rsidP="009B63E1">
                <w:pPr>
                  <w:spacing w:after="0"/>
                  <w:jc w:val="center"/>
                  <w:rPr>
                    <w:rFonts w:ascii="Arial" w:eastAsia="Arial" w:hAnsi="Arial" w:cs="Arial"/>
                    <w:color w:val="000000"/>
                    <w:sz w:val="20"/>
                    <w:szCs w:val="20"/>
                    <w:lang w:val="en-GB" w:eastAsia="en-GB"/>
                  </w:rPr>
                </w:pPr>
              </w:p>
            </w:tc>
          </w:tr>
        </w:tbl>
        <w:p w14:paraId="602C8C29" w14:textId="77777777" w:rsidR="00DA3F49" w:rsidRPr="00FF027F" w:rsidRDefault="00DA3F49" w:rsidP="00B67222">
          <w:pPr>
            <w:rPr>
              <w:lang w:val="en-GB" w:eastAsia="en-GB"/>
            </w:rPr>
          </w:pPr>
        </w:p>
        <w:p w14:paraId="73801060" w14:textId="77777777" w:rsidR="004D6EB3" w:rsidRPr="00FF027F" w:rsidRDefault="004D6EB3">
          <w:pPr>
            <w:rPr>
              <w:lang w:val="en-GB"/>
            </w:rPr>
            <w:sectPr w:rsidR="004D6EB3" w:rsidRPr="00FF027F" w:rsidSect="004D6EB3">
              <w:pgSz w:w="16839" w:h="11907" w:orient="landscape" w:code="9"/>
              <w:pgMar w:top="1440" w:right="1440" w:bottom="1440" w:left="1440" w:header="720" w:footer="720" w:gutter="0"/>
              <w:cols w:space="720"/>
              <w:titlePg/>
              <w:docGrid w:linePitch="360"/>
            </w:sectPr>
          </w:pPr>
        </w:p>
        <w:p w14:paraId="216BDE2E" w14:textId="747491B1" w:rsidR="001F6927" w:rsidRPr="00FF027F" w:rsidRDefault="001F6927" w:rsidP="000304DA">
          <w:pPr>
            <w:pStyle w:val="Heading1"/>
            <w:numPr>
              <w:ilvl w:val="0"/>
              <w:numId w:val="0"/>
            </w:numPr>
            <w:ind w:left="90"/>
          </w:pPr>
          <w:bookmarkStart w:id="131" w:name="_Toc396913815"/>
          <w:r w:rsidRPr="00FF027F">
            <w:t>Annex IV</w:t>
          </w:r>
          <w:r w:rsidR="00DF7B7F" w:rsidRPr="00FF027F">
            <w:t>:</w:t>
          </w:r>
          <w:r w:rsidR="0059751D" w:rsidRPr="00FF027F">
            <w:t xml:space="preserve"> recruitment, appraisal and staff matters</w:t>
          </w:r>
          <w:bookmarkEnd w:id="131"/>
        </w:p>
        <w:p w14:paraId="42375664" w14:textId="370634C7" w:rsidR="000304DA" w:rsidRPr="00FF027F" w:rsidRDefault="001F6927" w:rsidP="000304DA">
          <w:pPr>
            <w:pStyle w:val="Heading2"/>
            <w:numPr>
              <w:ilvl w:val="0"/>
              <w:numId w:val="0"/>
            </w:numPr>
            <w:ind w:left="90"/>
            <w:rPr>
              <w:lang w:eastAsia="en-GB"/>
            </w:rPr>
          </w:pPr>
          <w:bookmarkStart w:id="132" w:name="_Toc396913816"/>
          <w:r w:rsidRPr="00FF027F">
            <w:rPr>
              <w:lang w:eastAsia="en-GB"/>
            </w:rPr>
            <w:t>A. Recruitment policy</w:t>
          </w:r>
          <w:bookmarkEnd w:id="132"/>
          <w:r w:rsidR="001726B6" w:rsidRPr="00FF027F">
            <w:rPr>
              <w:lang w:eastAsia="en-GB"/>
            </w:rPr>
            <w:t xml:space="preserve"> </w:t>
          </w:r>
        </w:p>
        <w:p w14:paraId="2DFD194A" w14:textId="77777777" w:rsidR="00DA3F49" w:rsidRPr="00FF027F" w:rsidRDefault="00DA3F49" w:rsidP="006D214F">
          <w:pPr>
            <w:pStyle w:val="ListParagraph"/>
            <w:keepNext/>
            <w:numPr>
              <w:ilvl w:val="0"/>
              <w:numId w:val="31"/>
            </w:numPr>
            <w:spacing w:after="200" w:line="276" w:lineRule="auto"/>
            <w:jc w:val="both"/>
            <w:outlineLvl w:val="0"/>
            <w:rPr>
              <w:rFonts w:ascii="Times New Roman" w:hAnsi="Times New Roman"/>
              <w:i/>
              <w:sz w:val="24"/>
              <w:szCs w:val="24"/>
              <w:u w:val="single"/>
              <w:lang w:val="en-GB"/>
            </w:rPr>
          </w:pPr>
          <w:bookmarkStart w:id="133" w:name="_Toc396913817"/>
          <w:r w:rsidRPr="00FF027F">
            <w:rPr>
              <w:rFonts w:ascii="Times New Roman" w:hAnsi="Times New Roman"/>
              <w:i/>
              <w:sz w:val="24"/>
              <w:szCs w:val="24"/>
              <w:u w:val="single"/>
              <w:lang w:val="en-GB"/>
            </w:rPr>
            <w:t>Recruitment of temporary and contract agents</w:t>
          </w:r>
          <w:bookmarkEnd w:id="133"/>
        </w:p>
        <w:p w14:paraId="61BFF1B7" w14:textId="659E748D" w:rsidR="00DA3F49" w:rsidRPr="00FF027F" w:rsidRDefault="00DA3F49" w:rsidP="00320DE0">
          <w:pPr>
            <w:jc w:val="both"/>
            <w:rPr>
              <w:lang w:val="en-GB"/>
            </w:rPr>
          </w:pPr>
          <w:r w:rsidRPr="00FF027F">
            <w:rPr>
              <w:lang w:val="en-GB"/>
            </w:rPr>
            <w:t>The recruitment policies for temporary and contract agents were established with the respective implementing rules adopted by the Agency in 2011 (Administrative Board Decision AB n° 10/2011 on the adoption of general implementing provisions on the procedure governing the engagement and the use of temporary agents at ACER and Administrative Board Decision AB n° 11/2011 on the adoption of general implementing provisions on the procedures governing the engagement and the use of contract staff at ACER). All the recruitments of staff are carried out in accordance with the above mentioned implementing provisions. ACER’s Director Decision 201</w:t>
          </w:r>
          <w:r w:rsidR="00320DE0" w:rsidRPr="00FF027F">
            <w:rPr>
              <w:lang w:val="en-GB"/>
            </w:rPr>
            <w:t>4</w:t>
          </w:r>
          <w:r w:rsidRPr="00FF027F">
            <w:rPr>
              <w:lang w:val="en-GB"/>
            </w:rPr>
            <w:t>/0</w:t>
          </w:r>
          <w:r w:rsidR="00320DE0" w:rsidRPr="00FF027F">
            <w:rPr>
              <w:lang w:val="en-GB"/>
            </w:rPr>
            <w:t>6</w:t>
          </w:r>
          <w:r w:rsidRPr="00FF027F">
            <w:rPr>
              <w:lang w:val="en-GB"/>
            </w:rPr>
            <w:t xml:space="preserve"> on </w:t>
          </w:r>
          <w:r w:rsidR="00320DE0" w:rsidRPr="00FF027F">
            <w:rPr>
              <w:lang w:val="en-GB"/>
            </w:rPr>
            <w:t>Guidelines on recruitment procedures and work of the Selection Committees for the Selection of Temporary Staff and Contract Staff</w:t>
          </w:r>
          <w:r w:rsidRPr="00FF027F">
            <w:rPr>
              <w:lang w:val="en-GB"/>
            </w:rPr>
            <w:t xml:space="preserve"> repealed and replaced </w:t>
          </w:r>
          <w:r w:rsidR="00320DE0" w:rsidRPr="00FF027F">
            <w:rPr>
              <w:lang w:val="en-GB"/>
            </w:rPr>
            <w:t xml:space="preserve">the previous decision </w:t>
          </w:r>
          <w:r w:rsidRPr="00FF027F">
            <w:rPr>
              <w:lang w:val="en-GB"/>
            </w:rPr>
            <w:t>in order to ensure that the principles of independence, impartiality and equal treatment and sound administration are enshrined in all the selection procedures. This amendment will also allow for greater transparency and facilitate changes which follow new practices aimed at ensuring equal treatment of candidates.</w:t>
          </w:r>
        </w:p>
        <w:p w14:paraId="38692F52" w14:textId="77777777" w:rsidR="00DA3F49" w:rsidRPr="00FF027F" w:rsidRDefault="00DA3F49" w:rsidP="006D214F">
          <w:pPr>
            <w:pStyle w:val="ListParagraph"/>
            <w:keepNext/>
            <w:numPr>
              <w:ilvl w:val="0"/>
              <w:numId w:val="31"/>
            </w:numPr>
            <w:spacing w:after="200" w:line="276" w:lineRule="auto"/>
            <w:jc w:val="both"/>
            <w:outlineLvl w:val="0"/>
            <w:rPr>
              <w:rFonts w:ascii="Times New Roman" w:hAnsi="Times New Roman"/>
              <w:i/>
              <w:sz w:val="24"/>
              <w:szCs w:val="24"/>
              <w:u w:val="single"/>
              <w:lang w:val="en-GB"/>
            </w:rPr>
          </w:pPr>
          <w:bookmarkStart w:id="134" w:name="_Toc247619295"/>
          <w:bookmarkStart w:id="135" w:name="_Toc396913818"/>
          <w:r w:rsidRPr="00FF027F">
            <w:rPr>
              <w:rFonts w:ascii="Times New Roman" w:hAnsi="Times New Roman"/>
              <w:i/>
              <w:sz w:val="24"/>
              <w:szCs w:val="24"/>
              <w:u w:val="single"/>
              <w:lang w:val="en-GB"/>
            </w:rPr>
            <w:t>Selection procedures</w:t>
          </w:r>
          <w:bookmarkEnd w:id="134"/>
          <w:bookmarkEnd w:id="135"/>
        </w:p>
        <w:p w14:paraId="36493A13" w14:textId="77777777" w:rsidR="00DA3F49" w:rsidRPr="00FF027F" w:rsidRDefault="00DA3F49" w:rsidP="00D21685">
          <w:pPr>
            <w:rPr>
              <w:lang w:val="en-GB"/>
            </w:rPr>
          </w:pPr>
          <w:r w:rsidRPr="00FF027F">
            <w:rPr>
              <w:lang w:val="en-GB"/>
            </w:rPr>
            <w:t>The selection procedures involve the following steps:</w:t>
          </w:r>
        </w:p>
        <w:p w14:paraId="3245CA36" w14:textId="77777777" w:rsidR="00DA3F49" w:rsidRPr="00FF027F" w:rsidRDefault="00DA3F49" w:rsidP="006D214F">
          <w:pPr>
            <w:numPr>
              <w:ilvl w:val="0"/>
              <w:numId w:val="29"/>
            </w:numPr>
            <w:spacing w:after="0" w:line="240" w:lineRule="auto"/>
            <w:jc w:val="both"/>
            <w:rPr>
              <w:lang w:val="en-GB"/>
            </w:rPr>
          </w:pPr>
          <w:r w:rsidRPr="00FF027F">
            <w:rPr>
              <w:lang w:val="en-GB"/>
            </w:rPr>
            <w:t>Publication of a vacancy notice on the ACER and EPSO websites, defining eligibility and selection criteria, indicating the type and duration of the contract and the recruitment grade.</w:t>
          </w:r>
        </w:p>
        <w:p w14:paraId="3A6B5541" w14:textId="77777777" w:rsidR="00DA3F49" w:rsidRPr="00FF027F" w:rsidRDefault="00DA3F49" w:rsidP="006D214F">
          <w:pPr>
            <w:numPr>
              <w:ilvl w:val="0"/>
              <w:numId w:val="29"/>
            </w:numPr>
            <w:spacing w:after="0" w:line="240" w:lineRule="auto"/>
            <w:jc w:val="both"/>
            <w:rPr>
              <w:lang w:val="en-GB"/>
            </w:rPr>
          </w:pPr>
          <w:r w:rsidRPr="00FF027F">
            <w:rPr>
              <w:lang w:val="en-GB"/>
            </w:rPr>
            <w:t xml:space="preserve">Setting up of a selection committee representing the recruiting Department, the Human Resources section, and the Staff Committee. </w:t>
          </w:r>
        </w:p>
        <w:p w14:paraId="42B27E12" w14:textId="77777777" w:rsidR="00DA3F49" w:rsidRPr="00FF027F" w:rsidRDefault="00DA3F49" w:rsidP="006D214F">
          <w:pPr>
            <w:numPr>
              <w:ilvl w:val="0"/>
              <w:numId w:val="29"/>
            </w:numPr>
            <w:spacing w:after="0" w:line="240" w:lineRule="auto"/>
            <w:jc w:val="both"/>
            <w:rPr>
              <w:lang w:val="en-GB"/>
            </w:rPr>
          </w:pPr>
          <w:r w:rsidRPr="00FF027F">
            <w:rPr>
              <w:lang w:val="en-GB"/>
            </w:rPr>
            <w:t>Pre-selection of candidates on the basis of CVs, permitting the evaluation of eligibility and selection criteria.</w:t>
          </w:r>
        </w:p>
        <w:p w14:paraId="549B621D" w14:textId="77777777" w:rsidR="00DA3F49" w:rsidRPr="00FF027F" w:rsidRDefault="00DA3F49" w:rsidP="006D214F">
          <w:pPr>
            <w:numPr>
              <w:ilvl w:val="0"/>
              <w:numId w:val="29"/>
            </w:numPr>
            <w:spacing w:after="0" w:line="240" w:lineRule="auto"/>
            <w:jc w:val="both"/>
            <w:rPr>
              <w:lang w:val="en-GB"/>
            </w:rPr>
          </w:pPr>
          <w:r w:rsidRPr="00FF027F">
            <w:rPr>
              <w:lang w:val="en-GB"/>
            </w:rPr>
            <w:t xml:space="preserve">Invitation of selected candidates to interviews and written tests, covering the specific competences in the area of expertise, in particular in the domain of ACER, general aptitudes and language abilities. </w:t>
          </w:r>
        </w:p>
        <w:p w14:paraId="680FC9C0" w14:textId="77777777" w:rsidR="00DA3F49" w:rsidRPr="00FF027F" w:rsidRDefault="00DA3F49" w:rsidP="006D214F">
          <w:pPr>
            <w:numPr>
              <w:ilvl w:val="0"/>
              <w:numId w:val="29"/>
            </w:numPr>
            <w:spacing w:after="0" w:line="240" w:lineRule="auto"/>
            <w:jc w:val="both"/>
            <w:rPr>
              <w:lang w:val="en-GB"/>
            </w:rPr>
          </w:pPr>
          <w:r w:rsidRPr="00FF027F">
            <w:rPr>
              <w:lang w:val="en-GB"/>
            </w:rPr>
            <w:t>Assessment of candidates through interviews and written tests. The assessment is carried out by the selection committee against predefined criteria.</w:t>
          </w:r>
        </w:p>
        <w:p w14:paraId="40BBB513" w14:textId="77777777" w:rsidR="00DA3F49" w:rsidRPr="00FF027F" w:rsidRDefault="00DA3F49" w:rsidP="006D214F">
          <w:pPr>
            <w:numPr>
              <w:ilvl w:val="0"/>
              <w:numId w:val="29"/>
            </w:numPr>
            <w:spacing w:after="0" w:line="240" w:lineRule="auto"/>
            <w:jc w:val="both"/>
            <w:rPr>
              <w:lang w:val="en-GB"/>
            </w:rPr>
          </w:pPr>
          <w:r w:rsidRPr="00FF027F">
            <w:rPr>
              <w:lang w:val="en-GB"/>
            </w:rPr>
            <w:t>All steps and decisions taken by the selection committee are recorded in writing in the minutes of the selection procedure.</w:t>
          </w:r>
        </w:p>
        <w:p w14:paraId="7C1E6A13" w14:textId="1157D83F" w:rsidR="00DA3F49" w:rsidRPr="00FF027F" w:rsidRDefault="000710CF" w:rsidP="006D214F">
          <w:pPr>
            <w:numPr>
              <w:ilvl w:val="0"/>
              <w:numId w:val="29"/>
            </w:numPr>
            <w:spacing w:after="0" w:line="240" w:lineRule="auto"/>
            <w:jc w:val="both"/>
            <w:rPr>
              <w:lang w:val="en-GB"/>
            </w:rPr>
          </w:pPr>
          <w:r w:rsidRPr="00FF027F">
            <w:rPr>
              <w:lang w:val="en-GB"/>
            </w:rPr>
            <w:t>The s</w:t>
          </w:r>
          <w:r w:rsidR="00DA3F49" w:rsidRPr="00FF027F">
            <w:rPr>
              <w:lang w:val="en-GB"/>
            </w:rPr>
            <w:t>election committee proposes a short list of successful candidates sent to the Authority Habilitated to Conclude Contracts (AHCC) who establishes the reserve lists and offers the employment contracts.</w:t>
          </w:r>
        </w:p>
        <w:p w14:paraId="35D84261" w14:textId="77777777" w:rsidR="00DA3F49" w:rsidRPr="00FF027F" w:rsidRDefault="00DA3F49" w:rsidP="006D214F">
          <w:pPr>
            <w:numPr>
              <w:ilvl w:val="0"/>
              <w:numId w:val="29"/>
            </w:numPr>
            <w:spacing w:after="0" w:line="240" w:lineRule="auto"/>
            <w:jc w:val="both"/>
            <w:rPr>
              <w:lang w:val="en-GB"/>
            </w:rPr>
          </w:pPr>
          <w:r w:rsidRPr="00FF027F">
            <w:rPr>
              <w:lang w:val="en-GB"/>
            </w:rPr>
            <w:t xml:space="preserve">The candidates to be recruited should pass a compulsory medical </w:t>
          </w:r>
          <w:r w:rsidR="003733C8" w:rsidRPr="00FF027F">
            <w:rPr>
              <w:lang w:val="en-GB"/>
            </w:rPr>
            <w:t>aptitude test</w:t>
          </w:r>
          <w:r w:rsidRPr="00FF027F">
            <w:rPr>
              <w:lang w:val="en-GB"/>
            </w:rPr>
            <w:t>. Their entry grade and step, as well as their personal rights, are determined by the PMO.</w:t>
          </w:r>
        </w:p>
        <w:p w14:paraId="19D3CF4D" w14:textId="77777777" w:rsidR="00B433E8" w:rsidRPr="00FF027F" w:rsidRDefault="00B433E8" w:rsidP="00B433E8">
          <w:pPr>
            <w:spacing w:after="0" w:line="240" w:lineRule="auto"/>
            <w:ind w:left="720"/>
            <w:jc w:val="both"/>
            <w:rPr>
              <w:lang w:val="en-GB"/>
            </w:rPr>
          </w:pPr>
        </w:p>
        <w:p w14:paraId="315A6407" w14:textId="77777777" w:rsidR="00DA3F49" w:rsidRPr="00FF027F" w:rsidRDefault="00DA3F49" w:rsidP="006D214F">
          <w:pPr>
            <w:pStyle w:val="ListParagraph"/>
            <w:keepNext/>
            <w:numPr>
              <w:ilvl w:val="0"/>
              <w:numId w:val="31"/>
            </w:numPr>
            <w:spacing w:after="200" w:line="276" w:lineRule="auto"/>
            <w:jc w:val="both"/>
            <w:outlineLvl w:val="0"/>
            <w:rPr>
              <w:rFonts w:ascii="Times New Roman" w:hAnsi="Times New Roman"/>
              <w:i/>
              <w:sz w:val="24"/>
              <w:szCs w:val="24"/>
              <w:u w:val="single"/>
              <w:lang w:val="en-GB"/>
            </w:rPr>
          </w:pPr>
          <w:bookmarkStart w:id="136" w:name="_Toc247619296"/>
          <w:bookmarkStart w:id="137" w:name="_Toc396913819"/>
          <w:r w:rsidRPr="00FF027F">
            <w:rPr>
              <w:rFonts w:ascii="Times New Roman" w:hAnsi="Times New Roman"/>
              <w:i/>
              <w:sz w:val="24"/>
              <w:szCs w:val="24"/>
              <w:u w:val="single"/>
              <w:lang w:val="en-GB"/>
            </w:rPr>
            <w:t>Grade and function group corresponding to the tasks and to the level of the post</w:t>
          </w:r>
          <w:bookmarkEnd w:id="136"/>
          <w:bookmarkEnd w:id="137"/>
        </w:p>
        <w:p w14:paraId="73BC221A" w14:textId="6FEF2E92" w:rsidR="00DA3F49" w:rsidRPr="00FF027F" w:rsidRDefault="00ED5372" w:rsidP="00DA3F49">
          <w:pPr>
            <w:jc w:val="both"/>
            <w:rPr>
              <w:lang w:val="en-GB"/>
            </w:rPr>
          </w:pPr>
          <w:r w:rsidRPr="00FF027F">
            <w:rPr>
              <w:lang w:val="en-GB"/>
            </w:rPr>
            <w:t>So far the</w:t>
          </w:r>
          <w:r w:rsidR="00DA3F49" w:rsidRPr="00FF027F">
            <w:rPr>
              <w:lang w:val="en-GB"/>
            </w:rPr>
            <w:t xml:space="preserve"> long-term temporary agents who took up </w:t>
          </w:r>
          <w:r w:rsidRPr="00FF027F">
            <w:rPr>
              <w:lang w:val="en-GB"/>
            </w:rPr>
            <w:t>the</w:t>
          </w:r>
          <w:r w:rsidR="00DA3F49" w:rsidRPr="00FF027F">
            <w:rPr>
              <w:lang w:val="en-GB"/>
            </w:rPr>
            <w:t xml:space="preserve"> posts were, as a rule, recruited at levels AD5, AD6, AD7, AD8, AD9, AD11, AST</w:t>
          </w:r>
          <w:r w:rsidRPr="00FF027F">
            <w:rPr>
              <w:lang w:val="en-GB"/>
            </w:rPr>
            <w:t>3</w:t>
          </w:r>
          <w:r w:rsidR="00DA3F49" w:rsidRPr="00FF027F">
            <w:rPr>
              <w:lang w:val="en-GB"/>
            </w:rPr>
            <w:t xml:space="preserve"> and AST</w:t>
          </w:r>
          <w:r w:rsidRPr="00FF027F">
            <w:rPr>
              <w:lang w:val="en-GB"/>
            </w:rPr>
            <w:t>5</w:t>
          </w:r>
          <w:r w:rsidR="00DA3F49" w:rsidRPr="00FF027F">
            <w:rPr>
              <w:lang w:val="en-GB"/>
            </w:rPr>
            <w:t>.</w:t>
          </w:r>
          <w:r w:rsidRPr="00FF027F">
            <w:rPr>
              <w:lang w:val="en-GB"/>
            </w:rPr>
            <w:t xml:space="preserve"> The Director was recruited </w:t>
          </w:r>
          <w:r w:rsidR="00DA3F49" w:rsidRPr="00FF027F">
            <w:rPr>
              <w:lang w:val="en-GB"/>
            </w:rPr>
            <w:t xml:space="preserve">at AD14 level. </w:t>
          </w:r>
        </w:p>
        <w:p w14:paraId="13753D2E" w14:textId="77777777" w:rsidR="00DA3F49" w:rsidRPr="00FF027F" w:rsidRDefault="00DA3F49" w:rsidP="00DA3F49">
          <w:pPr>
            <w:jc w:val="both"/>
            <w:rPr>
              <w:lang w:val="en-GB"/>
            </w:rPr>
          </w:pPr>
          <w:r w:rsidRPr="00FF027F">
            <w:rPr>
              <w:lang w:val="en-GB"/>
            </w:rPr>
            <w:t xml:space="preserve">It should be noted that ACER had to recruit a number of qualified senior experts from the energy sector, in particular those with experience in regulation. There are relatively few candidates with such profiles available on the labour market. In this specific sector, ACER had to compete with the attractive conditions of employment offered both by the private energy industry and the public national regulatory authorities. </w:t>
          </w:r>
        </w:p>
        <w:p w14:paraId="13B8B966" w14:textId="77777777" w:rsidR="00DA3F49" w:rsidRPr="00FF027F" w:rsidRDefault="00DA3F49" w:rsidP="00DA3F49">
          <w:pPr>
            <w:jc w:val="both"/>
            <w:rPr>
              <w:lang w:val="en-GB"/>
            </w:rPr>
          </w:pPr>
          <w:r w:rsidRPr="00FF027F">
            <w:rPr>
              <w:lang w:val="en-GB"/>
            </w:rPr>
            <w:t xml:space="preserve">Rules on grading of temporary and contract agents were laid down in ACER implementing rules (Administrative Board Decision AB n° 12/2011 on the general implementing provisions concerning the criteria applicable to classification in grade and step on appointment or engagement for temporary agents and Administrative Board Decision AB </w:t>
          </w:r>
          <w:r w:rsidRPr="00FF027F">
            <w:rPr>
              <w:bCs/>
              <w:lang w:val="en-GB"/>
            </w:rPr>
            <w:t>n° 11/2011 for contract agents)</w:t>
          </w:r>
          <w:r w:rsidRPr="00FF027F">
            <w:rPr>
              <w:lang w:val="en-GB"/>
            </w:rPr>
            <w:t>.</w:t>
          </w:r>
          <w:bookmarkStart w:id="138" w:name="_Toc247619297"/>
        </w:p>
        <w:p w14:paraId="7EB9A6EE" w14:textId="77777777" w:rsidR="00DA3F49" w:rsidRPr="00FF027F" w:rsidRDefault="00DA3F49" w:rsidP="006D214F">
          <w:pPr>
            <w:pStyle w:val="ListParagraph"/>
            <w:keepNext/>
            <w:numPr>
              <w:ilvl w:val="0"/>
              <w:numId w:val="31"/>
            </w:numPr>
            <w:spacing w:after="200" w:line="276" w:lineRule="auto"/>
            <w:jc w:val="both"/>
            <w:outlineLvl w:val="0"/>
            <w:rPr>
              <w:rFonts w:ascii="Times New Roman" w:hAnsi="Times New Roman"/>
              <w:i/>
              <w:sz w:val="24"/>
              <w:szCs w:val="24"/>
              <w:u w:val="single"/>
              <w:lang w:val="en-GB"/>
            </w:rPr>
          </w:pPr>
          <w:bookmarkStart w:id="139" w:name="_Toc396913820"/>
          <w:r w:rsidRPr="00FF027F">
            <w:rPr>
              <w:rFonts w:ascii="Times New Roman" w:hAnsi="Times New Roman"/>
              <w:i/>
              <w:sz w:val="24"/>
              <w:szCs w:val="24"/>
              <w:u w:val="single"/>
              <w:lang w:val="en-GB"/>
            </w:rPr>
            <w:t>Duration of employment</w:t>
          </w:r>
          <w:bookmarkEnd w:id="138"/>
          <w:bookmarkEnd w:id="139"/>
        </w:p>
        <w:p w14:paraId="3345EC73" w14:textId="77777777" w:rsidR="00DA3F49" w:rsidRPr="00FF027F" w:rsidRDefault="00DA3F49" w:rsidP="00DA3F49">
          <w:pPr>
            <w:jc w:val="both"/>
            <w:rPr>
              <w:lang w:val="en-GB"/>
            </w:rPr>
          </w:pPr>
          <w:r w:rsidRPr="00FF027F">
            <w:rPr>
              <w:lang w:val="en-GB"/>
            </w:rPr>
            <w:t xml:space="preserve">The Director’s post is that of a short-term temporary agent. He/she is offered a fixed-time period not exceeding five years, with the possibility of one extension for another fixed-time period not exceeding three years, on the basis of a proposal from the Commission endorsed by the Administrative Board after consultation with the Board of Regulators. </w:t>
          </w:r>
        </w:p>
        <w:p w14:paraId="1C8CD883" w14:textId="77777777" w:rsidR="00DA3F49" w:rsidRPr="00FF027F" w:rsidRDefault="00DA3F49" w:rsidP="00DA3F49">
          <w:pPr>
            <w:jc w:val="both"/>
            <w:rPr>
              <w:lang w:val="en-GB"/>
            </w:rPr>
          </w:pPr>
          <w:r w:rsidRPr="00FF027F">
            <w:rPr>
              <w:lang w:val="en-GB"/>
            </w:rPr>
            <w:t xml:space="preserve">This proposed duration of employment was approved by the Commission and adopted through the implementing rules under Article 110 procedure (Article 6(3) on duration of contracts of the Administrative Board Decision AB </w:t>
          </w:r>
          <w:r w:rsidRPr="00FF027F">
            <w:rPr>
              <w:bCs/>
              <w:lang w:val="en-GB"/>
            </w:rPr>
            <w:t xml:space="preserve">n° 10/2011 on the adoption of </w:t>
          </w:r>
          <w:r w:rsidRPr="00FF027F">
            <w:rPr>
              <w:lang w:val="en-GB"/>
            </w:rPr>
            <w:t>general implementing provisions on the procedure governing the engagement and the use of temporary agents at ACER). It is also dependent on an unchanged ACER mandate.</w:t>
          </w:r>
        </w:p>
        <w:p w14:paraId="625AE02C" w14:textId="77777777" w:rsidR="00DA3F49" w:rsidRPr="00FF027F" w:rsidRDefault="00DA3F49" w:rsidP="00DA3F49">
          <w:pPr>
            <w:jc w:val="both"/>
            <w:rPr>
              <w:lang w:val="en-GB"/>
            </w:rPr>
          </w:pPr>
          <w:r w:rsidRPr="00FF027F">
            <w:rPr>
              <w:lang w:val="en-GB"/>
            </w:rPr>
            <w:t xml:space="preserve">Long-term temporary agents are offered a first fixed-term contract of five years. Considering the long-term or permanent nature of the regulatory tasks entrusted to ACER, the extension following the initial 5 years fixed-term contract will be for an indefinite duration (Article 6(1) on duration of contracts of the Administrative Board Decision AB </w:t>
          </w:r>
          <w:r w:rsidRPr="00FF027F">
            <w:rPr>
              <w:bCs/>
              <w:lang w:val="en-GB"/>
            </w:rPr>
            <w:t>n° 10/2011</w:t>
          </w:r>
          <w:r w:rsidRPr="00FF027F">
            <w:rPr>
              <w:lang w:val="en-GB"/>
            </w:rPr>
            <w:t>). All extensions of contract for temporary agents will be subject to a confirmation of the long-term need for the post, and to a thorough examination of the performance of the post holder.</w:t>
          </w:r>
        </w:p>
        <w:p w14:paraId="5356D5DE" w14:textId="77777777" w:rsidR="00DA3F49" w:rsidRPr="00FF027F" w:rsidRDefault="00DA3F49" w:rsidP="00DA3F49">
          <w:pPr>
            <w:jc w:val="both"/>
            <w:rPr>
              <w:lang w:val="en-GB"/>
            </w:rPr>
          </w:pPr>
          <w:r w:rsidRPr="00FF027F">
            <w:rPr>
              <w:lang w:val="en-GB"/>
            </w:rPr>
            <w:t xml:space="preserve">Long-term contract agents are offered a first fixed-term contract of at least 3 months and not more than five years. The renewal of a contract in function groups II and IV shall be for another fixed period of at least three months and not more than five years. A second renewal without interruption will lead to an indefinite-duration contract, however it may only be granted if the first two contracts covered a total period of at least five years (Article 6(1) (2) on duration of contracts of contract agents from Administrative Board Decision AB </w:t>
          </w:r>
          <w:r w:rsidRPr="00FF027F">
            <w:rPr>
              <w:bCs/>
              <w:lang w:val="en-GB"/>
            </w:rPr>
            <w:t>n° 11/2011</w:t>
          </w:r>
          <w:r w:rsidRPr="00FF027F">
            <w:rPr>
              <w:lang w:val="en-GB"/>
            </w:rPr>
            <w:t>).</w:t>
          </w:r>
        </w:p>
        <w:p w14:paraId="45579657" w14:textId="2190C58E" w:rsidR="00DA3F49" w:rsidRPr="00FF027F" w:rsidRDefault="00DA3F49" w:rsidP="00DA3F49">
          <w:pPr>
            <w:jc w:val="both"/>
            <w:rPr>
              <w:lang w:val="en-GB"/>
            </w:rPr>
          </w:pPr>
          <w:r w:rsidRPr="00FF027F">
            <w:rPr>
              <w:lang w:val="en-GB"/>
            </w:rPr>
            <w:t xml:space="preserve">Contract agents for short-term functions will be recruited for time-limited support and administrative functions, for time-limited projects, and for compensating long absences of staff on long-term functions. They are offered an initial fixed-term contract whose duration is based on the duration of the tasks to be performed, but will certainly not exceed five years. </w:t>
          </w:r>
        </w:p>
        <w:p w14:paraId="670D7AE6" w14:textId="77777777" w:rsidR="00ED5372" w:rsidRPr="00FF027F" w:rsidRDefault="00ED5372" w:rsidP="006D214F">
          <w:pPr>
            <w:pStyle w:val="ListParagraph"/>
            <w:keepNext/>
            <w:numPr>
              <w:ilvl w:val="0"/>
              <w:numId w:val="31"/>
            </w:numPr>
            <w:spacing w:after="200" w:line="276" w:lineRule="auto"/>
            <w:jc w:val="both"/>
            <w:outlineLvl w:val="0"/>
            <w:rPr>
              <w:rFonts w:ascii="Times New Roman" w:hAnsi="Times New Roman"/>
              <w:i/>
              <w:sz w:val="24"/>
              <w:szCs w:val="24"/>
              <w:u w:val="single"/>
              <w:lang w:val="en-GB"/>
            </w:rPr>
          </w:pPr>
          <w:bookmarkStart w:id="140" w:name="_Toc396913821"/>
          <w:r w:rsidRPr="00FF027F">
            <w:rPr>
              <w:rFonts w:ascii="Times New Roman" w:hAnsi="Times New Roman"/>
              <w:i/>
              <w:sz w:val="24"/>
              <w:szCs w:val="24"/>
              <w:u w:val="single"/>
              <w:lang w:val="en-GB"/>
            </w:rPr>
            <w:t>Rules on the secondment of the national experts (SNE) to the Agency</w:t>
          </w:r>
          <w:bookmarkEnd w:id="140"/>
        </w:p>
        <w:p w14:paraId="5C3887C3" w14:textId="31F261BA" w:rsidR="00E16B18" w:rsidRPr="00FF027F" w:rsidRDefault="00E16B18" w:rsidP="00E16B18">
          <w:pPr>
            <w:autoSpaceDE w:val="0"/>
            <w:autoSpaceDN w:val="0"/>
            <w:adjustRightInd w:val="0"/>
            <w:spacing w:after="120"/>
            <w:jc w:val="both"/>
            <w:rPr>
              <w:color w:val="000000"/>
              <w:lang w:val="en-GB"/>
            </w:rPr>
          </w:pPr>
          <w:r w:rsidRPr="00FF027F">
            <w:rPr>
              <w:color w:val="000000"/>
              <w:lang w:val="en-GB"/>
            </w:rPr>
            <w:t xml:space="preserve">Seconded national experts (SNEs) are national or international civil servants from a national, regional or local public administration or an International Governmental Organisation (IGO), working temporarily for the Agency under the rules applicable to such experts. </w:t>
          </w:r>
        </w:p>
        <w:p w14:paraId="4A1C122F" w14:textId="77777777" w:rsidR="00E16B18" w:rsidRPr="00FF027F" w:rsidRDefault="00E16B18" w:rsidP="00E16B18">
          <w:pPr>
            <w:autoSpaceDE w:val="0"/>
            <w:autoSpaceDN w:val="0"/>
            <w:adjustRightInd w:val="0"/>
            <w:spacing w:after="120" w:line="312" w:lineRule="auto"/>
            <w:jc w:val="both"/>
            <w:rPr>
              <w:lang w:val="en-GB"/>
            </w:rPr>
          </w:pPr>
          <w:r w:rsidRPr="00FF027F">
            <w:rPr>
              <w:color w:val="000000"/>
              <w:lang w:val="en-GB"/>
            </w:rPr>
            <w:t xml:space="preserve">Their task is to assist the Agency’s staff, carrying out the duties assigned to them under the Work Programme. National experts have the same obligations as other Agency staff - they must, in the course of their work, act solely in the interest of the Agency. Under no circumstances are they to enter into financial commitments on behalf of the Agency and may not negotiate on relevant matters or commit the Agency vis-à-vis third parties. </w:t>
          </w:r>
          <w:r w:rsidRPr="00FF027F">
            <w:rPr>
              <w:lang w:val="en-GB"/>
            </w:rPr>
            <w:t>National experts are to work in the field defined in their working agreements. There should be no conflict of interest between the work assigned to them and the work they perform for the seconding institution.</w:t>
          </w:r>
        </w:p>
        <w:p w14:paraId="1B9DD2A7" w14:textId="6DC52C79" w:rsidR="00E16B18" w:rsidRPr="00FF027F" w:rsidRDefault="00DA3F49" w:rsidP="00ED5372">
          <w:pPr>
            <w:jc w:val="both"/>
            <w:rPr>
              <w:color w:val="000000"/>
              <w:lang w:val="en-GB"/>
            </w:rPr>
          </w:pPr>
          <w:r w:rsidRPr="00FF027F">
            <w:rPr>
              <w:lang w:val="en-GB"/>
            </w:rPr>
            <w:t>SNEs are not recruited by</w:t>
          </w:r>
          <w:r w:rsidRPr="00FF027F">
            <w:rPr>
              <w:color w:val="000000"/>
              <w:lang w:val="en-GB"/>
            </w:rPr>
            <w:t xml:space="preserve"> the Agency; they do not become staff members of the Agency but remain employed and paid by their initial employer, who seconds them to the Agency. As compensation for the additional costs of living temporarily abroad, SNEs are entitled to daily and </w:t>
          </w:r>
          <w:r w:rsidR="00ED5372" w:rsidRPr="00FF027F">
            <w:rPr>
              <w:color w:val="000000"/>
              <w:lang w:val="en-GB"/>
            </w:rPr>
            <w:t>monthly subsistence allowances.</w:t>
          </w:r>
        </w:p>
        <w:p w14:paraId="00172C44" w14:textId="77777777" w:rsidR="00DA3F49" w:rsidRPr="00FF027F" w:rsidRDefault="00DA3F49" w:rsidP="00DA3F49">
          <w:pPr>
            <w:autoSpaceDE w:val="0"/>
            <w:autoSpaceDN w:val="0"/>
            <w:adjustRightInd w:val="0"/>
            <w:spacing w:after="120" w:line="312" w:lineRule="auto"/>
            <w:jc w:val="both"/>
            <w:rPr>
              <w:color w:val="000000"/>
              <w:lang w:val="en-GB"/>
            </w:rPr>
          </w:pPr>
          <w:r w:rsidRPr="00FF027F">
            <w:rPr>
              <w:color w:val="000000"/>
              <w:lang w:val="en-GB"/>
            </w:rPr>
            <w:t>The initial period of secondment of national experts may not be less than six months and more than two years, renewed up to a total period of four years.</w:t>
          </w:r>
        </w:p>
        <w:p w14:paraId="6F869D47" w14:textId="77777777" w:rsidR="00E16B18" w:rsidRPr="00FF027F" w:rsidRDefault="00E16B18" w:rsidP="00E16B18">
          <w:pPr>
            <w:autoSpaceDE w:val="0"/>
            <w:autoSpaceDN w:val="0"/>
            <w:adjustRightInd w:val="0"/>
            <w:spacing w:after="120"/>
            <w:jc w:val="both"/>
            <w:rPr>
              <w:color w:val="000000"/>
              <w:lang w:val="en-GB"/>
            </w:rPr>
          </w:pPr>
          <w:r w:rsidRPr="00FF027F">
            <w:rPr>
              <w:color w:val="000000"/>
              <w:lang w:val="en-GB"/>
            </w:rPr>
            <w:t xml:space="preserve">Detailed rules on the secondment of SNEs are defined in the Administrative Board Decision </w:t>
          </w:r>
          <w:r w:rsidRPr="00FF027F">
            <w:rPr>
              <w:bCs/>
              <w:lang w:val="en-GB"/>
            </w:rPr>
            <w:t>n°</w:t>
          </w:r>
          <w:r w:rsidRPr="00FF027F">
            <w:rPr>
              <w:color w:val="000000"/>
              <w:lang w:val="en-GB"/>
            </w:rPr>
            <w:t xml:space="preserve"> 02/2011 laying down the rules on the secondment of national experts to the Agency.</w:t>
          </w:r>
        </w:p>
        <w:p w14:paraId="5123B662" w14:textId="1201B877" w:rsidR="000304DA" w:rsidRPr="00FF027F" w:rsidRDefault="001F6927" w:rsidP="000304DA">
          <w:pPr>
            <w:pStyle w:val="Heading2"/>
            <w:numPr>
              <w:ilvl w:val="0"/>
              <w:numId w:val="0"/>
            </w:numPr>
            <w:ind w:left="90"/>
            <w:rPr>
              <w:lang w:eastAsia="en-GB"/>
            </w:rPr>
          </w:pPr>
          <w:bookmarkStart w:id="141" w:name="_Toc396913822"/>
          <w:r w:rsidRPr="00FF027F">
            <w:rPr>
              <w:lang w:eastAsia="en-GB"/>
            </w:rPr>
            <w:t>B. Appraisal of performance and reclassification/promotions</w:t>
          </w:r>
          <w:bookmarkEnd w:id="141"/>
          <w:r w:rsidR="001726B6" w:rsidRPr="00FF027F">
            <w:rPr>
              <w:lang w:eastAsia="en-GB"/>
            </w:rPr>
            <w:t xml:space="preserve"> </w:t>
          </w:r>
        </w:p>
        <w:p w14:paraId="5E2CD1B5" w14:textId="77777777" w:rsidR="00DA3F49" w:rsidRPr="00FF027F" w:rsidRDefault="00DA3F49" w:rsidP="006D214F">
          <w:pPr>
            <w:numPr>
              <w:ilvl w:val="1"/>
              <w:numId w:val="32"/>
            </w:numPr>
            <w:spacing w:after="0" w:line="240" w:lineRule="auto"/>
            <w:rPr>
              <w:rFonts w:ascii="Cambria" w:hAnsi="Cambria"/>
              <w:b/>
              <w:lang w:val="en-GB"/>
            </w:rPr>
          </w:pPr>
          <w:r w:rsidRPr="00FF027F">
            <w:rPr>
              <w:rFonts w:ascii="Cambria" w:hAnsi="Cambria"/>
              <w:b/>
              <w:lang w:val="en-GB"/>
            </w:rPr>
            <w:t>Appraisal of performance and promotion/reclassification.</w:t>
          </w:r>
        </w:p>
        <w:p w14:paraId="78760709" w14:textId="77777777" w:rsidR="00DA3F49" w:rsidRPr="00FF027F" w:rsidRDefault="00DA3F49" w:rsidP="00DA3F49">
          <w:pPr>
            <w:ind w:left="792"/>
            <w:rPr>
              <w:rFonts w:ascii="Cambria" w:hAnsi="Cambria"/>
              <w:b/>
              <w:lang w:val="en-GB"/>
            </w:rPr>
          </w:pPr>
        </w:p>
        <w:p w14:paraId="62F8CEE4" w14:textId="77777777" w:rsidR="00DA3F49" w:rsidRPr="00FF027F" w:rsidRDefault="00DA3F49" w:rsidP="00DA3F49">
          <w:pPr>
            <w:autoSpaceDE w:val="0"/>
            <w:autoSpaceDN w:val="0"/>
            <w:adjustRightInd w:val="0"/>
            <w:spacing w:after="120"/>
            <w:jc w:val="both"/>
            <w:rPr>
              <w:rFonts w:cs="Calibri"/>
              <w:lang w:val="en-GB" w:eastAsia="en-IE"/>
            </w:rPr>
          </w:pPr>
          <w:r w:rsidRPr="00FF027F">
            <w:rPr>
              <w:rFonts w:cs="Calibri"/>
              <w:color w:val="000000"/>
              <w:lang w:val="en-GB"/>
            </w:rPr>
            <w:t>T</w:t>
          </w:r>
          <w:r w:rsidRPr="00FF027F">
            <w:rPr>
              <w:rFonts w:cs="Calibri"/>
              <w:lang w:val="en-GB" w:eastAsia="en-IE"/>
            </w:rPr>
            <w:t>he ability, efficiency and conduct in the service of each staff member of the Agency are subject to a periodical report made at least once every two years in accordance with Article 43 of the Staff Regulations.</w:t>
          </w:r>
        </w:p>
        <w:p w14:paraId="7E25ECF2" w14:textId="77777777" w:rsidR="00DA3F49" w:rsidRPr="00FF027F" w:rsidRDefault="00DA3F49" w:rsidP="00DA3F49">
          <w:pPr>
            <w:spacing w:after="120"/>
            <w:jc w:val="both"/>
            <w:rPr>
              <w:lang w:val="en-GB"/>
            </w:rPr>
          </w:pPr>
          <w:r w:rsidRPr="00FF027F">
            <w:rPr>
              <w:lang w:val="en-GB"/>
            </w:rPr>
            <w:t xml:space="preserve">The Administrative Board adopted 2 decisions on </w:t>
          </w:r>
          <w:r w:rsidRPr="00FF027F">
            <w:rPr>
              <w:b/>
              <w:lang w:val="en-GB"/>
            </w:rPr>
            <w:t>performance appraisal</w:t>
          </w:r>
          <w:r w:rsidRPr="00FF027F">
            <w:rPr>
              <w:lang w:val="en-GB"/>
            </w:rPr>
            <w:t xml:space="preserve"> (Decision AB nº 25/2011 establishing the policy and procedure for the performance appraisal of staff and Decision AB nº 26/2011 concerning the appraisal of the Director of the Agency for the Cooperation of Energy Regulators). </w:t>
          </w:r>
        </w:p>
        <w:p w14:paraId="1000043E" w14:textId="77777777" w:rsidR="00DA3F49" w:rsidRPr="00FF027F" w:rsidRDefault="00DA3F49" w:rsidP="00DA3F49">
          <w:pPr>
            <w:spacing w:after="120"/>
            <w:jc w:val="both"/>
            <w:rPr>
              <w:lang w:val="en-GB"/>
            </w:rPr>
          </w:pPr>
          <w:r w:rsidRPr="00FF027F">
            <w:rPr>
              <w:rFonts w:cs="Calibri"/>
              <w:color w:val="000000"/>
              <w:lang w:val="en-GB"/>
            </w:rPr>
            <w:t>In compliance with the Staff Regulations and in line with the requirements of the decisions on performance appraisal, a Joint Appraisal and Reclassification Committee (JARC) has also been established and its members and alternates nominated with a Decision of the Director 2012-011 as of 24 March 2012.</w:t>
          </w:r>
        </w:p>
        <w:p w14:paraId="38F0BB45" w14:textId="2CF8305F" w:rsidR="00DA3F49" w:rsidRPr="00FF027F" w:rsidRDefault="00E72F3E" w:rsidP="00DA3F49">
          <w:pPr>
            <w:autoSpaceDE w:val="0"/>
            <w:autoSpaceDN w:val="0"/>
            <w:adjustRightInd w:val="0"/>
            <w:spacing w:after="120"/>
            <w:jc w:val="both"/>
            <w:rPr>
              <w:rFonts w:cs="Calibri"/>
              <w:color w:val="000000"/>
              <w:lang w:val="en-GB"/>
            </w:rPr>
          </w:pPr>
          <w:r w:rsidRPr="00FF027F">
            <w:rPr>
              <w:lang w:val="en-GB"/>
            </w:rPr>
            <w:t>In 2015 t</w:t>
          </w:r>
          <w:r w:rsidR="00DA3F49" w:rsidRPr="00FF027F">
            <w:rPr>
              <w:lang w:val="en-GB"/>
            </w:rPr>
            <w:t xml:space="preserve">he </w:t>
          </w:r>
          <w:r w:rsidRPr="00FF027F">
            <w:rPr>
              <w:lang w:val="en-GB"/>
            </w:rPr>
            <w:t xml:space="preserve">fourth </w:t>
          </w:r>
          <w:r w:rsidR="00DA3F49" w:rsidRPr="00FF027F">
            <w:rPr>
              <w:lang w:val="en-GB"/>
            </w:rPr>
            <w:t>performance appraisal exercise</w:t>
          </w:r>
          <w:r w:rsidRPr="00FF027F">
            <w:rPr>
              <w:lang w:val="en-GB"/>
            </w:rPr>
            <w:t xml:space="preserve"> will take place</w:t>
          </w:r>
          <w:r w:rsidR="00DA3F49" w:rsidRPr="00FF027F">
            <w:rPr>
              <w:lang w:val="en-GB"/>
            </w:rPr>
            <w:t>, assessing</w:t>
          </w:r>
          <w:r w:rsidRPr="00FF027F">
            <w:rPr>
              <w:lang w:val="en-GB"/>
            </w:rPr>
            <w:t xml:space="preserve"> the period from 01 January 2014</w:t>
          </w:r>
          <w:r w:rsidR="00DA3F49" w:rsidRPr="00FF027F">
            <w:rPr>
              <w:lang w:val="en-GB"/>
            </w:rPr>
            <w:t xml:space="preserve"> to 31 December 201</w:t>
          </w:r>
          <w:r w:rsidRPr="00FF027F">
            <w:rPr>
              <w:lang w:val="en-GB"/>
            </w:rPr>
            <w:t>4</w:t>
          </w:r>
          <w:r w:rsidR="00DA3F49" w:rsidRPr="00FF027F">
            <w:rPr>
              <w:lang w:val="en-GB"/>
            </w:rPr>
            <w:t>.</w:t>
          </w:r>
        </w:p>
        <w:p w14:paraId="064D1EA3" w14:textId="77777777" w:rsidR="00DA3F49" w:rsidRPr="00FF027F" w:rsidRDefault="00DA3F49" w:rsidP="00DA3F49">
          <w:pPr>
            <w:autoSpaceDE w:val="0"/>
            <w:autoSpaceDN w:val="0"/>
            <w:adjustRightInd w:val="0"/>
            <w:spacing w:after="120"/>
            <w:jc w:val="both"/>
            <w:rPr>
              <w:lang w:val="en-GB"/>
            </w:rPr>
          </w:pPr>
          <w:r w:rsidRPr="00FF027F">
            <w:rPr>
              <w:lang w:val="en-GB"/>
            </w:rPr>
            <w:t xml:space="preserve">The Agency’s policy on the </w:t>
          </w:r>
          <w:r w:rsidRPr="00FF027F">
            <w:rPr>
              <w:b/>
              <w:lang w:val="en-GB"/>
            </w:rPr>
            <w:t>promotion and</w:t>
          </w:r>
          <w:r w:rsidRPr="00FF027F">
            <w:rPr>
              <w:lang w:val="en-GB"/>
            </w:rPr>
            <w:t xml:space="preserve"> </w:t>
          </w:r>
          <w:r w:rsidRPr="00FF027F">
            <w:rPr>
              <w:b/>
              <w:lang w:val="en-GB"/>
            </w:rPr>
            <w:t>reclassification of staff</w:t>
          </w:r>
          <w:r w:rsidRPr="00FF027F">
            <w:rPr>
              <w:lang w:val="en-GB"/>
            </w:rPr>
            <w:t xml:space="preserve"> is based on the relevant implementing rules of the European Commission. The Administrative Board adopted 2 decisions on the reclassification (Decision AB nº 11/2012 establishing the policy and procedure for the reclassification of temporary agents and Decision AB nº 12/2012 establishing the policy and procedure for the reclassification of contract agents). </w:t>
          </w:r>
        </w:p>
        <w:p w14:paraId="579CFB27" w14:textId="77777777" w:rsidR="00DA3F49" w:rsidRPr="00FF027F" w:rsidRDefault="00DA3F49" w:rsidP="00DA3F49">
          <w:pPr>
            <w:autoSpaceDE w:val="0"/>
            <w:autoSpaceDN w:val="0"/>
            <w:adjustRightInd w:val="0"/>
            <w:spacing w:after="120"/>
            <w:jc w:val="both"/>
            <w:rPr>
              <w:lang w:val="en-GB"/>
            </w:rPr>
          </w:pPr>
          <w:r w:rsidRPr="00FF027F">
            <w:rPr>
              <w:lang w:val="en-GB"/>
            </w:rPr>
            <w:t xml:space="preserve">Long-term temporary agents for assistant positions can be reclassified up to the grade of AST11 and administrative positions will, as a rule, be reclassified up to grade AD14 in line with the AB Decision establishing the policy and procedure for the reclassification of staff. </w:t>
          </w:r>
        </w:p>
        <w:p w14:paraId="3C5BD9E4" w14:textId="77777777" w:rsidR="00DA3F49" w:rsidRPr="00FF027F" w:rsidRDefault="00DA3F49" w:rsidP="00DA3F49">
          <w:pPr>
            <w:autoSpaceDE w:val="0"/>
            <w:autoSpaceDN w:val="0"/>
            <w:adjustRightInd w:val="0"/>
            <w:spacing w:after="120"/>
            <w:jc w:val="both"/>
            <w:rPr>
              <w:lang w:val="en-GB"/>
            </w:rPr>
          </w:pPr>
          <w:r w:rsidRPr="00FF027F">
            <w:rPr>
              <w:lang w:val="en-GB"/>
            </w:rPr>
            <w:t>The list of temporary agents and contract agents proposed for reclassification is drawn up by the Management Committee. Reclassification is decided by the Authority Habilitated to Conclude Contracts (AHCC), based on the proposal from the Management Committee.</w:t>
          </w:r>
        </w:p>
        <w:p w14:paraId="0D7365D6" w14:textId="65D4019A" w:rsidR="001F6927" w:rsidRPr="00FF027F" w:rsidRDefault="001F6927" w:rsidP="000304DA">
          <w:pPr>
            <w:pStyle w:val="Heading2"/>
            <w:numPr>
              <w:ilvl w:val="0"/>
              <w:numId w:val="0"/>
            </w:numPr>
            <w:ind w:left="90"/>
            <w:rPr>
              <w:lang w:eastAsia="en-GB"/>
            </w:rPr>
          </w:pPr>
          <w:bookmarkStart w:id="142" w:name="_Toc396913823"/>
          <w:r w:rsidRPr="00FF027F">
            <w:rPr>
              <w:lang w:eastAsia="en-GB"/>
            </w:rPr>
            <w:t>C. Mobility policy</w:t>
          </w:r>
          <w:bookmarkEnd w:id="142"/>
          <w:r w:rsidRPr="00FF027F">
            <w:rPr>
              <w:lang w:eastAsia="en-GB"/>
            </w:rPr>
            <w:t xml:space="preserve"> </w:t>
          </w:r>
        </w:p>
        <w:p w14:paraId="201814E1" w14:textId="77777777" w:rsidR="00273E3E" w:rsidRPr="00FF027F" w:rsidRDefault="00273E3E" w:rsidP="00E72F3E">
          <w:pPr>
            <w:spacing w:after="0" w:line="240" w:lineRule="auto"/>
            <w:rPr>
              <w:b/>
              <w:lang w:val="en-GB"/>
            </w:rPr>
          </w:pPr>
          <w:r w:rsidRPr="00FF027F">
            <w:rPr>
              <w:b/>
              <w:lang w:val="en-GB"/>
            </w:rPr>
            <w:t>Mobility (internal mobility, between the agencies and between the agencies and the institutions)</w:t>
          </w:r>
        </w:p>
        <w:p w14:paraId="56E5AFE3" w14:textId="77777777" w:rsidR="00273E3E" w:rsidRPr="00FF027F" w:rsidRDefault="00273E3E" w:rsidP="00E72F3E">
          <w:pPr>
            <w:spacing w:after="0"/>
            <w:rPr>
              <w:lang w:val="en-GB"/>
            </w:rPr>
          </w:pPr>
        </w:p>
        <w:p w14:paraId="4499817D" w14:textId="77777777" w:rsidR="00273E3E" w:rsidRPr="00FF027F" w:rsidRDefault="00273E3E" w:rsidP="00273E3E">
          <w:pPr>
            <w:spacing w:after="240"/>
            <w:ind w:firstLine="720"/>
            <w:jc w:val="both"/>
            <w:rPr>
              <w:i/>
              <w:lang w:val="en-GB"/>
            </w:rPr>
          </w:pPr>
          <w:r w:rsidRPr="00FF027F">
            <w:rPr>
              <w:i/>
              <w:lang w:val="en-GB"/>
            </w:rPr>
            <w:t>Mobility within ACER</w:t>
          </w:r>
        </w:p>
        <w:p w14:paraId="50097313" w14:textId="0B89D043" w:rsidR="00273E3E" w:rsidRPr="00FF027F" w:rsidRDefault="00273E3E" w:rsidP="00273E3E">
          <w:pPr>
            <w:spacing w:after="240"/>
            <w:jc w:val="both"/>
            <w:rPr>
              <w:lang w:val="en-GB"/>
            </w:rPr>
          </w:pPr>
          <w:r w:rsidRPr="00FF027F">
            <w:rPr>
              <w:lang w:val="en-GB"/>
            </w:rPr>
            <w:t xml:space="preserve">ACER </w:t>
          </w:r>
          <w:r w:rsidR="00B01153" w:rsidRPr="00FF027F">
            <w:rPr>
              <w:lang w:val="en-GB"/>
            </w:rPr>
            <w:t>has been recruiting staff continuously from its establishment, and has not yet reached its full staffing;</w:t>
          </w:r>
          <w:r w:rsidRPr="00FF027F">
            <w:rPr>
              <w:lang w:val="en-GB"/>
            </w:rPr>
            <w:t xml:space="preserve"> therefore, mobility within ACER and the publication of vacant posts internally has not been implemented yet. </w:t>
          </w:r>
        </w:p>
        <w:p w14:paraId="15907181" w14:textId="77777777" w:rsidR="00273E3E" w:rsidRPr="00FF027F" w:rsidRDefault="00273E3E" w:rsidP="00273E3E">
          <w:pPr>
            <w:spacing w:after="240"/>
            <w:ind w:firstLine="720"/>
            <w:jc w:val="both"/>
            <w:rPr>
              <w:i/>
              <w:lang w:val="en-GB"/>
            </w:rPr>
          </w:pPr>
          <w:r w:rsidRPr="00FF027F">
            <w:rPr>
              <w:i/>
              <w:lang w:val="en-GB"/>
            </w:rPr>
            <w:t>Mobility among agencies (Inter-agency Job Market)</w:t>
          </w:r>
        </w:p>
        <w:p w14:paraId="615F0DEB" w14:textId="18061CCA" w:rsidR="00273E3E" w:rsidRPr="00FF027F" w:rsidRDefault="00273E3E" w:rsidP="00273E3E">
          <w:pPr>
            <w:spacing w:after="240"/>
            <w:jc w:val="both"/>
            <w:rPr>
              <w:i/>
              <w:lang w:val="en-GB"/>
            </w:rPr>
          </w:pPr>
          <w:r w:rsidRPr="00FF027F">
            <w:rPr>
              <w:lang w:val="en-GB"/>
            </w:rPr>
            <w:t>ACER has acceded to the agreement on the Inter-agency Job Market (IAJM) a</w:t>
          </w:r>
          <w:r w:rsidR="00B01153" w:rsidRPr="00FF027F">
            <w:rPr>
              <w:lang w:val="en-GB"/>
            </w:rPr>
            <w:t xml:space="preserve">s of 9 November 2012. Up until now, </w:t>
          </w:r>
          <w:r w:rsidRPr="00FF027F">
            <w:rPr>
              <w:lang w:val="en-GB"/>
            </w:rPr>
            <w:t>no posts/positions were filled with staff recruited through IAJM.</w:t>
          </w:r>
        </w:p>
        <w:p w14:paraId="16A5E915" w14:textId="77777777" w:rsidR="00273E3E" w:rsidRPr="00FF027F" w:rsidRDefault="00273E3E" w:rsidP="00273E3E">
          <w:pPr>
            <w:spacing w:after="240"/>
            <w:ind w:firstLine="720"/>
            <w:jc w:val="both"/>
            <w:rPr>
              <w:i/>
              <w:lang w:val="en-GB"/>
            </w:rPr>
          </w:pPr>
          <w:r w:rsidRPr="00FF027F">
            <w:rPr>
              <w:i/>
              <w:lang w:val="en-GB"/>
            </w:rPr>
            <w:t>Mobility between the agencies and the institutions</w:t>
          </w:r>
        </w:p>
        <w:p w14:paraId="75EB9601" w14:textId="71FA4C6E" w:rsidR="00273E3E" w:rsidRPr="00FF027F" w:rsidRDefault="00273E3E" w:rsidP="00273E3E">
          <w:pPr>
            <w:spacing w:after="240"/>
            <w:jc w:val="both"/>
            <w:rPr>
              <w:lang w:val="en-GB"/>
            </w:rPr>
          </w:pPr>
          <w:r w:rsidRPr="00FF027F">
            <w:rPr>
              <w:lang w:val="en-GB"/>
            </w:rPr>
            <w:t>Out of 54 staff members recruited in the period 2010 – 201</w:t>
          </w:r>
          <w:r w:rsidR="0019271F" w:rsidRPr="00FF027F">
            <w:rPr>
              <w:lang w:val="en-GB"/>
            </w:rPr>
            <w:t>4</w:t>
          </w:r>
          <w:r w:rsidRPr="00FF027F">
            <w:rPr>
              <w:lang w:val="en-GB"/>
            </w:rPr>
            <w:t>, 19 staff members came from other institutions (5 from EU agencies and 16 from EC).</w:t>
          </w:r>
        </w:p>
        <w:p w14:paraId="69E69A39" w14:textId="77777777" w:rsidR="001F6927" w:rsidRPr="00FF027F" w:rsidRDefault="001F6927" w:rsidP="000304DA">
          <w:pPr>
            <w:pStyle w:val="Heading2"/>
            <w:numPr>
              <w:ilvl w:val="0"/>
              <w:numId w:val="0"/>
            </w:numPr>
            <w:ind w:left="90"/>
            <w:rPr>
              <w:lang w:eastAsia="en-GB"/>
            </w:rPr>
          </w:pPr>
          <w:bookmarkStart w:id="143" w:name="_Toc396913824"/>
          <w:r w:rsidRPr="00FF027F">
            <w:rPr>
              <w:lang w:eastAsia="en-GB"/>
            </w:rPr>
            <w:t>D. Gender and geographical balance</w:t>
          </w:r>
          <w:bookmarkEnd w:id="143"/>
          <w:r w:rsidRPr="00FF027F">
            <w:rPr>
              <w:lang w:eastAsia="en-GB"/>
            </w:rPr>
            <w:t xml:space="preserve"> </w:t>
          </w:r>
        </w:p>
        <w:p w14:paraId="73CE7164" w14:textId="77777777" w:rsidR="00273E3E" w:rsidRPr="00FF027F" w:rsidRDefault="00273E3E" w:rsidP="00E72F3E">
          <w:pPr>
            <w:spacing w:after="0" w:line="240" w:lineRule="auto"/>
            <w:ind w:left="702"/>
            <w:rPr>
              <w:rFonts w:ascii="Cambria" w:hAnsi="Cambria"/>
              <w:b/>
              <w:lang w:val="en-GB"/>
            </w:rPr>
          </w:pPr>
          <w:r w:rsidRPr="00FF027F">
            <w:rPr>
              <w:rFonts w:ascii="Cambria" w:hAnsi="Cambria"/>
              <w:b/>
              <w:lang w:val="en-GB"/>
            </w:rPr>
            <w:t xml:space="preserve">Gender balance </w:t>
          </w:r>
        </w:p>
        <w:p w14:paraId="2C92507A" w14:textId="77777777" w:rsidR="00E72F3E" w:rsidRPr="00FF027F" w:rsidRDefault="00E72F3E" w:rsidP="00E72F3E">
          <w:pPr>
            <w:spacing w:after="0"/>
            <w:jc w:val="both"/>
            <w:rPr>
              <w:lang w:val="en-GB"/>
            </w:rPr>
          </w:pPr>
        </w:p>
        <w:p w14:paraId="40124558" w14:textId="77777777" w:rsidR="00273E3E" w:rsidRPr="00FF027F" w:rsidRDefault="00273E3E" w:rsidP="00273E3E">
          <w:pPr>
            <w:spacing w:after="120"/>
            <w:jc w:val="both"/>
            <w:rPr>
              <w:lang w:val="en-GB"/>
            </w:rPr>
          </w:pPr>
          <w:r w:rsidRPr="00FF027F">
            <w:rPr>
              <w:lang w:val="en-GB"/>
            </w:rPr>
            <w:t>In accordance with Article 1d of the Staff Regulations and Articles 12(1) and 82(1) of the CEOS, ACER applies an equal opportunities policy for its staff, adopting measures and taking actions to promote equal opportunities for men and women. Its targets can be broken down into several types of measures:</w:t>
          </w:r>
        </w:p>
        <w:p w14:paraId="17FB1FAE" w14:textId="77777777" w:rsidR="00273E3E" w:rsidRPr="00FF027F" w:rsidRDefault="00273E3E" w:rsidP="006D214F">
          <w:pPr>
            <w:numPr>
              <w:ilvl w:val="0"/>
              <w:numId w:val="33"/>
            </w:numPr>
            <w:spacing w:after="0" w:line="240" w:lineRule="auto"/>
            <w:ind w:left="714" w:hanging="357"/>
            <w:jc w:val="both"/>
            <w:rPr>
              <w:lang w:val="en-GB"/>
            </w:rPr>
          </w:pPr>
          <w:r w:rsidRPr="00FF027F">
            <w:rPr>
              <w:lang w:val="en-GB"/>
            </w:rPr>
            <w:t xml:space="preserve">to remove barriers to any gender discrimination in recruitment, training and career development paths; </w:t>
          </w:r>
        </w:p>
        <w:p w14:paraId="17FB2078" w14:textId="77777777" w:rsidR="00273E3E" w:rsidRPr="00FF027F" w:rsidRDefault="00273E3E" w:rsidP="006D214F">
          <w:pPr>
            <w:numPr>
              <w:ilvl w:val="0"/>
              <w:numId w:val="33"/>
            </w:numPr>
            <w:spacing w:after="0" w:line="240" w:lineRule="auto"/>
            <w:ind w:left="714" w:hanging="357"/>
            <w:jc w:val="both"/>
            <w:rPr>
              <w:lang w:val="en-GB"/>
            </w:rPr>
          </w:pPr>
          <w:r w:rsidRPr="00FF027F">
            <w:rPr>
              <w:lang w:val="en-GB"/>
            </w:rPr>
            <w:t xml:space="preserve">to reconcile personal and working life (e.g. implementing provisions on teleworking have been adopted with the Decision AB nº 21/2012); </w:t>
          </w:r>
        </w:p>
        <w:p w14:paraId="18194F4C" w14:textId="77777777" w:rsidR="00273E3E" w:rsidRPr="00FF027F" w:rsidRDefault="00273E3E" w:rsidP="006D214F">
          <w:pPr>
            <w:numPr>
              <w:ilvl w:val="0"/>
              <w:numId w:val="33"/>
            </w:numPr>
            <w:spacing w:after="0" w:line="240" w:lineRule="auto"/>
            <w:ind w:left="714" w:hanging="357"/>
            <w:jc w:val="both"/>
            <w:rPr>
              <w:lang w:val="en-GB"/>
            </w:rPr>
          </w:pPr>
          <w:r w:rsidRPr="00FF027F">
            <w:rPr>
              <w:lang w:val="en-GB"/>
            </w:rPr>
            <w:t xml:space="preserve">to raise awareness on issues of gender equality; </w:t>
          </w:r>
        </w:p>
        <w:p w14:paraId="1E03D6D3" w14:textId="77777777" w:rsidR="00273E3E" w:rsidRPr="00FF027F" w:rsidRDefault="00273E3E" w:rsidP="006D214F">
          <w:pPr>
            <w:numPr>
              <w:ilvl w:val="0"/>
              <w:numId w:val="33"/>
            </w:numPr>
            <w:spacing w:after="120" w:line="240" w:lineRule="auto"/>
            <w:ind w:left="714" w:hanging="357"/>
            <w:jc w:val="both"/>
            <w:rPr>
              <w:lang w:val="en-GB"/>
            </w:rPr>
          </w:pPr>
          <w:r w:rsidRPr="00FF027F">
            <w:rPr>
              <w:lang w:val="en-GB"/>
            </w:rPr>
            <w:t>to protect the dignity of the person in the workplace.</w:t>
          </w:r>
        </w:p>
        <w:p w14:paraId="145529AE" w14:textId="49019801" w:rsidR="00273E3E" w:rsidRPr="00FF027F" w:rsidRDefault="00273E3E" w:rsidP="00273E3E">
          <w:pPr>
            <w:jc w:val="both"/>
            <w:rPr>
              <w:lang w:val="en-GB"/>
            </w:rPr>
          </w:pPr>
          <w:r w:rsidRPr="00FF027F">
            <w:rPr>
              <w:lang w:val="en-GB"/>
            </w:rPr>
            <w:t xml:space="preserve">The graph below represents an overview of the Agency’s staff by grade and gender </w:t>
          </w:r>
          <w:r w:rsidR="00BF1889" w:rsidRPr="00FF027F">
            <w:rPr>
              <w:lang w:val="en-GB"/>
            </w:rPr>
            <w:t xml:space="preserve">and nationality </w:t>
          </w:r>
          <w:r w:rsidRPr="00FF027F">
            <w:rPr>
              <w:lang w:val="en-GB"/>
            </w:rPr>
            <w:t>as</w:t>
          </w:r>
          <w:r w:rsidR="005C5713" w:rsidRPr="00FF027F">
            <w:rPr>
              <w:lang w:val="en-GB"/>
            </w:rPr>
            <w:t xml:space="preserve"> of June 2014</w:t>
          </w:r>
          <w:r w:rsidRPr="00FF027F">
            <w:rPr>
              <w:lang w:val="en-GB"/>
            </w:rPr>
            <w:t>.</w:t>
          </w:r>
        </w:p>
        <w:p w14:paraId="0A054768" w14:textId="77777777" w:rsidR="00F4326A" w:rsidRPr="00FF027F" w:rsidRDefault="00F4326A" w:rsidP="00273E3E">
          <w:pPr>
            <w:jc w:val="both"/>
            <w:rPr>
              <w:lang w:val="en-GB"/>
            </w:rPr>
          </w:pPr>
        </w:p>
        <w:p w14:paraId="222CC790" w14:textId="0F132E6B" w:rsidR="00273E3E" w:rsidRPr="00FF027F" w:rsidRDefault="005C5713" w:rsidP="00273E3E">
          <w:pPr>
            <w:rPr>
              <w:rFonts w:ascii="Cambria" w:hAnsi="Cambria"/>
              <w:b/>
              <w:lang w:val="en-GB"/>
            </w:rPr>
          </w:pPr>
          <w:r w:rsidRPr="00FF027F">
            <w:rPr>
              <w:rFonts w:ascii="Cambria" w:hAnsi="Cambria"/>
              <w:b/>
              <w:noProof/>
              <w:lang w:val="en-GB" w:eastAsia="en-GB"/>
            </w:rPr>
            <w:drawing>
              <wp:inline distT="0" distB="0" distL="0" distR="0" wp14:anchorId="1E5669D1" wp14:editId="563A210F">
                <wp:extent cx="4066540" cy="40297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66540" cy="4029710"/>
                        </a:xfrm>
                        <a:prstGeom prst="rect">
                          <a:avLst/>
                        </a:prstGeom>
                        <a:noFill/>
                      </pic:spPr>
                    </pic:pic>
                  </a:graphicData>
                </a:graphic>
              </wp:inline>
            </w:drawing>
          </w:r>
        </w:p>
        <w:p w14:paraId="2AF0A080" w14:textId="06EF5118" w:rsidR="00273E3E" w:rsidRPr="00FF027F" w:rsidRDefault="00273E3E" w:rsidP="00273E3E">
          <w:pPr>
            <w:rPr>
              <w:noProof/>
              <w:lang w:val="en-GB"/>
            </w:rPr>
          </w:pPr>
        </w:p>
        <w:p w14:paraId="7422A177" w14:textId="77777777" w:rsidR="00273E3E" w:rsidRPr="00FF027F" w:rsidRDefault="00273E3E" w:rsidP="00B433E8">
          <w:pPr>
            <w:spacing w:after="0" w:line="240" w:lineRule="auto"/>
            <w:rPr>
              <w:rFonts w:ascii="Cambria" w:hAnsi="Cambria"/>
              <w:b/>
              <w:lang w:val="en-GB"/>
            </w:rPr>
          </w:pPr>
          <w:r w:rsidRPr="00FF027F">
            <w:rPr>
              <w:rFonts w:ascii="Cambria" w:hAnsi="Cambria"/>
              <w:b/>
              <w:lang w:val="en-GB"/>
            </w:rPr>
            <w:t xml:space="preserve">Geographical balance </w:t>
          </w:r>
        </w:p>
        <w:p w14:paraId="5CE855D7" w14:textId="77777777" w:rsidR="00B433E8" w:rsidRPr="00FF027F" w:rsidRDefault="00B433E8" w:rsidP="00B433E8">
          <w:pPr>
            <w:spacing w:after="0"/>
            <w:jc w:val="both"/>
            <w:rPr>
              <w:lang w:val="en-GB"/>
            </w:rPr>
          </w:pPr>
        </w:p>
        <w:p w14:paraId="36D4B941" w14:textId="317344A3" w:rsidR="00B433E8" w:rsidRPr="00FF027F" w:rsidRDefault="005C5713" w:rsidP="007D2072">
          <w:pPr>
            <w:jc w:val="both"/>
            <w:rPr>
              <w:lang w:val="en-GB"/>
            </w:rPr>
          </w:pPr>
          <w:r w:rsidRPr="00FF027F">
            <w:rPr>
              <w:lang w:val="en-GB"/>
            </w:rPr>
            <w:t xml:space="preserve">In June </w:t>
          </w:r>
          <w:r w:rsidR="00273E3E" w:rsidRPr="00FF027F">
            <w:rPr>
              <w:lang w:val="en-GB"/>
            </w:rPr>
            <w:t>201</w:t>
          </w:r>
          <w:r w:rsidR="00BF1889" w:rsidRPr="00FF027F">
            <w:rPr>
              <w:lang w:val="en-GB"/>
            </w:rPr>
            <w:t>4</w:t>
          </w:r>
          <w:r w:rsidR="00273E3E" w:rsidRPr="00FF027F">
            <w:rPr>
              <w:lang w:val="en-GB"/>
            </w:rPr>
            <w:t xml:space="preserve">, ACER employed </w:t>
          </w:r>
          <w:r w:rsidR="00D81CF2" w:rsidRPr="00FF027F">
            <w:rPr>
              <w:lang w:val="en-GB"/>
            </w:rPr>
            <w:t>5</w:t>
          </w:r>
          <w:r w:rsidRPr="00FF027F">
            <w:rPr>
              <w:lang w:val="en-GB"/>
            </w:rPr>
            <w:t>7</w:t>
          </w:r>
          <w:r w:rsidR="00273E3E" w:rsidRPr="00FF027F">
            <w:rPr>
              <w:lang w:val="en-GB"/>
            </w:rPr>
            <w:t xml:space="preserve"> staff members and had 1</w:t>
          </w:r>
          <w:r w:rsidR="00D81CF2" w:rsidRPr="00FF027F">
            <w:rPr>
              <w:lang w:val="en-GB"/>
            </w:rPr>
            <w:t>4</w:t>
          </w:r>
          <w:r w:rsidR="00273E3E" w:rsidRPr="00FF027F">
            <w:rPr>
              <w:lang w:val="en-GB"/>
            </w:rPr>
            <w:t xml:space="preserve"> SNEs of different geographical origin. Staff and SNEs </w:t>
          </w:r>
          <w:r w:rsidR="00092EDA" w:rsidRPr="00FF027F">
            <w:rPr>
              <w:lang w:val="en-GB"/>
            </w:rPr>
            <w:t xml:space="preserve">came </w:t>
          </w:r>
          <w:r w:rsidR="00273E3E" w:rsidRPr="00FF027F">
            <w:rPr>
              <w:lang w:val="en-GB"/>
            </w:rPr>
            <w:t>from 2</w:t>
          </w:r>
          <w:r w:rsidR="00D81CF2" w:rsidRPr="00FF027F">
            <w:rPr>
              <w:lang w:val="en-GB"/>
            </w:rPr>
            <w:t>3 different EU countries.</w:t>
          </w:r>
        </w:p>
        <w:p w14:paraId="1A48E5D7" w14:textId="4D181E26" w:rsidR="00273E3E" w:rsidRPr="00FF027F" w:rsidRDefault="00273E3E" w:rsidP="007D2072">
          <w:pPr>
            <w:jc w:val="both"/>
            <w:rPr>
              <w:lang w:val="en-GB"/>
            </w:rPr>
          </w:pPr>
          <w:r w:rsidRPr="00FF027F">
            <w:rPr>
              <w:lang w:val="en-GB"/>
            </w:rPr>
            <w:t xml:space="preserve">The table and the graph below represent an overview of the Agency’s staff by country of origin and </w:t>
          </w:r>
          <w:r w:rsidR="00D81CF2" w:rsidRPr="00FF027F">
            <w:rPr>
              <w:lang w:val="en-GB"/>
            </w:rPr>
            <w:t>gender</w:t>
          </w:r>
          <w:r w:rsidRPr="00FF027F">
            <w:rPr>
              <w:lang w:val="en-GB"/>
            </w:rPr>
            <w:t xml:space="preserve"> </w:t>
          </w:r>
          <w:r w:rsidR="005C5713" w:rsidRPr="00FF027F">
            <w:rPr>
              <w:lang w:val="en-GB"/>
            </w:rPr>
            <w:t xml:space="preserve">in June </w:t>
          </w:r>
          <w:r w:rsidRPr="00FF027F">
            <w:rPr>
              <w:lang w:val="en-GB"/>
            </w:rPr>
            <w:t>201</w:t>
          </w:r>
          <w:r w:rsidR="00BF1889" w:rsidRPr="00FF027F">
            <w:rPr>
              <w:lang w:val="en-GB"/>
            </w:rPr>
            <w:t>4</w:t>
          </w:r>
          <w:r w:rsidRPr="00FF027F">
            <w:rPr>
              <w:lang w:val="en-GB"/>
            </w:rPr>
            <w:t>.</w:t>
          </w:r>
        </w:p>
        <w:p w14:paraId="49603CE3" w14:textId="3CCE2F16" w:rsidR="00273E3E" w:rsidRPr="00FF027F" w:rsidRDefault="005C5713" w:rsidP="00273E3E">
          <w:pPr>
            <w:spacing w:after="240"/>
            <w:jc w:val="center"/>
            <w:rPr>
              <w:lang w:val="en-GB"/>
            </w:rPr>
          </w:pPr>
          <w:r w:rsidRPr="00FF027F">
            <w:rPr>
              <w:noProof/>
              <w:lang w:val="en-GB" w:eastAsia="en-GB"/>
            </w:rPr>
            <w:drawing>
              <wp:inline distT="0" distB="0" distL="0" distR="0" wp14:anchorId="66C977D1" wp14:editId="13519BAE">
                <wp:extent cx="6376670" cy="5407660"/>
                <wp:effectExtent l="0" t="0" r="508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76670" cy="5407660"/>
                        </a:xfrm>
                        <a:prstGeom prst="rect">
                          <a:avLst/>
                        </a:prstGeom>
                        <a:noFill/>
                      </pic:spPr>
                    </pic:pic>
                  </a:graphicData>
                </a:graphic>
              </wp:inline>
            </w:drawing>
          </w:r>
        </w:p>
        <w:p w14:paraId="0C0CBF10" w14:textId="416257FD" w:rsidR="00273E3E" w:rsidRPr="00FF027F" w:rsidRDefault="00273E3E" w:rsidP="00273E3E">
          <w:pPr>
            <w:spacing w:after="240"/>
            <w:jc w:val="center"/>
            <w:rPr>
              <w:lang w:val="en-GB"/>
            </w:rPr>
          </w:pPr>
        </w:p>
        <w:p w14:paraId="0DE46DD5" w14:textId="77777777" w:rsidR="001F6927" w:rsidRPr="00FF027F" w:rsidRDefault="001F6927" w:rsidP="000304DA">
          <w:pPr>
            <w:pStyle w:val="Heading2"/>
            <w:numPr>
              <w:ilvl w:val="0"/>
              <w:numId w:val="0"/>
            </w:numPr>
            <w:ind w:left="90"/>
            <w:rPr>
              <w:lang w:eastAsia="en-GB"/>
            </w:rPr>
          </w:pPr>
          <w:bookmarkStart w:id="144" w:name="_Toc396913825"/>
          <w:r w:rsidRPr="00FF027F">
            <w:rPr>
              <w:lang w:eastAsia="en-GB"/>
            </w:rPr>
            <w:t>E. Schooling</w:t>
          </w:r>
          <w:bookmarkEnd w:id="144"/>
        </w:p>
        <w:p w14:paraId="4F6C1C65" w14:textId="77777777" w:rsidR="00273E3E" w:rsidRPr="00FF027F" w:rsidRDefault="00273E3E" w:rsidP="00BF2C40">
          <w:pPr>
            <w:pStyle w:val="Text1"/>
            <w:ind w:left="0"/>
            <w:jc w:val="both"/>
            <w:rPr>
              <w:rFonts w:asciiTheme="minorHAnsi" w:hAnsiTheme="minorHAnsi"/>
              <w:sz w:val="22"/>
              <w:szCs w:val="22"/>
            </w:rPr>
          </w:pPr>
          <w:r w:rsidRPr="00FF027F">
            <w:rPr>
              <w:rFonts w:asciiTheme="minorHAnsi" w:hAnsiTheme="minorHAnsi"/>
              <w:sz w:val="22"/>
              <w:szCs w:val="22"/>
            </w:rPr>
            <w:t xml:space="preserve">There are three private international schools in Ljubljana: </w:t>
          </w:r>
        </w:p>
        <w:p w14:paraId="41C10B8E" w14:textId="77777777" w:rsidR="00BF2C40" w:rsidRPr="00FF027F" w:rsidRDefault="00BF2C40" w:rsidP="00BF2C40">
          <w:pPr>
            <w:pStyle w:val="Text1"/>
            <w:ind w:left="0"/>
            <w:jc w:val="both"/>
            <w:rPr>
              <w:rFonts w:asciiTheme="minorHAnsi" w:hAnsiTheme="minorHAnsi"/>
              <w:sz w:val="22"/>
              <w:szCs w:val="22"/>
            </w:rPr>
          </w:pPr>
        </w:p>
        <w:p w14:paraId="018A28AF" w14:textId="77777777" w:rsidR="00273E3E" w:rsidRPr="00FF027F" w:rsidRDefault="00273E3E" w:rsidP="006D214F">
          <w:pPr>
            <w:pStyle w:val="Text1"/>
            <w:numPr>
              <w:ilvl w:val="0"/>
              <w:numId w:val="34"/>
            </w:numPr>
            <w:spacing w:after="240"/>
            <w:jc w:val="both"/>
            <w:rPr>
              <w:rFonts w:asciiTheme="minorHAnsi" w:hAnsiTheme="minorHAnsi"/>
              <w:sz w:val="22"/>
              <w:szCs w:val="22"/>
            </w:rPr>
          </w:pPr>
          <w:r w:rsidRPr="00FF027F">
            <w:rPr>
              <w:rFonts w:asciiTheme="minorHAnsi" w:hAnsiTheme="minorHAnsi"/>
              <w:b/>
              <w:bCs/>
              <w:sz w:val="22"/>
              <w:szCs w:val="22"/>
            </w:rPr>
            <w:t>QSI International School of Ljubljana</w:t>
          </w:r>
          <w:r w:rsidRPr="00FF027F">
            <w:rPr>
              <w:rFonts w:asciiTheme="minorHAnsi" w:hAnsiTheme="minorHAnsi"/>
              <w:sz w:val="22"/>
              <w:szCs w:val="22"/>
            </w:rPr>
            <w:t xml:space="preserve">, an American school operating in Ljubljana since 1995, offers education from pre-school through secondary school (4-17 years of age). </w:t>
          </w:r>
        </w:p>
        <w:p w14:paraId="2C477AD2" w14:textId="77777777" w:rsidR="00273E3E" w:rsidRPr="00FF027F" w:rsidRDefault="00273E3E" w:rsidP="006D214F">
          <w:pPr>
            <w:pStyle w:val="Text1"/>
            <w:numPr>
              <w:ilvl w:val="0"/>
              <w:numId w:val="35"/>
            </w:numPr>
            <w:spacing w:after="240"/>
            <w:jc w:val="both"/>
            <w:rPr>
              <w:rFonts w:asciiTheme="minorHAnsi" w:hAnsiTheme="minorHAnsi"/>
              <w:sz w:val="22"/>
              <w:szCs w:val="22"/>
            </w:rPr>
          </w:pPr>
          <w:r w:rsidRPr="00FF027F">
            <w:rPr>
              <w:rFonts w:asciiTheme="minorHAnsi" w:hAnsiTheme="minorHAnsi"/>
              <w:b/>
              <w:bCs/>
              <w:sz w:val="22"/>
              <w:szCs w:val="22"/>
            </w:rPr>
            <w:t xml:space="preserve">British School International </w:t>
          </w:r>
          <w:r w:rsidRPr="00FF027F">
            <w:rPr>
              <w:rFonts w:asciiTheme="minorHAnsi" w:hAnsiTheme="minorHAnsi"/>
              <w:sz w:val="22"/>
              <w:szCs w:val="22"/>
            </w:rPr>
            <w:t xml:space="preserve">is a newly established school for students aged 3-18. It also offers Cambridge International Examinations and A-level qualification in the Secondary section. </w:t>
          </w:r>
        </w:p>
        <w:p w14:paraId="4D3F9B70" w14:textId="48B2E5D9" w:rsidR="00273E3E" w:rsidRPr="00FF027F" w:rsidRDefault="00273E3E" w:rsidP="006D214F">
          <w:pPr>
            <w:pStyle w:val="Text1"/>
            <w:numPr>
              <w:ilvl w:val="0"/>
              <w:numId w:val="35"/>
            </w:numPr>
            <w:spacing w:after="240"/>
            <w:jc w:val="both"/>
            <w:rPr>
              <w:rFonts w:asciiTheme="minorHAnsi" w:hAnsiTheme="minorHAnsi"/>
              <w:sz w:val="22"/>
              <w:szCs w:val="22"/>
            </w:rPr>
          </w:pPr>
          <w:r w:rsidRPr="00FF027F">
            <w:rPr>
              <w:rFonts w:asciiTheme="minorHAnsi" w:hAnsiTheme="minorHAnsi"/>
              <w:b/>
              <w:bCs/>
              <w:sz w:val="22"/>
              <w:szCs w:val="22"/>
            </w:rPr>
            <w:t xml:space="preserve">Ecole Française de Ljubljana </w:t>
          </w:r>
          <w:r w:rsidRPr="00FF027F">
            <w:rPr>
              <w:rFonts w:asciiTheme="minorHAnsi" w:hAnsiTheme="minorHAnsi"/>
              <w:sz w:val="22"/>
              <w:szCs w:val="22"/>
            </w:rPr>
            <w:t xml:space="preserve">is part of AEFE (Agency for teaching French abroad) network for 2 to 11 years old children. Lessons </w:t>
          </w:r>
          <w:r w:rsidR="00BF2C40" w:rsidRPr="00FF027F">
            <w:rPr>
              <w:rFonts w:asciiTheme="minorHAnsi" w:hAnsiTheme="minorHAnsi"/>
              <w:sz w:val="22"/>
              <w:szCs w:val="22"/>
            </w:rPr>
            <w:t xml:space="preserve">are </w:t>
          </w:r>
          <w:r w:rsidRPr="00FF027F">
            <w:rPr>
              <w:rFonts w:asciiTheme="minorHAnsi" w:hAnsiTheme="minorHAnsi"/>
              <w:sz w:val="22"/>
              <w:szCs w:val="22"/>
            </w:rPr>
            <w:t>in English, French and Slovenian language.</w:t>
          </w:r>
        </w:p>
        <w:p w14:paraId="1C3AF22A" w14:textId="77777777" w:rsidR="00273E3E" w:rsidRPr="00FF027F" w:rsidRDefault="00273E3E" w:rsidP="00BF2C40">
          <w:pPr>
            <w:autoSpaceDE w:val="0"/>
            <w:autoSpaceDN w:val="0"/>
            <w:adjustRightInd w:val="0"/>
            <w:jc w:val="both"/>
            <w:rPr>
              <w:lang w:val="en-GB"/>
            </w:rPr>
          </w:pPr>
          <w:r w:rsidRPr="00FF027F">
            <w:rPr>
              <w:lang w:val="en-GB"/>
            </w:rPr>
            <w:t xml:space="preserve">There are international sections in the national school system, both at primary (OŠ Danila Kumar) and secondary level (Gimnazija Bežigrad). </w:t>
          </w:r>
        </w:p>
        <w:p w14:paraId="1C690895" w14:textId="77777777" w:rsidR="00273E3E" w:rsidRPr="00FF027F" w:rsidRDefault="00273E3E" w:rsidP="00BF2C40">
          <w:pPr>
            <w:autoSpaceDE w:val="0"/>
            <w:autoSpaceDN w:val="0"/>
            <w:adjustRightInd w:val="0"/>
            <w:jc w:val="both"/>
            <w:rPr>
              <w:lang w:val="en-GB"/>
            </w:rPr>
          </w:pPr>
          <w:r w:rsidRPr="00FF027F">
            <w:rPr>
              <w:b/>
              <w:lang w:val="en-GB"/>
            </w:rPr>
            <w:t>OŠ Danila Kumar</w:t>
          </w:r>
          <w:r w:rsidRPr="00FF027F">
            <w:rPr>
              <w:lang w:val="en-GB"/>
            </w:rPr>
            <w:t xml:space="preserve"> has been offering an international programme since 1993 for children of foreign nationals living in Slovenia. The Ministry of Education subsidises the school, covering more than half of the operational costs. International programmes exist also at the kindergarten level. School tuition fees for international schools cost between 5.505 EUR and 6.500 EUR. The fees for the kindergarten programme (food included) amount to 7.769 EUR per year. </w:t>
          </w:r>
        </w:p>
        <w:p w14:paraId="047AEF02" w14:textId="77777777" w:rsidR="00273E3E" w:rsidRPr="00FF027F" w:rsidRDefault="00273E3E" w:rsidP="00BF2C40">
          <w:pPr>
            <w:autoSpaceDE w:val="0"/>
            <w:autoSpaceDN w:val="0"/>
            <w:adjustRightInd w:val="0"/>
            <w:jc w:val="both"/>
            <w:rPr>
              <w:lang w:val="en-GB"/>
            </w:rPr>
          </w:pPr>
          <w:r w:rsidRPr="00FF027F">
            <w:rPr>
              <w:b/>
              <w:lang w:val="en-GB"/>
            </w:rPr>
            <w:t>Gimnazija Bežigrad</w:t>
          </w:r>
          <w:r w:rsidRPr="00FF027F">
            <w:rPr>
              <w:lang w:val="en-GB"/>
            </w:rPr>
            <w:t xml:space="preserve"> started with its two international programmes in 1993. Both programmes are offered by the International Baccalaureate Organization. The Middle Years Program (MYP) is for students in grades 9 and 10 and the Diploma Program (DP) for grades 11 and 12. School tuition fee for the international programme is 4797.00 EUR.</w:t>
          </w:r>
        </w:p>
        <w:p w14:paraId="76B1CD72" w14:textId="77777777" w:rsidR="00273E3E" w:rsidRPr="00FF027F" w:rsidRDefault="00273E3E" w:rsidP="00BF2C40">
          <w:pPr>
            <w:autoSpaceDE w:val="0"/>
            <w:autoSpaceDN w:val="0"/>
            <w:adjustRightInd w:val="0"/>
            <w:jc w:val="both"/>
            <w:rPr>
              <w:lang w:val="en-GB"/>
            </w:rPr>
          </w:pPr>
          <w:r w:rsidRPr="00FF027F">
            <w:rPr>
              <w:lang w:val="en-GB"/>
            </w:rPr>
            <w:t xml:space="preserve">ACER strives to find the best possible solutions for the schooling of children of ACER’s staff together with the Slovenian Government. As established in the Seat Agreement (Article 13) between the Slovenian Government and ACER, the Government will undertake to establish a European School within the public school network in Slovenia, in accordance with the Convention defining the Statute of the European Schools and with the programmes of European schools. </w:t>
          </w:r>
        </w:p>
        <w:p w14:paraId="52F56E3C" w14:textId="77777777" w:rsidR="00273E3E" w:rsidRPr="00FF027F" w:rsidRDefault="00273E3E" w:rsidP="00BF2C40">
          <w:pPr>
            <w:jc w:val="both"/>
            <w:rPr>
              <w:lang w:val="en-GB"/>
            </w:rPr>
          </w:pPr>
          <w:r w:rsidRPr="00FF027F">
            <w:rPr>
              <w:lang w:val="en-GB"/>
            </w:rPr>
            <w:t>European Schools provide multilingual tuition in all EU languages and offer the European Baccalaureate recognised in all Member States. Staff members of the EU Institutions, including the agencies, should enjoy free access to European Schools (school fees and transport included).</w:t>
          </w:r>
        </w:p>
        <w:p w14:paraId="16F6173E" w14:textId="77777777" w:rsidR="00273E3E" w:rsidRPr="00FF027F" w:rsidRDefault="00273E3E" w:rsidP="00BF2C40">
          <w:pPr>
            <w:jc w:val="both"/>
            <w:rPr>
              <w:lang w:val="en-GB"/>
            </w:rPr>
          </w:pPr>
          <w:r w:rsidRPr="00FF027F">
            <w:rPr>
              <w:lang w:val="en-GB"/>
            </w:rPr>
            <w:t xml:space="preserve">Since there is no European school that could be attended free of charge in or within 50 kilometres from Ljubljana, and in fact anywhere in Slovenia, the staff members of ACER are obliged to send their children to international schools offering education in English or French. These schools are considerably more expensive than the cost staff members can cover with the double education allowance foreseen under Article 3, Annex VII of the Staff Regulations. In this respect a measure of social nature is needed to address the unequal working conditions (in line with the Article 1(e) of the Staff Regulations) to which ACER staff is subject to compared to the staff working in other European Union institutions located where European Schools are available. </w:t>
          </w:r>
        </w:p>
        <w:p w14:paraId="178928CD" w14:textId="23739348" w:rsidR="00273E3E" w:rsidRPr="00FF027F" w:rsidRDefault="00BF2C40" w:rsidP="00BF2C40">
          <w:pPr>
            <w:jc w:val="both"/>
            <w:rPr>
              <w:lang w:val="en-GB"/>
            </w:rPr>
          </w:pPr>
          <w:r w:rsidRPr="00FF027F">
            <w:rPr>
              <w:lang w:val="en-GB"/>
            </w:rPr>
            <w:t xml:space="preserve">For this reason in 2011 </w:t>
          </w:r>
          <w:r w:rsidR="00273E3E" w:rsidRPr="00FF027F">
            <w:rPr>
              <w:lang w:val="en-GB"/>
            </w:rPr>
            <w:t xml:space="preserve">the Administrative Board adopted Decision AB no 01/2011 of 11 February 2011 “on the support granted to ACER staff members in respect to kindergarten and school fees”, where it is recognised that “the Agency needs to employ and retain staff of the highest standards of ability, efficiency and integrity, recruited on the broadest possible geographical basis from among nationals of EU Member States”, that “the availability of proper schooling opportunities is extremely important in attracting staff to the Agency” and, therefore, that “in the absence of a European School in Ljubljana, it is appropriate that the Agency provides support to staff against the cost of international schooling in Ljubljana or elsewhere, in order for staff to be able to choose the best possible solution for kindergarten and schooling of their children”. </w:t>
          </w:r>
        </w:p>
        <w:p w14:paraId="02143750" w14:textId="1ECC747D" w:rsidR="00273E3E" w:rsidRPr="00FF027F" w:rsidRDefault="00273E3E" w:rsidP="00BF2C40">
          <w:pPr>
            <w:jc w:val="both"/>
            <w:rPr>
              <w:rFonts w:cs="Arial"/>
              <w:lang w:val="en-GB"/>
            </w:rPr>
          </w:pPr>
          <w:r w:rsidRPr="00FF027F">
            <w:rPr>
              <w:lang w:val="en-GB"/>
            </w:rPr>
            <w:t xml:space="preserve">Currently the Agency </w:t>
          </w:r>
          <w:r w:rsidR="00BF2C40" w:rsidRPr="00FF027F">
            <w:rPr>
              <w:lang w:val="en-GB"/>
            </w:rPr>
            <w:t>is preparing t</w:t>
          </w:r>
          <w:r w:rsidRPr="00FF027F">
            <w:rPr>
              <w:lang w:val="en-GB"/>
            </w:rPr>
            <w:t>o make the payments directly to the schools. The service contracts with the schools and kindergartens have been prepared and a new Director Decision will be adopted to specify the implementation of this new mechanism. ACER has adopted a threshold for covering the registration and tuition fees which will be set at 55% of the average reference price (European School fees in Brussels), adjusted for the current coefficient for Slovenia.</w:t>
          </w:r>
        </w:p>
        <w:p w14:paraId="368B0999" w14:textId="77777777" w:rsidR="00273E3E" w:rsidRPr="00FF027F" w:rsidRDefault="00273E3E" w:rsidP="00BF2C40">
          <w:pPr>
            <w:pStyle w:val="Text1"/>
            <w:ind w:left="0"/>
            <w:jc w:val="both"/>
            <w:rPr>
              <w:rFonts w:asciiTheme="minorHAnsi" w:hAnsiTheme="minorHAnsi"/>
              <w:sz w:val="22"/>
              <w:szCs w:val="22"/>
            </w:rPr>
          </w:pPr>
          <w:r w:rsidRPr="00FF027F">
            <w:rPr>
              <w:rFonts w:asciiTheme="minorHAnsi" w:hAnsiTheme="minorHAnsi"/>
              <w:sz w:val="22"/>
              <w:szCs w:val="22"/>
            </w:rPr>
            <w:t xml:space="preserve">In both cases (European section or international school programmes), ACER includes the budgetary credits necessary to cover its financial contribution in the provisional draft budget sent to the budgetary authority in the framework of the annual budgetary procedure. ACER also transmits full information on the measures planned to the budgetary authority. </w:t>
          </w:r>
        </w:p>
        <w:p w14:paraId="249D9CC7" w14:textId="77777777" w:rsidR="00BF2C40" w:rsidRPr="00FF027F" w:rsidRDefault="00BF2C40" w:rsidP="00BF2C40">
          <w:pPr>
            <w:pStyle w:val="Text1"/>
            <w:ind w:left="0"/>
            <w:jc w:val="both"/>
            <w:rPr>
              <w:rFonts w:asciiTheme="minorHAnsi" w:hAnsiTheme="minorHAnsi"/>
              <w:sz w:val="22"/>
              <w:szCs w:val="22"/>
            </w:rPr>
          </w:pPr>
        </w:p>
        <w:p w14:paraId="0EFC0B4D" w14:textId="16EC7012" w:rsidR="00273E3E" w:rsidRPr="00FF027F" w:rsidRDefault="00273E3E" w:rsidP="00BF2C40">
          <w:pPr>
            <w:pStyle w:val="Text1"/>
            <w:ind w:left="0"/>
            <w:jc w:val="both"/>
            <w:rPr>
              <w:rFonts w:asciiTheme="minorHAnsi" w:hAnsiTheme="minorHAnsi"/>
              <w:sz w:val="22"/>
              <w:szCs w:val="22"/>
            </w:rPr>
          </w:pPr>
          <w:r w:rsidRPr="00FF027F">
            <w:rPr>
              <w:rFonts w:asciiTheme="minorHAnsi" w:hAnsiTheme="minorHAnsi"/>
              <w:sz w:val="22"/>
              <w:szCs w:val="22"/>
            </w:rPr>
            <w:t>There are also four universities in Slovenia, amongst others the University of Ljubljana with 23 faculties and 3 art academies.</w:t>
          </w:r>
        </w:p>
        <w:p w14:paraId="1959D550" w14:textId="00D68435" w:rsidR="000304DA" w:rsidRPr="00FF027F" w:rsidRDefault="00DF7B7F" w:rsidP="00BF2C40">
          <w:pPr>
            <w:pStyle w:val="Heading1"/>
            <w:numPr>
              <w:ilvl w:val="0"/>
              <w:numId w:val="0"/>
            </w:numPr>
          </w:pPr>
          <w:bookmarkStart w:id="145" w:name="_Toc396913826"/>
          <w:r w:rsidRPr="00FF027F">
            <w:t>Annex V:</w:t>
          </w:r>
          <w:r w:rsidR="00E858CF" w:rsidRPr="00FF027F">
            <w:t xml:space="preserve"> Buildings</w:t>
          </w:r>
          <w:bookmarkEnd w:id="145"/>
          <w:r w:rsidR="00E858CF" w:rsidRPr="00FF027F">
            <w:t xml:space="preserve"> </w:t>
          </w:r>
        </w:p>
        <w:p w14:paraId="51C9AD2C" w14:textId="77777777" w:rsidR="00E858CF" w:rsidRPr="00FF027F" w:rsidRDefault="00E858CF" w:rsidP="00E858CF">
          <w:pPr>
            <w:keepNext/>
            <w:spacing w:before="120" w:after="120" w:line="240" w:lineRule="auto"/>
            <w:jc w:val="both"/>
            <w:rPr>
              <w:rFonts w:eastAsia="Times New Roman" w:cs="Times New Roman"/>
              <w:lang w:val="en-GB" w:eastAsia="en-GB"/>
            </w:rPr>
          </w:pPr>
          <w:r w:rsidRPr="00FF027F">
            <w:rPr>
              <w:rFonts w:eastAsia="Times New Roman" w:cs="Times New Roman"/>
              <w:lang w:val="en-GB" w:eastAsia="en-GB"/>
            </w:rPr>
            <w:t>Current building(s)</w:t>
          </w:r>
        </w:p>
        <w:tbl>
          <w:tblPr>
            <w:tblW w:w="9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6"/>
            <w:gridCol w:w="3118"/>
            <w:gridCol w:w="3317"/>
          </w:tblGrid>
          <w:tr w:rsidR="00E858CF" w:rsidRPr="00FF027F" w14:paraId="687D0A96" w14:textId="77777777" w:rsidTr="00320C50">
            <w:trPr>
              <w:trHeight w:val="363"/>
              <w:jc w:val="center"/>
            </w:trPr>
            <w:tc>
              <w:tcPr>
                <w:tcW w:w="3516" w:type="dxa"/>
                <w:tcBorders>
                  <w:bottom w:val="single" w:sz="4" w:space="0" w:color="auto"/>
                </w:tcBorders>
                <w:shd w:val="pct5" w:color="auto" w:fill="auto"/>
                <w:tcMar>
                  <w:left w:w="284" w:type="dxa"/>
                  <w:right w:w="284" w:type="dxa"/>
                </w:tcMar>
              </w:tcPr>
              <w:p w14:paraId="41055CE2" w14:textId="77777777" w:rsidR="00E858CF" w:rsidRPr="00FF027F" w:rsidRDefault="00E858CF" w:rsidP="00E858CF">
                <w:pPr>
                  <w:keepNext/>
                  <w:spacing w:before="120" w:after="120" w:line="240" w:lineRule="auto"/>
                  <w:rPr>
                    <w:rFonts w:eastAsia="Times New Roman" w:cs="Times New Roman"/>
                    <w:b/>
                    <w:lang w:val="en-GB" w:eastAsia="en-GB"/>
                  </w:rPr>
                </w:pPr>
              </w:p>
            </w:tc>
            <w:tc>
              <w:tcPr>
                <w:tcW w:w="3118" w:type="dxa"/>
                <w:tcBorders>
                  <w:bottom w:val="single" w:sz="4" w:space="0" w:color="auto"/>
                </w:tcBorders>
                <w:shd w:val="pct5" w:color="auto" w:fill="auto"/>
                <w:tcMar>
                  <w:left w:w="284" w:type="dxa"/>
                  <w:right w:w="284" w:type="dxa"/>
                </w:tcMar>
              </w:tcPr>
              <w:p w14:paraId="05C91329" w14:textId="3CB8E5F6" w:rsidR="00E858CF" w:rsidRPr="00FF027F" w:rsidRDefault="00E858CF" w:rsidP="00016A74">
                <w:pPr>
                  <w:keepNext/>
                  <w:spacing w:before="120" w:after="120" w:line="240" w:lineRule="auto"/>
                  <w:rPr>
                    <w:rFonts w:eastAsia="Times New Roman" w:cs="Times New Roman"/>
                    <w:b/>
                    <w:lang w:val="en-GB" w:eastAsia="en-GB"/>
                  </w:rPr>
                </w:pPr>
                <w:r w:rsidRPr="00FF027F">
                  <w:rPr>
                    <w:rFonts w:eastAsia="Times New Roman" w:cs="Times New Roman"/>
                    <w:b/>
                    <w:lang w:val="en-GB" w:eastAsia="en-GB"/>
                  </w:rPr>
                  <w:t>Name, location and type of building</w:t>
                </w:r>
              </w:p>
            </w:tc>
            <w:tc>
              <w:tcPr>
                <w:tcW w:w="3317" w:type="dxa"/>
                <w:tcBorders>
                  <w:bottom w:val="single" w:sz="4" w:space="0" w:color="auto"/>
                </w:tcBorders>
                <w:shd w:val="pct5" w:color="auto" w:fill="auto"/>
                <w:tcMar>
                  <w:left w:w="284" w:type="dxa"/>
                  <w:right w:w="284" w:type="dxa"/>
                </w:tcMar>
              </w:tcPr>
              <w:p w14:paraId="0DF0C332" w14:textId="77777777" w:rsidR="00E858CF" w:rsidRPr="00FF027F" w:rsidRDefault="00E858CF" w:rsidP="00E858CF">
                <w:pPr>
                  <w:keepNext/>
                  <w:spacing w:before="120" w:after="120" w:line="240" w:lineRule="auto"/>
                  <w:rPr>
                    <w:rFonts w:eastAsia="Times New Roman" w:cs="Times New Roman"/>
                    <w:b/>
                    <w:lang w:val="en-GB" w:eastAsia="en-GB"/>
                  </w:rPr>
                </w:pPr>
                <w:r w:rsidRPr="00FF027F">
                  <w:rPr>
                    <w:rFonts w:eastAsia="Times New Roman" w:cs="Times New Roman"/>
                    <w:b/>
                    <w:lang w:val="en-GB" w:eastAsia="en-GB"/>
                  </w:rPr>
                  <w:t>Other Comment</w:t>
                </w:r>
              </w:p>
            </w:tc>
          </w:tr>
          <w:tr w:rsidR="00E858CF" w:rsidRPr="00FF027F" w14:paraId="2FB8382F" w14:textId="77777777" w:rsidTr="00320C50">
            <w:trPr>
              <w:trHeight w:val="588"/>
              <w:jc w:val="center"/>
            </w:trPr>
            <w:tc>
              <w:tcPr>
                <w:tcW w:w="3516" w:type="dxa"/>
                <w:tcMar>
                  <w:left w:w="284" w:type="dxa"/>
                  <w:right w:w="284" w:type="dxa"/>
                </w:tcMar>
              </w:tcPr>
              <w:p w14:paraId="200C09E4" w14:textId="77777777" w:rsidR="00E858CF" w:rsidRPr="00FF027F" w:rsidRDefault="00E858CF" w:rsidP="00E858CF">
                <w:pPr>
                  <w:keepNext/>
                  <w:spacing w:before="120" w:after="120" w:line="240" w:lineRule="auto"/>
                  <w:rPr>
                    <w:rFonts w:eastAsia="Times New Roman" w:cs="Times New Roman"/>
                    <w:i/>
                    <w:lang w:val="en-GB" w:eastAsia="en-GB"/>
                  </w:rPr>
                </w:pPr>
                <w:r w:rsidRPr="00FF027F">
                  <w:rPr>
                    <w:rFonts w:eastAsia="Times New Roman" w:cs="Times New Roman"/>
                    <w:i/>
                    <w:lang w:val="en-GB" w:eastAsia="en-GB"/>
                  </w:rPr>
                  <w:t>Information to be provided per building:</w:t>
                </w:r>
              </w:p>
            </w:tc>
            <w:tc>
              <w:tcPr>
                <w:tcW w:w="3118" w:type="dxa"/>
                <w:tcMar>
                  <w:left w:w="284" w:type="dxa"/>
                  <w:right w:w="284" w:type="dxa"/>
                </w:tcMar>
              </w:tcPr>
              <w:p w14:paraId="08E42ACD" w14:textId="77777777" w:rsidR="00E858CF" w:rsidRPr="00FF027F" w:rsidRDefault="000D3391" w:rsidP="000D3391">
                <w:pPr>
                  <w:keepNext/>
                  <w:spacing w:before="120" w:after="120" w:line="240" w:lineRule="auto"/>
                  <w:rPr>
                    <w:rFonts w:eastAsia="Times New Roman" w:cs="Times New Roman"/>
                    <w:lang w:val="en-GB" w:eastAsia="en-GB"/>
                  </w:rPr>
                </w:pPr>
                <w:r w:rsidRPr="00FF027F">
                  <w:rPr>
                    <w:rFonts w:eastAsia="Times New Roman" w:cs="Times New Roman"/>
                    <w:lang w:val="en-GB" w:eastAsia="en-GB"/>
                  </w:rPr>
                  <w:t>Trg republike 3, Ljubljana, office building, rented</w:t>
                </w:r>
              </w:p>
            </w:tc>
            <w:tc>
              <w:tcPr>
                <w:tcW w:w="3317" w:type="dxa"/>
                <w:tcMar>
                  <w:left w:w="284" w:type="dxa"/>
                  <w:right w:w="284" w:type="dxa"/>
                </w:tcMar>
              </w:tcPr>
              <w:p w14:paraId="344AAC14" w14:textId="2C14BD14" w:rsidR="00E858CF" w:rsidRPr="00FF027F" w:rsidRDefault="00236FD6" w:rsidP="00405B1B">
                <w:pPr>
                  <w:keepNext/>
                  <w:tabs>
                    <w:tab w:val="left" w:pos="1995"/>
                  </w:tabs>
                  <w:spacing w:before="120" w:after="120" w:line="240" w:lineRule="auto"/>
                  <w:rPr>
                    <w:rFonts w:eastAsia="Times New Roman" w:cs="Times New Roman"/>
                    <w:lang w:val="en-GB" w:eastAsia="en-GB"/>
                  </w:rPr>
                </w:pPr>
                <w:r w:rsidRPr="00FF027F">
                  <w:rPr>
                    <w:rFonts w:eastAsia="Times New Roman" w:cs="Times New Roman"/>
                    <w:lang w:val="en-GB" w:eastAsia="en-GB"/>
                  </w:rPr>
                  <w:t>The Agency</w:t>
                </w:r>
                <w:r w:rsidR="00BF2C40" w:rsidRPr="00FF027F">
                  <w:rPr>
                    <w:rFonts w:eastAsia="Times New Roman" w:cs="Times New Roman"/>
                    <w:lang w:val="en-GB" w:eastAsia="en-GB"/>
                  </w:rPr>
                  <w:t xml:space="preserve">’s current </w:t>
                </w:r>
                <w:r w:rsidRPr="00FF027F">
                  <w:rPr>
                    <w:rFonts w:eastAsia="Times New Roman" w:cs="Times New Roman"/>
                    <w:lang w:val="en-GB" w:eastAsia="en-GB"/>
                  </w:rPr>
                  <w:t xml:space="preserve">rental contract </w:t>
                </w:r>
                <w:r w:rsidR="00405B1B" w:rsidRPr="00FF027F">
                  <w:rPr>
                    <w:rFonts w:eastAsia="Times New Roman" w:cs="Times New Roman"/>
                    <w:lang w:val="en-GB" w:eastAsia="en-GB"/>
                  </w:rPr>
                  <w:t xml:space="preserve">entered into force on </w:t>
                </w:r>
                <w:r w:rsidRPr="00FF027F">
                  <w:rPr>
                    <w:rFonts w:eastAsia="Times New Roman" w:cs="Times New Roman"/>
                    <w:lang w:val="en-GB" w:eastAsia="en-GB"/>
                  </w:rPr>
                  <w:t>01.02.2014.</w:t>
                </w:r>
                <w:r w:rsidRPr="00FF027F">
                  <w:rPr>
                    <w:lang w:val="en-GB"/>
                  </w:rPr>
                  <w:t xml:space="preserve"> </w:t>
                </w:r>
                <w:r w:rsidRPr="00FF027F">
                  <w:rPr>
                    <w:rFonts w:eastAsia="Times New Roman" w:cs="Times New Roman"/>
                    <w:lang w:val="en-GB" w:eastAsia="en-GB"/>
                  </w:rPr>
                  <w:t>The premises are suitable for up to 112 working places. At the moment the Agency has 95 staff members (this includes temporary agents, contract agents, seconded national experts, interim staff and trainees) and 12 working places available for consultants working on site.</w:t>
                </w:r>
              </w:p>
            </w:tc>
          </w:tr>
          <w:tr w:rsidR="00E858CF" w:rsidRPr="00FF027F" w14:paraId="49ED053E" w14:textId="77777777" w:rsidTr="00320C50">
            <w:trPr>
              <w:trHeight w:val="554"/>
              <w:jc w:val="center"/>
            </w:trPr>
            <w:tc>
              <w:tcPr>
                <w:tcW w:w="3516" w:type="dxa"/>
                <w:tcMar>
                  <w:left w:w="284" w:type="dxa"/>
                  <w:right w:w="284" w:type="dxa"/>
                </w:tcMar>
              </w:tcPr>
              <w:p w14:paraId="49503066" w14:textId="77777777" w:rsidR="00E858CF" w:rsidRPr="00FF027F" w:rsidRDefault="00E858CF" w:rsidP="00E858CF">
                <w:pPr>
                  <w:keepNext/>
                  <w:spacing w:before="120" w:after="120" w:line="240" w:lineRule="auto"/>
                  <w:rPr>
                    <w:rFonts w:eastAsia="Times New Roman" w:cs="Times New Roman"/>
                    <w:lang w:val="en-GB" w:eastAsia="en-GB"/>
                  </w:rPr>
                </w:pPr>
                <w:r w:rsidRPr="00FF027F">
                  <w:rPr>
                    <w:rFonts w:eastAsia="Times New Roman" w:cs="Times New Roman"/>
                    <w:lang w:val="en-GB" w:eastAsia="en-GB"/>
                  </w:rPr>
                  <w:t>Surface area (in square metres)</w:t>
                </w:r>
              </w:p>
              <w:p w14:paraId="245DA447" w14:textId="77777777" w:rsidR="00236FD6" w:rsidRPr="00FF027F" w:rsidRDefault="00236FD6" w:rsidP="00E858CF">
                <w:pPr>
                  <w:keepNext/>
                  <w:spacing w:before="120" w:after="120" w:line="240" w:lineRule="auto"/>
                  <w:rPr>
                    <w:rFonts w:eastAsia="Times New Roman" w:cs="Times New Roman"/>
                    <w:lang w:val="en-GB" w:eastAsia="en-GB"/>
                  </w:rPr>
                </w:pPr>
              </w:p>
              <w:p w14:paraId="37740EDC" w14:textId="77777777" w:rsidR="00E858CF" w:rsidRPr="00FF027F" w:rsidRDefault="00E858CF" w:rsidP="006D214F">
                <w:pPr>
                  <w:keepNext/>
                  <w:numPr>
                    <w:ilvl w:val="0"/>
                    <w:numId w:val="25"/>
                  </w:numPr>
                  <w:spacing w:before="120" w:after="120" w:line="240" w:lineRule="auto"/>
                  <w:rPr>
                    <w:rFonts w:eastAsia="Times New Roman" w:cs="Times New Roman"/>
                    <w:lang w:val="en-GB" w:eastAsia="en-GB"/>
                  </w:rPr>
                </w:pPr>
                <w:r w:rsidRPr="00FF027F">
                  <w:rPr>
                    <w:rFonts w:eastAsia="Times New Roman" w:cs="Times New Roman"/>
                    <w:lang w:val="en-GB" w:eastAsia="en-GB"/>
                  </w:rPr>
                  <w:t>Of which office space</w:t>
                </w:r>
              </w:p>
              <w:p w14:paraId="7A6AEA4E" w14:textId="77777777" w:rsidR="00E858CF" w:rsidRPr="00FF027F" w:rsidRDefault="00E858CF" w:rsidP="006D214F">
                <w:pPr>
                  <w:keepNext/>
                  <w:numPr>
                    <w:ilvl w:val="0"/>
                    <w:numId w:val="25"/>
                  </w:numPr>
                  <w:spacing w:before="120" w:after="120" w:line="240" w:lineRule="auto"/>
                  <w:rPr>
                    <w:rFonts w:eastAsia="Times New Roman" w:cs="Times New Roman"/>
                    <w:lang w:val="en-GB" w:eastAsia="en-GB"/>
                  </w:rPr>
                </w:pPr>
                <w:r w:rsidRPr="00FF027F">
                  <w:rPr>
                    <w:rFonts w:eastAsia="Times New Roman" w:cs="Times New Roman"/>
                    <w:lang w:val="en-GB" w:eastAsia="en-GB"/>
                  </w:rPr>
                  <w:t>Of which non-office space</w:t>
                </w:r>
              </w:p>
            </w:tc>
            <w:tc>
              <w:tcPr>
                <w:tcW w:w="3118" w:type="dxa"/>
                <w:tcMar>
                  <w:left w:w="284" w:type="dxa"/>
                  <w:right w:w="284" w:type="dxa"/>
                </w:tcMar>
              </w:tcPr>
              <w:p w14:paraId="72ABB11D" w14:textId="77777777" w:rsidR="00E858CF" w:rsidRPr="00FF027F" w:rsidRDefault="000D3391" w:rsidP="00E858CF">
                <w:pPr>
                  <w:keepNext/>
                  <w:spacing w:before="120" w:after="120" w:line="240" w:lineRule="auto"/>
                  <w:rPr>
                    <w:rFonts w:eastAsia="Times New Roman" w:cs="Times New Roman"/>
                    <w:lang w:val="en-GB" w:eastAsia="en-GB"/>
                  </w:rPr>
                </w:pPr>
                <w:r w:rsidRPr="00FF027F">
                  <w:rPr>
                    <w:rFonts w:eastAsia="Times New Roman" w:cs="Times New Roman"/>
                    <w:lang w:val="en-GB" w:eastAsia="en-GB"/>
                  </w:rPr>
                  <w:t>2,871.22 m2 and 35 parking spaces</w:t>
                </w:r>
              </w:p>
              <w:p w14:paraId="3FB68C43" w14:textId="77777777" w:rsidR="00236FD6" w:rsidRPr="00FF027F" w:rsidRDefault="00236FD6" w:rsidP="00405B1B">
                <w:pPr>
                  <w:keepNext/>
                  <w:spacing w:before="240" w:after="240" w:line="240" w:lineRule="auto"/>
                  <w:rPr>
                    <w:rFonts w:eastAsia="Times New Roman" w:cs="Times New Roman"/>
                    <w:lang w:val="en-GB" w:eastAsia="en-GB"/>
                  </w:rPr>
                </w:pPr>
                <w:r w:rsidRPr="00FF027F">
                  <w:rPr>
                    <w:rFonts w:eastAsia="Times New Roman" w:cs="Times New Roman"/>
                    <w:lang w:val="en-GB" w:eastAsia="en-GB"/>
                  </w:rPr>
                  <w:t>2,670.50 m2</w:t>
                </w:r>
              </w:p>
              <w:p w14:paraId="592FC160" w14:textId="77777777" w:rsidR="00236FD6" w:rsidRPr="00FF027F" w:rsidRDefault="00236FD6" w:rsidP="00405B1B">
                <w:pPr>
                  <w:keepNext/>
                  <w:spacing w:before="240" w:after="240" w:line="240" w:lineRule="auto"/>
                  <w:rPr>
                    <w:rFonts w:eastAsia="Times New Roman" w:cs="Times New Roman"/>
                    <w:lang w:val="en-GB" w:eastAsia="en-GB"/>
                  </w:rPr>
                </w:pPr>
                <w:r w:rsidRPr="00FF027F">
                  <w:rPr>
                    <w:rFonts w:eastAsia="Times New Roman" w:cs="Times New Roman"/>
                    <w:lang w:val="en-GB" w:eastAsia="en-GB"/>
                  </w:rPr>
                  <w:t>200.72 m2</w:t>
                </w:r>
              </w:p>
            </w:tc>
            <w:tc>
              <w:tcPr>
                <w:tcW w:w="3317" w:type="dxa"/>
                <w:tcMar>
                  <w:left w:w="284" w:type="dxa"/>
                  <w:right w:w="284" w:type="dxa"/>
                </w:tcMar>
              </w:tcPr>
              <w:p w14:paraId="181A7451" w14:textId="77777777" w:rsidR="00E858CF" w:rsidRPr="00FF027F" w:rsidRDefault="00E858CF" w:rsidP="00E858CF">
                <w:pPr>
                  <w:keepNext/>
                  <w:spacing w:before="120" w:after="120" w:line="240" w:lineRule="auto"/>
                  <w:rPr>
                    <w:rFonts w:eastAsia="Times New Roman" w:cs="Times New Roman"/>
                    <w:lang w:val="en-GB" w:eastAsia="en-GB"/>
                  </w:rPr>
                </w:pPr>
              </w:p>
            </w:tc>
          </w:tr>
          <w:tr w:rsidR="00E858CF" w:rsidRPr="00FF027F" w14:paraId="5ED42F5B" w14:textId="77777777" w:rsidTr="00320C50">
            <w:trPr>
              <w:trHeight w:val="554"/>
              <w:jc w:val="center"/>
            </w:trPr>
            <w:tc>
              <w:tcPr>
                <w:tcW w:w="3516" w:type="dxa"/>
                <w:tcMar>
                  <w:left w:w="284" w:type="dxa"/>
                  <w:right w:w="284" w:type="dxa"/>
                </w:tcMar>
              </w:tcPr>
              <w:p w14:paraId="24EEEFBF" w14:textId="77777777" w:rsidR="00E858CF" w:rsidRPr="00FF027F" w:rsidRDefault="00E858CF" w:rsidP="00E858CF">
                <w:pPr>
                  <w:keepNext/>
                  <w:spacing w:before="120" w:after="120" w:line="240" w:lineRule="auto"/>
                  <w:rPr>
                    <w:rFonts w:eastAsia="Times New Roman" w:cs="Times New Roman"/>
                    <w:lang w:val="en-GB" w:eastAsia="en-GB"/>
                  </w:rPr>
                </w:pPr>
                <w:r w:rsidRPr="00FF027F">
                  <w:rPr>
                    <w:rFonts w:eastAsia="Times New Roman" w:cs="Times New Roman"/>
                    <w:lang w:val="en-GB" w:eastAsia="en-GB"/>
                  </w:rPr>
                  <w:t>Annual rent (in EUR)</w:t>
                </w:r>
              </w:p>
            </w:tc>
            <w:tc>
              <w:tcPr>
                <w:tcW w:w="3118" w:type="dxa"/>
                <w:tcMar>
                  <w:left w:w="284" w:type="dxa"/>
                  <w:right w:w="284" w:type="dxa"/>
                </w:tcMar>
              </w:tcPr>
              <w:p w14:paraId="7D702C27" w14:textId="77777777" w:rsidR="00236FD6" w:rsidRPr="00FF027F" w:rsidRDefault="00236FD6" w:rsidP="00E858CF">
                <w:pPr>
                  <w:keepNext/>
                  <w:spacing w:before="120" w:after="120" w:line="240" w:lineRule="auto"/>
                  <w:rPr>
                    <w:rFonts w:eastAsia="Times New Roman" w:cs="Times New Roman"/>
                    <w:lang w:val="en-GB" w:eastAsia="en-GB"/>
                  </w:rPr>
                </w:pPr>
                <w:r w:rsidRPr="00FF027F">
                  <w:rPr>
                    <w:rFonts w:eastAsia="Times New Roman" w:cs="Times New Roman"/>
                    <w:lang w:val="en-GB" w:eastAsia="en-GB"/>
                  </w:rPr>
                  <w:t>653,350.73</w:t>
                </w:r>
              </w:p>
            </w:tc>
            <w:tc>
              <w:tcPr>
                <w:tcW w:w="3317" w:type="dxa"/>
                <w:tcMar>
                  <w:left w:w="284" w:type="dxa"/>
                  <w:right w:w="284" w:type="dxa"/>
                </w:tcMar>
              </w:tcPr>
              <w:p w14:paraId="535AD618" w14:textId="5DE582D0" w:rsidR="00E858CF" w:rsidRPr="00FF027F" w:rsidRDefault="00BF2C40" w:rsidP="00BF2C40">
                <w:pPr>
                  <w:keepNext/>
                  <w:spacing w:before="120" w:after="120" w:line="240" w:lineRule="auto"/>
                  <w:rPr>
                    <w:rFonts w:eastAsia="Times New Roman" w:cs="Times New Roman"/>
                    <w:lang w:val="en-GB" w:eastAsia="en-GB"/>
                  </w:rPr>
                </w:pPr>
                <w:r w:rsidRPr="00FF027F">
                  <w:rPr>
                    <w:rFonts w:eastAsia="Times New Roman" w:cs="Times New Roman"/>
                    <w:lang w:val="en-GB" w:eastAsia="en-GB"/>
                  </w:rPr>
                  <w:t xml:space="preserve">Of which pure rent 578,493.41 and parking 74,857.32 </w:t>
                </w:r>
              </w:p>
            </w:tc>
          </w:tr>
          <w:tr w:rsidR="00E858CF" w:rsidRPr="00FF027F" w14:paraId="426C068A" w14:textId="77777777" w:rsidTr="00320C50">
            <w:trPr>
              <w:trHeight w:val="554"/>
              <w:jc w:val="center"/>
            </w:trPr>
            <w:tc>
              <w:tcPr>
                <w:tcW w:w="3516" w:type="dxa"/>
                <w:tcMar>
                  <w:left w:w="284" w:type="dxa"/>
                  <w:right w:w="284" w:type="dxa"/>
                </w:tcMar>
              </w:tcPr>
              <w:p w14:paraId="0D29B1B2" w14:textId="77777777" w:rsidR="00E858CF" w:rsidRPr="00FF027F" w:rsidRDefault="00E858CF" w:rsidP="00E858CF">
                <w:pPr>
                  <w:keepNext/>
                  <w:spacing w:before="120" w:after="120" w:line="240" w:lineRule="auto"/>
                  <w:rPr>
                    <w:rFonts w:eastAsia="Times New Roman" w:cs="Times New Roman"/>
                    <w:lang w:val="en-GB" w:eastAsia="en-GB"/>
                  </w:rPr>
                </w:pPr>
                <w:r w:rsidRPr="00FF027F">
                  <w:rPr>
                    <w:rFonts w:eastAsia="Times New Roman" w:cs="Times New Roman"/>
                    <w:lang w:val="en-GB" w:eastAsia="en-GB"/>
                  </w:rPr>
                  <w:t>Type and duration of rental contract</w:t>
                </w:r>
              </w:p>
            </w:tc>
            <w:tc>
              <w:tcPr>
                <w:tcW w:w="3118" w:type="dxa"/>
                <w:tcMar>
                  <w:left w:w="284" w:type="dxa"/>
                  <w:right w:w="284" w:type="dxa"/>
                </w:tcMar>
              </w:tcPr>
              <w:p w14:paraId="1392A1E7" w14:textId="77777777" w:rsidR="00E858CF" w:rsidRPr="00FF027F" w:rsidRDefault="00236FD6" w:rsidP="00C96B29">
                <w:pPr>
                  <w:keepNext/>
                  <w:spacing w:before="120" w:after="120" w:line="240" w:lineRule="auto"/>
                  <w:rPr>
                    <w:rFonts w:eastAsia="Times New Roman" w:cs="Times New Roman"/>
                    <w:lang w:val="en-GB" w:eastAsia="en-GB"/>
                  </w:rPr>
                </w:pPr>
                <w:r w:rsidRPr="00FF027F">
                  <w:rPr>
                    <w:rFonts w:eastAsia="Times New Roman" w:cs="Times New Roman"/>
                    <w:lang w:val="en-GB" w:eastAsia="en-GB"/>
                  </w:rPr>
                  <w:t>Rental for 5 years with a possibility for an extension for an additional period of up to five (5) years</w:t>
                </w:r>
                <w:r w:rsidR="001311EB" w:rsidRPr="00FF027F">
                  <w:rPr>
                    <w:rFonts w:eastAsia="Times New Roman" w:cs="Times New Roman"/>
                    <w:lang w:val="en-GB" w:eastAsia="en-GB"/>
                  </w:rPr>
                  <w:t>.</w:t>
                </w:r>
              </w:p>
            </w:tc>
            <w:tc>
              <w:tcPr>
                <w:tcW w:w="3317" w:type="dxa"/>
                <w:tcMar>
                  <w:left w:w="284" w:type="dxa"/>
                  <w:right w:w="284" w:type="dxa"/>
                </w:tcMar>
              </w:tcPr>
              <w:p w14:paraId="7B59E325" w14:textId="77777777" w:rsidR="00E858CF" w:rsidRPr="00FF027F" w:rsidRDefault="00E858CF" w:rsidP="00E858CF">
                <w:pPr>
                  <w:keepNext/>
                  <w:spacing w:before="120" w:after="120" w:line="240" w:lineRule="auto"/>
                  <w:rPr>
                    <w:rFonts w:eastAsia="Times New Roman" w:cs="Times New Roman"/>
                    <w:lang w:val="en-GB" w:eastAsia="en-GB"/>
                  </w:rPr>
                </w:pPr>
              </w:p>
            </w:tc>
          </w:tr>
          <w:tr w:rsidR="00E858CF" w:rsidRPr="00FF027F" w14:paraId="4AAAE9CC" w14:textId="77777777" w:rsidTr="00320C50">
            <w:trPr>
              <w:trHeight w:val="554"/>
              <w:jc w:val="center"/>
            </w:trPr>
            <w:tc>
              <w:tcPr>
                <w:tcW w:w="3516" w:type="dxa"/>
                <w:tcMar>
                  <w:left w:w="284" w:type="dxa"/>
                  <w:right w:w="284" w:type="dxa"/>
                </w:tcMar>
              </w:tcPr>
              <w:p w14:paraId="4543BEF7" w14:textId="77777777" w:rsidR="00E858CF" w:rsidRPr="00FF027F" w:rsidRDefault="00E858CF" w:rsidP="00E858CF">
                <w:pPr>
                  <w:keepNext/>
                  <w:spacing w:before="120" w:after="120" w:line="240" w:lineRule="auto"/>
                  <w:rPr>
                    <w:rFonts w:eastAsia="Times New Roman" w:cs="Times New Roman"/>
                    <w:lang w:val="en-GB" w:eastAsia="en-GB"/>
                  </w:rPr>
                </w:pPr>
                <w:r w:rsidRPr="00FF027F">
                  <w:rPr>
                    <w:rFonts w:eastAsia="Times New Roman" w:cs="Times New Roman"/>
                    <w:lang w:val="en-GB" w:eastAsia="en-GB"/>
                  </w:rPr>
                  <w:t xml:space="preserve">Host country grant or support </w:t>
                </w:r>
              </w:p>
            </w:tc>
            <w:tc>
              <w:tcPr>
                <w:tcW w:w="3118" w:type="dxa"/>
                <w:tcMar>
                  <w:left w:w="284" w:type="dxa"/>
                  <w:right w:w="284" w:type="dxa"/>
                </w:tcMar>
              </w:tcPr>
              <w:p w14:paraId="5301D39C" w14:textId="77777777" w:rsidR="00E858CF" w:rsidRPr="00FF027F" w:rsidRDefault="00FF0A40" w:rsidP="00FF0A40">
                <w:pPr>
                  <w:keepNext/>
                  <w:spacing w:before="120" w:after="120" w:line="240" w:lineRule="auto"/>
                  <w:rPr>
                    <w:rFonts w:eastAsia="Times New Roman" w:cs="Times New Roman"/>
                    <w:i/>
                    <w:lang w:val="en-GB" w:eastAsia="en-GB"/>
                  </w:rPr>
                </w:pPr>
                <w:r w:rsidRPr="00FF027F">
                  <w:rPr>
                    <w:rFonts w:eastAsia="Times New Roman" w:cs="Times New Roman"/>
                    <w:i/>
                    <w:lang w:val="en-GB" w:eastAsia="en-GB"/>
                  </w:rPr>
                  <w:t xml:space="preserve">Not applicable. </w:t>
                </w:r>
              </w:p>
            </w:tc>
            <w:tc>
              <w:tcPr>
                <w:tcW w:w="3317" w:type="dxa"/>
                <w:tcMar>
                  <w:left w:w="284" w:type="dxa"/>
                  <w:right w:w="284" w:type="dxa"/>
                </w:tcMar>
              </w:tcPr>
              <w:p w14:paraId="081FE543" w14:textId="77777777" w:rsidR="00E858CF" w:rsidRPr="00FF027F" w:rsidRDefault="00E858CF" w:rsidP="00E858CF">
                <w:pPr>
                  <w:keepNext/>
                  <w:spacing w:before="120" w:after="120" w:line="240" w:lineRule="auto"/>
                  <w:rPr>
                    <w:rFonts w:eastAsia="Times New Roman" w:cs="Times New Roman"/>
                    <w:lang w:val="en-GB" w:eastAsia="en-GB"/>
                  </w:rPr>
                </w:pPr>
              </w:p>
            </w:tc>
          </w:tr>
          <w:tr w:rsidR="00E858CF" w:rsidRPr="00FF027F" w14:paraId="7A7F009A" w14:textId="77777777" w:rsidTr="00320C50">
            <w:trPr>
              <w:trHeight w:val="554"/>
              <w:jc w:val="center"/>
            </w:trPr>
            <w:tc>
              <w:tcPr>
                <w:tcW w:w="3516" w:type="dxa"/>
                <w:tcMar>
                  <w:left w:w="284" w:type="dxa"/>
                  <w:right w:w="284" w:type="dxa"/>
                </w:tcMar>
              </w:tcPr>
              <w:p w14:paraId="19D80244" w14:textId="77777777" w:rsidR="00E858CF" w:rsidRPr="00FF027F" w:rsidRDefault="00E858CF" w:rsidP="00E858CF">
                <w:pPr>
                  <w:keepNext/>
                  <w:spacing w:before="120" w:after="120" w:line="240" w:lineRule="auto"/>
                  <w:rPr>
                    <w:rFonts w:eastAsia="Times New Roman" w:cs="Times New Roman"/>
                    <w:lang w:val="en-GB" w:eastAsia="en-GB"/>
                  </w:rPr>
                </w:pPr>
                <w:r w:rsidRPr="00FF027F">
                  <w:rPr>
                    <w:rFonts w:eastAsia="Times New Roman" w:cs="Times New Roman"/>
                    <w:lang w:val="en-GB" w:eastAsia="en-GB"/>
                  </w:rPr>
                  <w:t>Present value of the building</w:t>
                </w:r>
              </w:p>
            </w:tc>
            <w:tc>
              <w:tcPr>
                <w:tcW w:w="3118" w:type="dxa"/>
                <w:tcMar>
                  <w:left w:w="284" w:type="dxa"/>
                  <w:right w:w="284" w:type="dxa"/>
                </w:tcMar>
              </w:tcPr>
              <w:p w14:paraId="0EDBA54D" w14:textId="77777777" w:rsidR="00E858CF" w:rsidRPr="00FF027F" w:rsidRDefault="00236FD6" w:rsidP="00E858CF">
                <w:pPr>
                  <w:keepNext/>
                  <w:spacing w:before="120" w:after="120" w:line="240" w:lineRule="auto"/>
                  <w:rPr>
                    <w:rFonts w:eastAsia="Times New Roman" w:cs="Times New Roman"/>
                    <w:i/>
                    <w:lang w:val="en-GB" w:eastAsia="en-GB"/>
                  </w:rPr>
                </w:pPr>
                <w:r w:rsidRPr="00FF027F">
                  <w:rPr>
                    <w:rFonts w:eastAsia="Times New Roman" w:cs="Times New Roman"/>
                    <w:i/>
                    <w:lang w:val="en-GB" w:eastAsia="en-GB"/>
                  </w:rPr>
                  <w:t>Not applicable.</w:t>
                </w:r>
              </w:p>
            </w:tc>
            <w:tc>
              <w:tcPr>
                <w:tcW w:w="3317" w:type="dxa"/>
                <w:tcMar>
                  <w:left w:w="284" w:type="dxa"/>
                  <w:right w:w="284" w:type="dxa"/>
                </w:tcMar>
              </w:tcPr>
              <w:p w14:paraId="1B613019" w14:textId="77777777" w:rsidR="00E858CF" w:rsidRPr="00FF027F" w:rsidRDefault="00E858CF" w:rsidP="00E858CF">
                <w:pPr>
                  <w:keepNext/>
                  <w:spacing w:before="120" w:after="120" w:line="240" w:lineRule="auto"/>
                  <w:rPr>
                    <w:rFonts w:eastAsia="Times New Roman" w:cs="Times New Roman"/>
                    <w:lang w:val="en-GB" w:eastAsia="en-GB"/>
                  </w:rPr>
                </w:pPr>
              </w:p>
            </w:tc>
          </w:tr>
        </w:tbl>
        <w:p w14:paraId="754705C2" w14:textId="77777777" w:rsidR="00E858CF" w:rsidRPr="00FF027F" w:rsidRDefault="00E858CF" w:rsidP="00E858CF">
          <w:pPr>
            <w:keepNext/>
            <w:spacing w:before="120" w:after="120" w:line="240" w:lineRule="auto"/>
            <w:rPr>
              <w:rFonts w:ascii="Times New Roman" w:eastAsia="Times New Roman" w:hAnsi="Times New Roman" w:cs="Times New Roman"/>
              <w:lang w:val="en-GB" w:eastAsia="en-GB"/>
            </w:rPr>
          </w:pPr>
        </w:p>
        <w:p w14:paraId="40B4E062" w14:textId="77777777" w:rsidR="00E858CF" w:rsidRPr="00FF027F" w:rsidRDefault="00E858CF" w:rsidP="004D65C7">
          <w:pPr>
            <w:pStyle w:val="11ptVerdanaBold"/>
            <w:spacing w:line="276" w:lineRule="auto"/>
            <w:jc w:val="both"/>
            <w:rPr>
              <w:rFonts w:asciiTheme="minorHAnsi" w:hAnsiTheme="minorHAnsi"/>
              <w:szCs w:val="22"/>
            </w:rPr>
          </w:pPr>
          <w:r w:rsidRPr="00FF027F">
            <w:rPr>
              <w:rFonts w:asciiTheme="minorHAnsi" w:hAnsiTheme="minorHAnsi"/>
              <w:szCs w:val="22"/>
            </w:rPr>
            <w:t>Building projects in planning phase</w:t>
          </w:r>
        </w:p>
        <w:p w14:paraId="54153FD9" w14:textId="77777777" w:rsidR="00405B1B" w:rsidRPr="00FF027F" w:rsidRDefault="00405B1B" w:rsidP="004D65C7">
          <w:pPr>
            <w:pStyle w:val="11ptVerdanaBold"/>
            <w:spacing w:line="276" w:lineRule="auto"/>
            <w:jc w:val="both"/>
            <w:rPr>
              <w:rFonts w:asciiTheme="minorHAnsi" w:hAnsiTheme="minorHAnsi"/>
              <w:b w:val="0"/>
              <w:szCs w:val="22"/>
            </w:rPr>
          </w:pPr>
        </w:p>
        <w:p w14:paraId="7610E1A5" w14:textId="6817AA67" w:rsidR="009B183D" w:rsidRPr="00FF027F" w:rsidRDefault="00C10EE0" w:rsidP="004D65C7">
          <w:pPr>
            <w:pStyle w:val="11ptVerdanaBold"/>
            <w:spacing w:line="276" w:lineRule="auto"/>
            <w:jc w:val="both"/>
            <w:rPr>
              <w:rFonts w:asciiTheme="minorHAnsi" w:hAnsiTheme="minorHAnsi"/>
              <w:b w:val="0"/>
              <w:szCs w:val="22"/>
            </w:rPr>
          </w:pPr>
          <w:r w:rsidRPr="00FF027F">
            <w:rPr>
              <w:rFonts w:asciiTheme="minorHAnsi" w:hAnsiTheme="minorHAnsi"/>
              <w:b w:val="0"/>
              <w:szCs w:val="22"/>
            </w:rPr>
            <w:t>The Agency plans to expa</w:t>
          </w:r>
          <w:r w:rsidR="00FF0A40" w:rsidRPr="00FF027F">
            <w:rPr>
              <w:rFonts w:asciiTheme="minorHAnsi" w:hAnsiTheme="minorHAnsi"/>
              <w:b w:val="0"/>
              <w:szCs w:val="22"/>
            </w:rPr>
            <w:t xml:space="preserve">nd a part of one floor. The occupancy </w:t>
          </w:r>
          <w:r w:rsidRPr="00FF027F">
            <w:rPr>
              <w:rFonts w:asciiTheme="minorHAnsi" w:hAnsiTheme="minorHAnsi"/>
              <w:b w:val="0"/>
              <w:szCs w:val="22"/>
            </w:rPr>
            <w:t xml:space="preserve">of the floor is at the moment shared with two other tenants </w:t>
          </w:r>
          <w:r w:rsidR="00FF0A40" w:rsidRPr="00FF027F">
            <w:rPr>
              <w:rFonts w:asciiTheme="minorHAnsi" w:hAnsiTheme="minorHAnsi"/>
              <w:b w:val="0"/>
              <w:szCs w:val="22"/>
            </w:rPr>
            <w:t>wh</w:t>
          </w:r>
          <w:r w:rsidRPr="00FF027F">
            <w:rPr>
              <w:rFonts w:asciiTheme="minorHAnsi" w:hAnsiTheme="minorHAnsi"/>
              <w:b w:val="0"/>
              <w:szCs w:val="22"/>
            </w:rPr>
            <w:t xml:space="preserve">o </w:t>
          </w:r>
          <w:r w:rsidR="00FF0A40" w:rsidRPr="00FF027F">
            <w:rPr>
              <w:rFonts w:asciiTheme="minorHAnsi" w:hAnsiTheme="minorHAnsi"/>
              <w:b w:val="0"/>
              <w:szCs w:val="22"/>
            </w:rPr>
            <w:t>will m</w:t>
          </w:r>
          <w:r w:rsidRPr="00FF027F">
            <w:rPr>
              <w:rFonts w:asciiTheme="minorHAnsi" w:hAnsiTheme="minorHAnsi"/>
              <w:b w:val="0"/>
              <w:szCs w:val="22"/>
            </w:rPr>
            <w:t>ove out in August 2015. The expa</w:t>
          </w:r>
          <w:r w:rsidR="00FF0A40" w:rsidRPr="00FF027F">
            <w:rPr>
              <w:rFonts w:asciiTheme="minorHAnsi" w:hAnsiTheme="minorHAnsi"/>
              <w:b w:val="0"/>
              <w:szCs w:val="22"/>
            </w:rPr>
            <w:t>nsion shall increase the rental area for 118.28 m2</w:t>
          </w:r>
          <w:r w:rsidR="009B183D" w:rsidRPr="00FF027F">
            <w:rPr>
              <w:rFonts w:asciiTheme="minorHAnsi" w:hAnsiTheme="minorHAnsi"/>
              <w:b w:val="0"/>
              <w:szCs w:val="22"/>
            </w:rPr>
            <w:t xml:space="preserve"> and provide additional seven (7) working places. </w:t>
          </w:r>
          <w:r w:rsidRPr="00FF027F">
            <w:rPr>
              <w:rFonts w:asciiTheme="minorHAnsi" w:hAnsiTheme="minorHAnsi"/>
              <w:b w:val="0"/>
              <w:szCs w:val="22"/>
            </w:rPr>
            <w:t>The expa</w:t>
          </w:r>
          <w:r w:rsidR="009B183D" w:rsidRPr="00FF027F">
            <w:rPr>
              <w:rFonts w:asciiTheme="minorHAnsi" w:hAnsiTheme="minorHAnsi"/>
              <w:b w:val="0"/>
              <w:szCs w:val="22"/>
            </w:rPr>
            <w:t xml:space="preserve">nsion will enable the Agency to have the floor for its sole use </w:t>
          </w:r>
          <w:r w:rsidRPr="00FF027F">
            <w:rPr>
              <w:rFonts w:asciiTheme="minorHAnsi" w:hAnsiTheme="minorHAnsi"/>
              <w:b w:val="0"/>
              <w:szCs w:val="22"/>
            </w:rPr>
            <w:t xml:space="preserve">which will </w:t>
          </w:r>
          <w:r w:rsidR="00405B1B" w:rsidRPr="00FF027F">
            <w:rPr>
              <w:rFonts w:asciiTheme="minorHAnsi" w:hAnsiTheme="minorHAnsi"/>
              <w:b w:val="0"/>
              <w:szCs w:val="22"/>
            </w:rPr>
            <w:t xml:space="preserve">enable it to </w:t>
          </w:r>
          <w:r w:rsidR="009B183D" w:rsidRPr="00FF027F">
            <w:rPr>
              <w:rFonts w:asciiTheme="minorHAnsi" w:hAnsiTheme="minorHAnsi"/>
              <w:b w:val="0"/>
              <w:szCs w:val="22"/>
            </w:rPr>
            <w:t xml:space="preserve">set up a proper reception area, in line with the security policy </w:t>
          </w:r>
          <w:r w:rsidRPr="00FF027F">
            <w:rPr>
              <w:rFonts w:asciiTheme="minorHAnsi" w:hAnsiTheme="minorHAnsi"/>
              <w:b w:val="0"/>
              <w:szCs w:val="22"/>
            </w:rPr>
            <w:t xml:space="preserve">of the Agency </w:t>
          </w:r>
          <w:r w:rsidR="00405B1B" w:rsidRPr="00FF027F">
            <w:rPr>
              <w:rFonts w:asciiTheme="minorHAnsi" w:hAnsiTheme="minorHAnsi"/>
              <w:b w:val="0"/>
              <w:szCs w:val="22"/>
            </w:rPr>
            <w:t>currently under development</w:t>
          </w:r>
          <w:r w:rsidR="009B183D" w:rsidRPr="00FF027F">
            <w:rPr>
              <w:rFonts w:asciiTheme="minorHAnsi" w:hAnsiTheme="minorHAnsi"/>
              <w:b w:val="0"/>
              <w:szCs w:val="22"/>
            </w:rPr>
            <w:t>.</w:t>
          </w:r>
          <w:r w:rsidR="003D0A98" w:rsidRPr="00FF027F">
            <w:rPr>
              <w:rFonts w:asciiTheme="minorHAnsi" w:hAnsiTheme="minorHAnsi"/>
              <w:b w:val="0"/>
              <w:szCs w:val="22"/>
            </w:rPr>
            <w:t xml:space="preserve"> The increase in rent due to the increase in the surface as well as the fitting out </w:t>
          </w:r>
          <w:r w:rsidRPr="00FF027F">
            <w:rPr>
              <w:rFonts w:asciiTheme="minorHAnsi" w:hAnsiTheme="minorHAnsi"/>
              <w:b w:val="0"/>
              <w:szCs w:val="22"/>
            </w:rPr>
            <w:t xml:space="preserve">costs </w:t>
          </w:r>
          <w:r w:rsidR="003D0A98" w:rsidRPr="00FF027F">
            <w:rPr>
              <w:rFonts w:asciiTheme="minorHAnsi" w:hAnsiTheme="minorHAnsi"/>
              <w:b w:val="0"/>
              <w:szCs w:val="22"/>
            </w:rPr>
            <w:t>of the area will have minor financial implications.</w:t>
          </w:r>
          <w:r w:rsidR="009B183D" w:rsidRPr="00FF027F">
            <w:rPr>
              <w:rFonts w:asciiTheme="minorHAnsi" w:hAnsiTheme="minorHAnsi"/>
              <w:b w:val="0"/>
              <w:szCs w:val="22"/>
            </w:rPr>
            <w:t xml:space="preserve"> </w:t>
          </w:r>
        </w:p>
        <w:p w14:paraId="6EF11BE3" w14:textId="77777777" w:rsidR="00405B1B" w:rsidRPr="00FF027F" w:rsidRDefault="00405B1B" w:rsidP="004D65C7">
          <w:pPr>
            <w:pStyle w:val="11ptVerdanaBold"/>
            <w:spacing w:line="276" w:lineRule="auto"/>
            <w:jc w:val="both"/>
            <w:rPr>
              <w:rFonts w:asciiTheme="minorHAnsi" w:hAnsiTheme="minorHAnsi"/>
              <w:szCs w:val="22"/>
            </w:rPr>
          </w:pPr>
        </w:p>
        <w:p w14:paraId="19283F1F" w14:textId="77777777" w:rsidR="00E858CF" w:rsidRPr="00FF027F" w:rsidRDefault="00E858CF" w:rsidP="004D65C7">
          <w:pPr>
            <w:pStyle w:val="11ptVerdanaBold"/>
            <w:spacing w:line="276" w:lineRule="auto"/>
            <w:jc w:val="both"/>
            <w:rPr>
              <w:rFonts w:asciiTheme="minorHAnsi" w:hAnsiTheme="minorHAnsi"/>
              <w:szCs w:val="22"/>
            </w:rPr>
          </w:pPr>
          <w:r w:rsidRPr="00FF027F">
            <w:rPr>
              <w:rFonts w:asciiTheme="minorHAnsi" w:hAnsiTheme="minorHAnsi"/>
              <w:szCs w:val="22"/>
            </w:rPr>
            <w:t>Building projects submitted to the European Parliament and the Council</w:t>
          </w:r>
        </w:p>
        <w:p w14:paraId="32C7D7F0" w14:textId="77777777" w:rsidR="00405B1B" w:rsidRPr="00FF027F" w:rsidRDefault="00405B1B" w:rsidP="004D65C7">
          <w:pPr>
            <w:pStyle w:val="11ptVerdanaBold"/>
            <w:spacing w:line="276" w:lineRule="auto"/>
            <w:jc w:val="both"/>
            <w:rPr>
              <w:rFonts w:asciiTheme="minorHAnsi" w:hAnsiTheme="minorHAnsi"/>
              <w:b w:val="0"/>
              <w:szCs w:val="22"/>
            </w:rPr>
          </w:pPr>
        </w:p>
        <w:p w14:paraId="380A3D76" w14:textId="2760D180" w:rsidR="00E858CF" w:rsidRPr="00FF027F" w:rsidRDefault="00EA5D86" w:rsidP="004D65C7">
          <w:pPr>
            <w:pStyle w:val="11ptVerdanaBold"/>
            <w:spacing w:line="276" w:lineRule="auto"/>
            <w:jc w:val="both"/>
            <w:rPr>
              <w:rFonts w:asciiTheme="minorHAnsi" w:hAnsiTheme="minorHAnsi"/>
              <w:b w:val="0"/>
              <w:szCs w:val="22"/>
            </w:rPr>
          </w:pPr>
          <w:r w:rsidRPr="00FF027F">
            <w:rPr>
              <w:rFonts w:asciiTheme="minorHAnsi" w:hAnsiTheme="minorHAnsi"/>
              <w:b w:val="0"/>
              <w:szCs w:val="22"/>
            </w:rPr>
            <w:t xml:space="preserve">There are no </w:t>
          </w:r>
          <w:r w:rsidR="00405B1B" w:rsidRPr="00FF027F">
            <w:rPr>
              <w:rFonts w:asciiTheme="minorHAnsi" w:hAnsiTheme="minorHAnsi"/>
              <w:b w:val="0"/>
              <w:szCs w:val="22"/>
            </w:rPr>
            <w:t>new building projects foreseen</w:t>
          </w:r>
          <w:r w:rsidRPr="00FF027F">
            <w:rPr>
              <w:rFonts w:asciiTheme="minorHAnsi" w:hAnsiTheme="minorHAnsi"/>
              <w:b w:val="0"/>
              <w:szCs w:val="22"/>
            </w:rPr>
            <w:t>.</w:t>
          </w:r>
        </w:p>
        <w:p w14:paraId="1107BCF1" w14:textId="77777777" w:rsidR="00571BDB" w:rsidRPr="00FF027F" w:rsidRDefault="00DF7B7F" w:rsidP="00A334C2">
          <w:pPr>
            <w:pStyle w:val="Heading1"/>
            <w:numPr>
              <w:ilvl w:val="0"/>
              <w:numId w:val="0"/>
            </w:numPr>
            <w:ind w:left="90"/>
          </w:pPr>
          <w:bookmarkStart w:id="146" w:name="_Toc396913827"/>
          <w:r w:rsidRPr="00FF027F">
            <w:t xml:space="preserve">Annex VI: </w:t>
          </w:r>
          <w:r w:rsidR="00571BDB" w:rsidRPr="00FF027F">
            <w:t>Privileges and immunities</w:t>
          </w:r>
          <w:bookmarkEnd w:id="146"/>
          <w:r w:rsidR="00571BDB" w:rsidRPr="00FF027F">
            <w:t xml:space="preserve"> </w:t>
          </w:r>
        </w:p>
        <w:p w14:paraId="7BDF512C" w14:textId="77777777" w:rsidR="00711631" w:rsidRPr="00FF027F" w:rsidRDefault="00711631" w:rsidP="00F005C9">
          <w:pPr>
            <w:autoSpaceDE w:val="0"/>
            <w:autoSpaceDN w:val="0"/>
            <w:adjustRightInd w:val="0"/>
            <w:jc w:val="both"/>
            <w:rPr>
              <w:rFonts w:cs="Calibri"/>
              <w:lang w:val="en-GB"/>
            </w:rPr>
          </w:pPr>
          <w:r w:rsidRPr="00FF027F">
            <w:rPr>
              <w:rFonts w:cs="Calibri"/>
              <w:lang w:val="en-GB"/>
            </w:rPr>
            <w:t>The Protocol on the Privileges and Immunities of the European Union</w:t>
          </w:r>
          <w:r w:rsidRPr="00FF027F">
            <w:rPr>
              <w:rFonts w:cs="Calibri"/>
              <w:b/>
              <w:lang w:val="en-GB"/>
            </w:rPr>
            <w:t xml:space="preserve"> </w:t>
          </w:r>
          <w:r w:rsidRPr="00FF027F">
            <w:rPr>
              <w:rFonts w:cs="Calibri"/>
              <w:lang w:val="en-GB"/>
            </w:rPr>
            <w:t>governs the status of the European Institutions and their staff in relation to the Member States. Thus, the protocol applies in full to the Agency and its staff.</w:t>
          </w:r>
        </w:p>
        <w:p w14:paraId="4139F839" w14:textId="038B497D" w:rsidR="00711631" w:rsidRPr="00FF027F" w:rsidRDefault="00711631" w:rsidP="00F005C9">
          <w:pPr>
            <w:autoSpaceDE w:val="0"/>
            <w:autoSpaceDN w:val="0"/>
            <w:adjustRightInd w:val="0"/>
            <w:jc w:val="both"/>
            <w:rPr>
              <w:rFonts w:cs="Calibri"/>
              <w:lang w:val="en-GB"/>
            </w:rPr>
          </w:pPr>
          <w:r w:rsidRPr="00FF027F">
            <w:rPr>
              <w:rFonts w:cs="Calibri"/>
              <w:lang w:val="en-GB"/>
            </w:rPr>
            <w:t>The relations between the Agency and its host state, as well as particular rules and privileges applicable to ACER staff in Slovenia, are governed by the Seat Agreement between the Slovenian Government and the Agency for the Cooperation of Energy Regulators of December 2010.</w:t>
          </w:r>
        </w:p>
        <w:p w14:paraId="1B885566" w14:textId="77777777" w:rsidR="000304DA" w:rsidRPr="00FF027F" w:rsidRDefault="00A221D7" w:rsidP="00A334C2">
          <w:pPr>
            <w:pStyle w:val="Heading1"/>
            <w:numPr>
              <w:ilvl w:val="0"/>
              <w:numId w:val="0"/>
            </w:numPr>
            <w:ind w:left="90"/>
          </w:pPr>
          <w:bookmarkStart w:id="147" w:name="_Toc396913828"/>
          <w:r w:rsidRPr="00FF027F">
            <w:t>ANNEX</w:t>
          </w:r>
          <w:r w:rsidR="001726B6" w:rsidRPr="00FF027F">
            <w:t xml:space="preserve"> V</w:t>
          </w:r>
          <w:r w:rsidR="00E858CF" w:rsidRPr="00FF027F">
            <w:t>I</w:t>
          </w:r>
          <w:r w:rsidR="00571BDB" w:rsidRPr="00FF027F">
            <w:t>I</w:t>
          </w:r>
          <w:r w:rsidR="00DF7B7F" w:rsidRPr="00FF027F">
            <w:t>:</w:t>
          </w:r>
          <w:r w:rsidR="001726B6" w:rsidRPr="00FF027F">
            <w:t xml:space="preserve"> </w:t>
          </w:r>
          <w:r w:rsidR="0059751D" w:rsidRPr="00FF027F">
            <w:t xml:space="preserve">2015 </w:t>
          </w:r>
          <w:r w:rsidR="00A334C2" w:rsidRPr="00FF027F">
            <w:t>INDICATIVE PROCUREMENT PLAN FOR OPERATIONAL ACTIVITIES</w:t>
          </w:r>
          <w:bookmarkEnd w:id="147"/>
          <w:r w:rsidR="00A334C2" w:rsidRPr="00FF027F">
            <w:t xml:space="preserve"> </w:t>
          </w:r>
        </w:p>
        <w:tbl>
          <w:tblPr>
            <w:tblStyle w:val="TableGrid8"/>
            <w:tblW w:w="9180" w:type="dxa"/>
            <w:tblLayout w:type="fixed"/>
            <w:tblLook w:val="04A0" w:firstRow="1" w:lastRow="0" w:firstColumn="1" w:lastColumn="0" w:noHBand="0" w:noVBand="1"/>
          </w:tblPr>
          <w:tblGrid>
            <w:gridCol w:w="4644"/>
            <w:gridCol w:w="1560"/>
            <w:gridCol w:w="1559"/>
            <w:gridCol w:w="1417"/>
          </w:tblGrid>
          <w:tr w:rsidR="00CF0630" w:rsidRPr="00FF027F" w14:paraId="45E8DC43" w14:textId="77777777" w:rsidTr="001D52DC">
            <w:trPr>
              <w:cnfStyle w:val="100000000000" w:firstRow="1" w:lastRow="0" w:firstColumn="0" w:lastColumn="0" w:oddVBand="0" w:evenVBand="0" w:oddHBand="0" w:evenHBand="0" w:firstRowFirstColumn="0" w:firstRowLastColumn="0" w:lastRowFirstColumn="0" w:lastRowLastColumn="0"/>
            </w:trPr>
            <w:tc>
              <w:tcPr>
                <w:tcW w:w="4644" w:type="dxa"/>
              </w:tcPr>
              <w:bookmarkEnd w:id="120"/>
              <w:bookmarkEnd w:id="121"/>
              <w:p w14:paraId="29591573" w14:textId="77777777" w:rsidR="00CF0630" w:rsidRPr="00FF027F" w:rsidRDefault="001D52DC" w:rsidP="001D52DC">
                <w:pPr>
                  <w:spacing w:line="240" w:lineRule="auto"/>
                  <w:jc w:val="left"/>
                  <w:rPr>
                    <w:rFonts w:ascii="Arial" w:eastAsiaTheme="minorHAnsi" w:hAnsi="Arial" w:cs="Arial"/>
                    <w:lang w:val="en-GB"/>
                  </w:rPr>
                </w:pPr>
                <w:r w:rsidRPr="00FF027F">
                  <w:rPr>
                    <w:rFonts w:ascii="Arial" w:eastAsiaTheme="minorHAnsi" w:hAnsi="Arial" w:cs="Arial"/>
                    <w:bCs w:val="0"/>
                    <w:color w:val="auto"/>
                    <w:lang w:val="en-GB" w:eastAsia="en-US"/>
                  </w:rPr>
                  <w:t>Activity</w:t>
                </w:r>
              </w:p>
            </w:tc>
            <w:tc>
              <w:tcPr>
                <w:tcW w:w="1560" w:type="dxa"/>
              </w:tcPr>
              <w:p w14:paraId="5998B08C" w14:textId="77777777" w:rsidR="00CF0630" w:rsidRPr="00FF027F" w:rsidRDefault="001D52DC" w:rsidP="00C43508">
                <w:pPr>
                  <w:spacing w:line="240" w:lineRule="auto"/>
                  <w:jc w:val="center"/>
                  <w:rPr>
                    <w:rFonts w:ascii="Arial" w:eastAsiaTheme="minorHAnsi" w:hAnsi="Arial" w:cs="Arial"/>
                    <w:lang w:val="en-GB"/>
                  </w:rPr>
                </w:pPr>
                <w:r w:rsidRPr="00FF027F">
                  <w:rPr>
                    <w:rFonts w:ascii="Arial" w:eastAsiaTheme="minorHAnsi" w:hAnsi="Arial" w:cs="Arial"/>
                    <w:bCs w:val="0"/>
                    <w:color w:val="auto"/>
                    <w:lang w:val="en-GB" w:eastAsia="en-US"/>
                  </w:rPr>
                  <w:t>Estimated value in Eur</w:t>
                </w:r>
                <w:r w:rsidR="00CF0630" w:rsidRPr="00FF027F">
                  <w:rPr>
                    <w:rFonts w:ascii="Arial" w:eastAsiaTheme="minorHAnsi" w:hAnsi="Arial" w:cs="Arial"/>
                    <w:bCs w:val="0"/>
                    <w:color w:val="auto"/>
                    <w:vertAlign w:val="superscript"/>
                    <w:lang w:val="en-GB" w:eastAsia="en-US"/>
                  </w:rPr>
                  <w:footnoteReference w:id="8"/>
                </w:r>
              </w:p>
            </w:tc>
            <w:tc>
              <w:tcPr>
                <w:tcW w:w="1559" w:type="dxa"/>
              </w:tcPr>
              <w:p w14:paraId="51B9C78B" w14:textId="77777777" w:rsidR="00CF0630" w:rsidRPr="00FF027F" w:rsidRDefault="001D52DC" w:rsidP="00C43508">
                <w:pPr>
                  <w:keepLines w:val="0"/>
                  <w:tabs>
                    <w:tab w:val="clear" w:pos="1985"/>
                    <w:tab w:val="clear" w:pos="5103"/>
                  </w:tabs>
                  <w:spacing w:line="240" w:lineRule="auto"/>
                  <w:jc w:val="center"/>
                  <w:rPr>
                    <w:rFonts w:ascii="Arial" w:eastAsiaTheme="minorHAnsi" w:hAnsi="Arial" w:cs="Arial"/>
                    <w:bCs w:val="0"/>
                    <w:color w:val="auto"/>
                    <w:lang w:val="en-GB" w:eastAsia="en-US"/>
                  </w:rPr>
                </w:pPr>
                <w:r w:rsidRPr="00FF027F">
                  <w:rPr>
                    <w:rFonts w:ascii="Arial" w:eastAsiaTheme="minorHAnsi" w:hAnsi="Arial" w:cs="Arial"/>
                    <w:bCs w:val="0"/>
                    <w:color w:val="auto"/>
                    <w:lang w:val="en-GB" w:eastAsia="en-US"/>
                  </w:rPr>
                  <w:t>Tentative number of contracts</w:t>
                </w:r>
                <w:r w:rsidR="00CF0630" w:rsidRPr="00FF027F">
                  <w:rPr>
                    <w:rFonts w:ascii="Arial" w:eastAsiaTheme="minorHAnsi" w:hAnsi="Arial" w:cs="Arial"/>
                    <w:bCs w:val="0"/>
                    <w:color w:val="auto"/>
                    <w:vertAlign w:val="superscript"/>
                    <w:lang w:val="en-GB" w:eastAsia="en-US"/>
                  </w:rPr>
                  <w:footnoteReference w:id="9"/>
                </w:r>
              </w:p>
            </w:tc>
            <w:tc>
              <w:tcPr>
                <w:tcW w:w="1417" w:type="dxa"/>
              </w:tcPr>
              <w:p w14:paraId="5F2913C9" w14:textId="77777777" w:rsidR="00CF0630" w:rsidRPr="00FF027F" w:rsidRDefault="001D52DC" w:rsidP="00C43508">
                <w:pPr>
                  <w:keepLines w:val="0"/>
                  <w:tabs>
                    <w:tab w:val="clear" w:pos="1985"/>
                    <w:tab w:val="clear" w:pos="5103"/>
                  </w:tabs>
                  <w:spacing w:line="240" w:lineRule="auto"/>
                  <w:jc w:val="center"/>
                  <w:rPr>
                    <w:rFonts w:ascii="Arial" w:eastAsiaTheme="minorHAnsi" w:hAnsi="Arial" w:cs="Arial"/>
                    <w:bCs w:val="0"/>
                    <w:color w:val="auto"/>
                    <w:lang w:val="en-GB" w:eastAsia="en-US"/>
                  </w:rPr>
                </w:pPr>
                <w:r w:rsidRPr="00FF027F">
                  <w:rPr>
                    <w:rFonts w:ascii="Arial" w:eastAsiaTheme="minorHAnsi" w:hAnsi="Arial" w:cs="Arial"/>
                    <w:bCs w:val="0"/>
                    <w:color w:val="auto"/>
                    <w:lang w:val="en-GB" w:eastAsia="en-US"/>
                  </w:rPr>
                  <w:t>Tentative timeframe</w:t>
                </w:r>
                <w:r w:rsidR="00CF0630" w:rsidRPr="00FF027F">
                  <w:rPr>
                    <w:rFonts w:ascii="Arial" w:eastAsiaTheme="minorHAnsi" w:hAnsi="Arial" w:cs="Arial"/>
                    <w:bCs w:val="0"/>
                    <w:color w:val="auto"/>
                    <w:vertAlign w:val="superscript"/>
                    <w:lang w:val="en-GB" w:eastAsia="en-US"/>
                  </w:rPr>
                  <w:footnoteReference w:id="10"/>
                </w:r>
              </w:p>
            </w:tc>
          </w:tr>
          <w:tr w:rsidR="00CF0630" w:rsidRPr="00FF027F" w14:paraId="0AB4382C" w14:textId="77777777" w:rsidTr="001D52DC">
            <w:tc>
              <w:tcPr>
                <w:tcW w:w="4644" w:type="dxa"/>
              </w:tcPr>
              <w:p w14:paraId="1156D2CE" w14:textId="77777777" w:rsidR="00CF0630" w:rsidRPr="00FF027F" w:rsidRDefault="00350B45" w:rsidP="001D52DC">
                <w:pPr>
                  <w:spacing w:line="240" w:lineRule="auto"/>
                  <w:jc w:val="left"/>
                  <w:rPr>
                    <w:rFonts w:ascii="Arial" w:eastAsiaTheme="minorHAnsi" w:hAnsi="Arial" w:cs="Arial"/>
                    <w:lang w:val="en-GB"/>
                  </w:rPr>
                </w:pPr>
                <w:r w:rsidRPr="00FF027F">
                  <w:rPr>
                    <w:rFonts w:ascii="Arial" w:eastAsiaTheme="minorHAnsi" w:hAnsi="Arial" w:cs="Arial"/>
                    <w:lang w:val="en-GB"/>
                  </w:rPr>
                  <w:t>Web application development, software maintenance and remote support to stakeholder services</w:t>
                </w:r>
              </w:p>
            </w:tc>
            <w:tc>
              <w:tcPr>
                <w:tcW w:w="1560" w:type="dxa"/>
              </w:tcPr>
              <w:p w14:paraId="4AE1E1DB" w14:textId="77777777" w:rsidR="00CF0630" w:rsidRPr="00FF027F" w:rsidRDefault="00A94FD9" w:rsidP="00C43508">
                <w:pPr>
                  <w:spacing w:line="240" w:lineRule="auto"/>
                  <w:jc w:val="right"/>
                  <w:rPr>
                    <w:rFonts w:ascii="Arial" w:eastAsiaTheme="minorHAnsi" w:hAnsi="Arial" w:cs="Arial"/>
                    <w:lang w:val="en-GB"/>
                  </w:rPr>
                </w:pPr>
                <w:r w:rsidRPr="00FF027F">
                  <w:rPr>
                    <w:rFonts w:ascii="Arial" w:eastAsiaTheme="minorHAnsi" w:hAnsi="Arial" w:cs="Arial"/>
                    <w:lang w:val="en-GB"/>
                  </w:rPr>
                  <w:t>750,000</w:t>
                </w:r>
              </w:p>
            </w:tc>
            <w:tc>
              <w:tcPr>
                <w:tcW w:w="1559" w:type="dxa"/>
              </w:tcPr>
              <w:p w14:paraId="56A2712A" w14:textId="77777777" w:rsidR="00CF0630" w:rsidRPr="00FF027F" w:rsidRDefault="00A94FD9" w:rsidP="00C43508">
                <w:pPr>
                  <w:spacing w:line="240" w:lineRule="auto"/>
                  <w:jc w:val="center"/>
                  <w:rPr>
                    <w:rFonts w:ascii="Arial" w:eastAsiaTheme="minorHAnsi" w:hAnsi="Arial" w:cs="Arial"/>
                    <w:lang w:val="en-GB"/>
                  </w:rPr>
                </w:pPr>
                <w:r w:rsidRPr="00FF027F">
                  <w:rPr>
                    <w:rFonts w:ascii="Arial" w:eastAsiaTheme="minorHAnsi" w:hAnsi="Arial" w:cs="Arial"/>
                    <w:lang w:val="en-GB"/>
                  </w:rPr>
                  <w:t>2</w:t>
                </w:r>
              </w:p>
            </w:tc>
            <w:tc>
              <w:tcPr>
                <w:tcW w:w="1417" w:type="dxa"/>
              </w:tcPr>
              <w:p w14:paraId="30DC3399" w14:textId="77777777" w:rsidR="00CF0630" w:rsidRPr="00FF027F" w:rsidRDefault="00A94FD9" w:rsidP="00A7197C">
                <w:pPr>
                  <w:spacing w:line="240" w:lineRule="auto"/>
                  <w:jc w:val="center"/>
                  <w:rPr>
                    <w:rFonts w:ascii="Arial" w:eastAsiaTheme="minorHAnsi" w:hAnsi="Arial" w:cs="Arial"/>
                    <w:lang w:val="en-GB"/>
                  </w:rPr>
                </w:pPr>
                <w:r w:rsidRPr="00FF027F">
                  <w:rPr>
                    <w:rFonts w:ascii="Arial" w:eastAsiaTheme="minorHAnsi" w:hAnsi="Arial" w:cs="Arial"/>
                    <w:lang w:val="en-GB"/>
                  </w:rPr>
                  <w:t>Q2-Q4</w:t>
                </w:r>
              </w:p>
            </w:tc>
          </w:tr>
          <w:tr w:rsidR="00CF0630" w:rsidRPr="00FF027F" w14:paraId="6AA43FC6" w14:textId="77777777" w:rsidTr="001D52DC">
            <w:tc>
              <w:tcPr>
                <w:tcW w:w="4644" w:type="dxa"/>
              </w:tcPr>
              <w:p w14:paraId="3EDB9D51" w14:textId="77777777" w:rsidR="00CF0630" w:rsidRPr="00FF027F" w:rsidRDefault="00350B45" w:rsidP="00A94FD9">
                <w:pPr>
                  <w:spacing w:line="240" w:lineRule="auto"/>
                  <w:jc w:val="left"/>
                  <w:rPr>
                    <w:rFonts w:ascii="Arial" w:eastAsiaTheme="minorHAnsi" w:hAnsi="Arial" w:cs="Arial"/>
                    <w:lang w:val="en-GB"/>
                  </w:rPr>
                </w:pPr>
                <w:r w:rsidRPr="00FF027F">
                  <w:rPr>
                    <w:rFonts w:ascii="Arial" w:eastAsiaTheme="minorHAnsi" w:hAnsi="Arial" w:cs="Arial"/>
                    <w:lang w:val="en-GB"/>
                  </w:rPr>
                  <w:t xml:space="preserve">IT </w:t>
                </w:r>
                <w:r w:rsidR="00A94FD9" w:rsidRPr="00FF027F">
                  <w:rPr>
                    <w:rFonts w:ascii="Arial" w:eastAsiaTheme="minorHAnsi" w:hAnsi="Arial" w:cs="Arial"/>
                    <w:lang w:val="en-GB"/>
                  </w:rPr>
                  <w:t xml:space="preserve">infrastructure hosting services for </w:t>
                </w:r>
                <w:r w:rsidRPr="00FF027F">
                  <w:rPr>
                    <w:rFonts w:ascii="Arial" w:eastAsiaTheme="minorHAnsi" w:hAnsi="Arial" w:cs="Arial"/>
                    <w:lang w:val="en-GB"/>
                  </w:rPr>
                  <w:t>the Agency</w:t>
                </w:r>
              </w:p>
            </w:tc>
            <w:tc>
              <w:tcPr>
                <w:tcW w:w="1560" w:type="dxa"/>
              </w:tcPr>
              <w:p w14:paraId="0A2F0226" w14:textId="77777777" w:rsidR="00CF0630" w:rsidRPr="00FF027F" w:rsidRDefault="00A94FD9" w:rsidP="00C43508">
                <w:pPr>
                  <w:spacing w:line="240" w:lineRule="auto"/>
                  <w:jc w:val="right"/>
                  <w:rPr>
                    <w:rFonts w:ascii="Arial" w:eastAsiaTheme="minorHAnsi" w:hAnsi="Arial" w:cs="Arial"/>
                    <w:lang w:val="en-GB"/>
                  </w:rPr>
                </w:pPr>
                <w:r w:rsidRPr="00FF027F">
                  <w:rPr>
                    <w:rFonts w:ascii="Arial" w:eastAsiaTheme="minorHAnsi" w:hAnsi="Arial" w:cs="Arial"/>
                    <w:lang w:val="en-GB"/>
                  </w:rPr>
                  <w:t>280,000</w:t>
                </w:r>
              </w:p>
            </w:tc>
            <w:tc>
              <w:tcPr>
                <w:tcW w:w="1559" w:type="dxa"/>
              </w:tcPr>
              <w:p w14:paraId="4872177D" w14:textId="77777777" w:rsidR="00CF0630" w:rsidRPr="00FF027F" w:rsidRDefault="00A94FD9" w:rsidP="00C43508">
                <w:pPr>
                  <w:spacing w:line="240" w:lineRule="auto"/>
                  <w:jc w:val="center"/>
                  <w:rPr>
                    <w:rFonts w:ascii="Arial" w:eastAsiaTheme="minorHAnsi" w:hAnsi="Arial" w:cs="Arial"/>
                    <w:lang w:val="en-GB"/>
                  </w:rPr>
                </w:pPr>
                <w:r w:rsidRPr="00FF027F">
                  <w:rPr>
                    <w:rFonts w:ascii="Arial" w:eastAsiaTheme="minorHAnsi" w:hAnsi="Arial" w:cs="Arial"/>
                    <w:lang w:val="en-GB"/>
                  </w:rPr>
                  <w:t>2</w:t>
                </w:r>
              </w:p>
            </w:tc>
            <w:tc>
              <w:tcPr>
                <w:tcW w:w="1417" w:type="dxa"/>
              </w:tcPr>
              <w:p w14:paraId="5BFBEC47" w14:textId="77777777" w:rsidR="00CF0630" w:rsidRPr="00FF027F" w:rsidRDefault="00A94FD9" w:rsidP="00A7197C">
                <w:pPr>
                  <w:spacing w:line="240" w:lineRule="auto"/>
                  <w:jc w:val="center"/>
                  <w:rPr>
                    <w:rFonts w:ascii="Arial" w:eastAsiaTheme="minorHAnsi" w:hAnsi="Arial" w:cs="Arial"/>
                    <w:lang w:val="en-GB"/>
                  </w:rPr>
                </w:pPr>
                <w:r w:rsidRPr="00FF027F">
                  <w:rPr>
                    <w:rFonts w:ascii="Arial" w:eastAsiaTheme="minorHAnsi" w:hAnsi="Arial" w:cs="Arial"/>
                    <w:lang w:val="en-GB"/>
                  </w:rPr>
                  <w:t>Q2-Q4</w:t>
                </w:r>
              </w:p>
            </w:tc>
          </w:tr>
          <w:tr w:rsidR="00A94FD9" w:rsidRPr="00FF027F" w14:paraId="3095B650" w14:textId="77777777" w:rsidTr="001D52DC">
            <w:tc>
              <w:tcPr>
                <w:tcW w:w="4644" w:type="dxa"/>
              </w:tcPr>
              <w:p w14:paraId="3A2F82EB" w14:textId="77777777" w:rsidR="00A94FD9" w:rsidRPr="00FF027F" w:rsidRDefault="00A94FD9" w:rsidP="001D52DC">
                <w:pPr>
                  <w:spacing w:line="240" w:lineRule="auto"/>
                  <w:jc w:val="left"/>
                  <w:rPr>
                    <w:rFonts w:ascii="Arial" w:eastAsiaTheme="minorHAnsi" w:hAnsi="Arial" w:cs="Arial"/>
                    <w:lang w:val="en-GB"/>
                  </w:rPr>
                </w:pPr>
                <w:r w:rsidRPr="00FF027F">
                  <w:rPr>
                    <w:rFonts w:ascii="Arial" w:eastAsiaTheme="minorHAnsi" w:hAnsi="Arial" w:cs="Arial"/>
                    <w:lang w:val="en-GB"/>
                  </w:rPr>
                  <w:t>IT consultancy services for the implementation of the Agency’s REMIT Information System (ARIS)</w:t>
                </w:r>
              </w:p>
            </w:tc>
            <w:tc>
              <w:tcPr>
                <w:tcW w:w="1560" w:type="dxa"/>
              </w:tcPr>
              <w:p w14:paraId="4BBE521A" w14:textId="77777777" w:rsidR="00A94FD9" w:rsidRPr="00FF027F" w:rsidRDefault="00ED1E7A" w:rsidP="00C43508">
                <w:pPr>
                  <w:spacing w:line="240" w:lineRule="auto"/>
                  <w:jc w:val="right"/>
                  <w:rPr>
                    <w:rFonts w:ascii="Arial" w:eastAsiaTheme="minorHAnsi" w:hAnsi="Arial" w:cs="Arial"/>
                    <w:lang w:val="en-GB"/>
                  </w:rPr>
                </w:pPr>
                <w:r w:rsidRPr="00FF027F">
                  <w:rPr>
                    <w:rFonts w:ascii="Arial" w:eastAsiaTheme="minorHAnsi" w:hAnsi="Arial" w:cs="Arial"/>
                    <w:lang w:val="en-GB"/>
                  </w:rPr>
                  <w:t>3</w:t>
                </w:r>
                <w:r w:rsidR="00A94FD9" w:rsidRPr="00FF027F">
                  <w:rPr>
                    <w:rFonts w:ascii="Arial" w:eastAsiaTheme="minorHAnsi" w:hAnsi="Arial" w:cs="Arial"/>
                    <w:lang w:val="en-GB"/>
                  </w:rPr>
                  <w:t>00,000</w:t>
                </w:r>
              </w:p>
            </w:tc>
            <w:tc>
              <w:tcPr>
                <w:tcW w:w="1559" w:type="dxa"/>
              </w:tcPr>
              <w:p w14:paraId="5F609C64" w14:textId="77777777" w:rsidR="00A94FD9" w:rsidRPr="00FF027F" w:rsidRDefault="00A94FD9" w:rsidP="00C43508">
                <w:pPr>
                  <w:spacing w:line="240" w:lineRule="auto"/>
                  <w:jc w:val="center"/>
                  <w:rPr>
                    <w:rFonts w:ascii="Arial" w:eastAsiaTheme="minorHAnsi" w:hAnsi="Arial" w:cs="Arial"/>
                    <w:lang w:val="en-GB"/>
                  </w:rPr>
                </w:pPr>
                <w:r w:rsidRPr="00FF027F">
                  <w:rPr>
                    <w:rFonts w:ascii="Arial" w:eastAsiaTheme="minorHAnsi" w:hAnsi="Arial" w:cs="Arial"/>
                    <w:lang w:val="en-GB"/>
                  </w:rPr>
                  <w:t>2</w:t>
                </w:r>
              </w:p>
            </w:tc>
            <w:tc>
              <w:tcPr>
                <w:tcW w:w="1417" w:type="dxa"/>
              </w:tcPr>
              <w:p w14:paraId="185C8637" w14:textId="77777777" w:rsidR="00A94FD9" w:rsidRPr="00FF027F" w:rsidRDefault="00A94FD9" w:rsidP="00C43508">
                <w:pPr>
                  <w:spacing w:line="240" w:lineRule="auto"/>
                  <w:jc w:val="center"/>
                  <w:rPr>
                    <w:rFonts w:ascii="Arial" w:eastAsiaTheme="minorHAnsi" w:hAnsi="Arial" w:cs="Arial"/>
                    <w:lang w:val="en-GB"/>
                  </w:rPr>
                </w:pPr>
                <w:r w:rsidRPr="00FF027F">
                  <w:rPr>
                    <w:rFonts w:ascii="Arial" w:eastAsiaTheme="minorHAnsi" w:hAnsi="Arial" w:cs="Arial"/>
                    <w:lang w:val="en-GB"/>
                  </w:rPr>
                  <w:t>Q2-Q4</w:t>
                </w:r>
              </w:p>
            </w:tc>
          </w:tr>
          <w:tr w:rsidR="00A94FD9" w:rsidRPr="00FF027F" w14:paraId="6DE30A90" w14:textId="77777777" w:rsidTr="001D52DC">
            <w:tc>
              <w:tcPr>
                <w:tcW w:w="4644" w:type="dxa"/>
              </w:tcPr>
              <w:p w14:paraId="7A7FD5BA" w14:textId="77777777" w:rsidR="00A94FD9" w:rsidRPr="00FF027F" w:rsidRDefault="00A94FD9" w:rsidP="001D52DC">
                <w:pPr>
                  <w:spacing w:line="240" w:lineRule="auto"/>
                  <w:jc w:val="left"/>
                  <w:rPr>
                    <w:rFonts w:ascii="Arial" w:eastAsiaTheme="minorHAnsi" w:hAnsi="Arial" w:cs="Arial"/>
                    <w:lang w:val="en-GB"/>
                  </w:rPr>
                </w:pPr>
                <w:r w:rsidRPr="00FF027F">
                  <w:rPr>
                    <w:rFonts w:ascii="Arial" w:eastAsiaTheme="minorHAnsi" w:hAnsi="Arial" w:cs="Arial"/>
                    <w:lang w:val="en-GB"/>
                  </w:rPr>
                  <w:t>Market monitoring system for the Agency's REMIT information system (ARIS)</w:t>
                </w:r>
              </w:p>
            </w:tc>
            <w:tc>
              <w:tcPr>
                <w:tcW w:w="1560" w:type="dxa"/>
              </w:tcPr>
              <w:p w14:paraId="15374964" w14:textId="77777777" w:rsidR="00A94FD9" w:rsidRPr="00FF027F" w:rsidRDefault="00A94FD9" w:rsidP="00C43508">
                <w:pPr>
                  <w:spacing w:line="240" w:lineRule="auto"/>
                  <w:jc w:val="right"/>
                  <w:rPr>
                    <w:rFonts w:ascii="Arial" w:eastAsiaTheme="minorHAnsi" w:hAnsi="Arial" w:cs="Arial"/>
                    <w:lang w:val="en-GB"/>
                  </w:rPr>
                </w:pPr>
                <w:r w:rsidRPr="00FF027F">
                  <w:rPr>
                    <w:rFonts w:ascii="Arial" w:eastAsiaTheme="minorHAnsi" w:hAnsi="Arial" w:cs="Arial"/>
                    <w:lang w:val="en-GB"/>
                  </w:rPr>
                  <w:t>500,000</w:t>
                </w:r>
              </w:p>
            </w:tc>
            <w:tc>
              <w:tcPr>
                <w:tcW w:w="1559" w:type="dxa"/>
              </w:tcPr>
              <w:p w14:paraId="05074EE2" w14:textId="77777777" w:rsidR="00A94FD9" w:rsidRPr="00FF027F" w:rsidRDefault="00A94FD9" w:rsidP="00C43508">
                <w:pPr>
                  <w:spacing w:line="240" w:lineRule="auto"/>
                  <w:jc w:val="center"/>
                  <w:rPr>
                    <w:rFonts w:ascii="Arial" w:eastAsiaTheme="minorHAnsi" w:hAnsi="Arial" w:cs="Arial"/>
                    <w:lang w:val="en-GB"/>
                  </w:rPr>
                </w:pPr>
                <w:r w:rsidRPr="00FF027F">
                  <w:rPr>
                    <w:rFonts w:ascii="Arial" w:eastAsiaTheme="minorHAnsi" w:hAnsi="Arial" w:cs="Arial"/>
                    <w:lang w:val="en-GB"/>
                  </w:rPr>
                  <w:t>2</w:t>
                </w:r>
              </w:p>
            </w:tc>
            <w:tc>
              <w:tcPr>
                <w:tcW w:w="1417" w:type="dxa"/>
              </w:tcPr>
              <w:p w14:paraId="0469E782" w14:textId="77777777" w:rsidR="00A94FD9" w:rsidRPr="00FF027F" w:rsidRDefault="00A94FD9" w:rsidP="00A7197C">
                <w:pPr>
                  <w:spacing w:line="240" w:lineRule="auto"/>
                  <w:jc w:val="center"/>
                  <w:rPr>
                    <w:rFonts w:ascii="Arial" w:eastAsiaTheme="minorHAnsi" w:hAnsi="Arial" w:cs="Arial"/>
                    <w:lang w:val="en-GB"/>
                  </w:rPr>
                </w:pPr>
                <w:r w:rsidRPr="00FF027F">
                  <w:rPr>
                    <w:rFonts w:ascii="Arial" w:eastAsiaTheme="minorHAnsi" w:hAnsi="Arial" w:cs="Arial"/>
                    <w:lang w:val="en-GB"/>
                  </w:rPr>
                  <w:t>Q2-Q4</w:t>
                </w:r>
              </w:p>
            </w:tc>
          </w:tr>
          <w:tr w:rsidR="00A94FD9" w:rsidRPr="00FF027F" w14:paraId="6B27E55C" w14:textId="77777777" w:rsidTr="00A7197C">
            <w:tc>
              <w:tcPr>
                <w:tcW w:w="4644" w:type="dxa"/>
              </w:tcPr>
              <w:p w14:paraId="3A193A30" w14:textId="77777777" w:rsidR="00A94FD9" w:rsidRPr="00FF027F" w:rsidRDefault="00A94FD9" w:rsidP="00A7197C">
                <w:pPr>
                  <w:spacing w:line="240" w:lineRule="auto"/>
                  <w:rPr>
                    <w:rFonts w:ascii="Arial" w:hAnsi="Arial" w:cs="Arial"/>
                    <w:bCs/>
                    <w:color w:val="000000"/>
                    <w:lang w:val="en-GB" w:eastAsia="en-IE"/>
                  </w:rPr>
                </w:pPr>
                <w:r w:rsidRPr="00FF027F">
                  <w:rPr>
                    <w:rFonts w:ascii="Arial" w:hAnsi="Arial" w:cs="Arial"/>
                    <w:bCs/>
                    <w:color w:val="000000"/>
                    <w:lang w:val="en-GB" w:eastAsia="en-IE"/>
                  </w:rPr>
                  <w:t>Oracle software licences and associated services</w:t>
                </w:r>
              </w:p>
            </w:tc>
            <w:tc>
              <w:tcPr>
                <w:tcW w:w="1560" w:type="dxa"/>
              </w:tcPr>
              <w:p w14:paraId="74DA1149" w14:textId="77777777" w:rsidR="00A94FD9" w:rsidRPr="00FF027F" w:rsidRDefault="00A94FD9" w:rsidP="00A7197C">
                <w:pPr>
                  <w:spacing w:line="240" w:lineRule="auto"/>
                  <w:jc w:val="right"/>
                  <w:rPr>
                    <w:rFonts w:ascii="Arial" w:hAnsi="Arial" w:cs="Arial"/>
                    <w:lang w:val="en-GB"/>
                  </w:rPr>
                </w:pPr>
                <w:r w:rsidRPr="00FF027F">
                  <w:rPr>
                    <w:rFonts w:ascii="Arial" w:hAnsi="Arial" w:cs="Arial"/>
                    <w:lang w:val="en-GB"/>
                  </w:rPr>
                  <w:t>200,000</w:t>
                </w:r>
              </w:p>
            </w:tc>
            <w:tc>
              <w:tcPr>
                <w:tcW w:w="1559" w:type="dxa"/>
              </w:tcPr>
              <w:p w14:paraId="6CD61328" w14:textId="77777777" w:rsidR="00A94FD9" w:rsidRPr="00FF027F" w:rsidRDefault="00A94FD9" w:rsidP="00A7197C">
                <w:pPr>
                  <w:spacing w:line="240" w:lineRule="auto"/>
                  <w:jc w:val="center"/>
                  <w:rPr>
                    <w:rFonts w:ascii="Arial" w:hAnsi="Arial" w:cs="Arial"/>
                    <w:lang w:val="en-GB"/>
                  </w:rPr>
                </w:pPr>
                <w:r w:rsidRPr="00FF027F">
                  <w:rPr>
                    <w:rFonts w:ascii="Arial" w:hAnsi="Arial" w:cs="Arial"/>
                    <w:lang w:val="en-GB"/>
                  </w:rPr>
                  <w:t>1</w:t>
                </w:r>
              </w:p>
            </w:tc>
            <w:tc>
              <w:tcPr>
                <w:tcW w:w="1417" w:type="dxa"/>
              </w:tcPr>
              <w:p w14:paraId="6BA9C643" w14:textId="77777777" w:rsidR="00A94FD9" w:rsidRPr="00FF027F" w:rsidRDefault="00A94FD9" w:rsidP="00A7197C">
                <w:pPr>
                  <w:spacing w:line="240" w:lineRule="auto"/>
                  <w:jc w:val="center"/>
                  <w:rPr>
                    <w:rFonts w:ascii="Arial" w:hAnsi="Arial" w:cs="Arial"/>
                    <w:lang w:val="en-GB"/>
                  </w:rPr>
                </w:pPr>
                <w:r w:rsidRPr="00FF027F">
                  <w:rPr>
                    <w:rFonts w:ascii="Arial" w:eastAsiaTheme="minorHAnsi" w:hAnsi="Arial" w:cs="Arial"/>
                    <w:lang w:val="en-GB"/>
                  </w:rPr>
                  <w:t>Q2-Q4</w:t>
                </w:r>
              </w:p>
            </w:tc>
          </w:tr>
          <w:tr w:rsidR="00A94FD9" w:rsidRPr="00FF027F" w14:paraId="374DCB1A" w14:textId="77777777" w:rsidTr="00A7197C">
            <w:tc>
              <w:tcPr>
                <w:tcW w:w="4644" w:type="dxa"/>
              </w:tcPr>
              <w:p w14:paraId="7496DF59" w14:textId="77777777" w:rsidR="00A94FD9" w:rsidRPr="00FF027F" w:rsidRDefault="00A94FD9" w:rsidP="004C7F9D">
                <w:pPr>
                  <w:spacing w:line="240" w:lineRule="auto"/>
                  <w:jc w:val="left"/>
                  <w:rPr>
                    <w:rFonts w:ascii="Arial" w:eastAsiaTheme="minorHAnsi" w:hAnsi="Arial" w:cs="Arial"/>
                    <w:bCs/>
                    <w:color w:val="000000"/>
                    <w:lang w:val="en-GB" w:eastAsia="en-IE"/>
                  </w:rPr>
                </w:pPr>
                <w:r w:rsidRPr="00FF027F">
                  <w:rPr>
                    <w:rFonts w:ascii="Arial" w:hAnsi="Arial" w:cs="Arial"/>
                    <w:lang w:val="en-GB"/>
                  </w:rPr>
                  <w:t>Provision of legal assistance in the field of energy regulation for the Agency</w:t>
                </w:r>
              </w:p>
            </w:tc>
            <w:tc>
              <w:tcPr>
                <w:tcW w:w="1560" w:type="dxa"/>
              </w:tcPr>
              <w:p w14:paraId="5B034CF2" w14:textId="77777777" w:rsidR="00A94FD9" w:rsidRPr="00FF027F" w:rsidRDefault="002540BE" w:rsidP="00A7197C">
                <w:pPr>
                  <w:spacing w:line="240" w:lineRule="auto"/>
                  <w:jc w:val="right"/>
                  <w:rPr>
                    <w:rFonts w:ascii="Arial" w:eastAsiaTheme="minorHAnsi" w:hAnsi="Arial" w:cs="Arial"/>
                    <w:lang w:val="en-GB"/>
                  </w:rPr>
                </w:pPr>
                <w:r w:rsidRPr="00FF027F">
                  <w:rPr>
                    <w:rFonts w:ascii="Arial" w:eastAsiaTheme="minorHAnsi" w:hAnsi="Arial" w:cs="Arial"/>
                    <w:lang w:val="en-GB"/>
                  </w:rPr>
                  <w:t>60,000</w:t>
                </w:r>
              </w:p>
            </w:tc>
            <w:tc>
              <w:tcPr>
                <w:tcW w:w="1559" w:type="dxa"/>
              </w:tcPr>
              <w:p w14:paraId="28ABC43F" w14:textId="77777777" w:rsidR="00A94FD9" w:rsidRPr="00FF027F" w:rsidRDefault="002540BE" w:rsidP="00A7197C">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Pr>
              <w:p w14:paraId="609460AE" w14:textId="77777777" w:rsidR="00A94FD9" w:rsidRPr="00FF027F" w:rsidRDefault="002540BE" w:rsidP="00A7197C">
                <w:pPr>
                  <w:spacing w:line="240" w:lineRule="auto"/>
                  <w:jc w:val="center"/>
                  <w:rPr>
                    <w:rFonts w:ascii="Arial" w:eastAsiaTheme="minorHAnsi" w:hAnsi="Arial" w:cs="Arial"/>
                    <w:lang w:val="en-GB"/>
                  </w:rPr>
                </w:pPr>
                <w:r w:rsidRPr="00FF027F">
                  <w:rPr>
                    <w:rFonts w:ascii="Arial" w:hAnsi="Arial" w:cs="Arial"/>
                    <w:lang w:val="en-GB"/>
                  </w:rPr>
                  <w:t>Q1-Q4</w:t>
                </w:r>
              </w:p>
            </w:tc>
          </w:tr>
          <w:tr w:rsidR="00A94FD9" w:rsidRPr="00FF027F" w14:paraId="046B8A8D" w14:textId="77777777" w:rsidTr="00A7197C">
            <w:tc>
              <w:tcPr>
                <w:tcW w:w="4644" w:type="dxa"/>
              </w:tcPr>
              <w:p w14:paraId="3E7580C2" w14:textId="77777777" w:rsidR="00A94FD9" w:rsidRPr="00FF027F" w:rsidRDefault="00A94FD9" w:rsidP="00350B45">
                <w:pPr>
                  <w:spacing w:line="240" w:lineRule="auto"/>
                  <w:jc w:val="left"/>
                  <w:rPr>
                    <w:rFonts w:ascii="Arial" w:eastAsiaTheme="minorHAnsi" w:hAnsi="Arial" w:cs="Arial"/>
                    <w:bCs/>
                    <w:color w:val="000000"/>
                    <w:lang w:val="en-GB" w:eastAsia="en-IE"/>
                  </w:rPr>
                </w:pPr>
                <w:r w:rsidRPr="00FF027F">
                  <w:rPr>
                    <w:rFonts w:ascii="Arial" w:hAnsi="Arial" w:cs="Arial"/>
                    <w:lang w:val="en-GB"/>
                  </w:rPr>
                  <w:t>Provision of economic assistance in the field of energy regulation for the Agency</w:t>
                </w:r>
              </w:p>
            </w:tc>
            <w:tc>
              <w:tcPr>
                <w:tcW w:w="1560" w:type="dxa"/>
              </w:tcPr>
              <w:p w14:paraId="3CD963ED" w14:textId="77777777" w:rsidR="00A94FD9" w:rsidRPr="00FF027F" w:rsidRDefault="002540BE" w:rsidP="00A7197C">
                <w:pPr>
                  <w:spacing w:line="240" w:lineRule="auto"/>
                  <w:jc w:val="right"/>
                  <w:rPr>
                    <w:rFonts w:ascii="Arial" w:eastAsiaTheme="minorHAnsi" w:hAnsi="Arial" w:cs="Arial"/>
                    <w:lang w:val="en-GB"/>
                  </w:rPr>
                </w:pPr>
                <w:r w:rsidRPr="00FF027F">
                  <w:rPr>
                    <w:rFonts w:ascii="Arial" w:eastAsiaTheme="minorHAnsi" w:hAnsi="Arial" w:cs="Arial"/>
                    <w:lang w:val="en-GB"/>
                  </w:rPr>
                  <w:t>450,000</w:t>
                </w:r>
              </w:p>
            </w:tc>
            <w:tc>
              <w:tcPr>
                <w:tcW w:w="1559" w:type="dxa"/>
              </w:tcPr>
              <w:p w14:paraId="7ADB3F94" w14:textId="77777777" w:rsidR="00A94FD9" w:rsidRPr="00FF027F" w:rsidRDefault="002540BE" w:rsidP="00A7197C">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Pr>
              <w:p w14:paraId="482311B8" w14:textId="77777777" w:rsidR="00A94FD9" w:rsidRPr="00FF027F" w:rsidRDefault="002540BE" w:rsidP="00A7197C">
                <w:pPr>
                  <w:spacing w:line="240" w:lineRule="auto"/>
                  <w:jc w:val="center"/>
                  <w:rPr>
                    <w:rFonts w:ascii="Arial" w:eastAsiaTheme="minorHAnsi" w:hAnsi="Arial" w:cs="Arial"/>
                    <w:lang w:val="en-GB"/>
                  </w:rPr>
                </w:pPr>
                <w:r w:rsidRPr="00FF027F">
                  <w:rPr>
                    <w:rFonts w:ascii="Arial" w:hAnsi="Arial" w:cs="Arial"/>
                    <w:lang w:val="en-GB"/>
                  </w:rPr>
                  <w:t>Q1-Q4</w:t>
                </w:r>
              </w:p>
            </w:tc>
          </w:tr>
          <w:tr w:rsidR="00A94FD9" w:rsidRPr="00FF027F" w14:paraId="3D16F4EA" w14:textId="77777777" w:rsidTr="001D52DC">
            <w:tc>
              <w:tcPr>
                <w:tcW w:w="4644" w:type="dxa"/>
              </w:tcPr>
              <w:p w14:paraId="2CAEFA5F" w14:textId="77777777" w:rsidR="00A94FD9" w:rsidRPr="00FF027F" w:rsidRDefault="00A94FD9" w:rsidP="004C7F9D">
                <w:pPr>
                  <w:spacing w:line="240" w:lineRule="auto"/>
                  <w:jc w:val="left"/>
                  <w:rPr>
                    <w:rFonts w:ascii="Arial" w:eastAsiaTheme="minorHAnsi" w:hAnsi="Arial" w:cs="Arial"/>
                    <w:bCs/>
                    <w:color w:val="000000"/>
                    <w:lang w:val="en-GB" w:eastAsia="en-IE"/>
                  </w:rPr>
                </w:pPr>
                <w:r w:rsidRPr="00FF027F">
                  <w:rPr>
                    <w:rFonts w:ascii="Arial" w:eastAsiaTheme="minorHAnsi" w:hAnsi="Arial" w:cs="Arial"/>
                    <w:bCs/>
                    <w:color w:val="000000"/>
                    <w:lang w:val="en-GB" w:eastAsia="en-IE"/>
                  </w:rPr>
                  <w:t>Provision of technical assistance in the field of energy regulation for the Agency</w:t>
                </w:r>
              </w:p>
            </w:tc>
            <w:tc>
              <w:tcPr>
                <w:tcW w:w="1560" w:type="dxa"/>
              </w:tcPr>
              <w:p w14:paraId="4FC7DC5D" w14:textId="77777777" w:rsidR="00A94FD9" w:rsidRPr="00FF027F" w:rsidRDefault="002540BE" w:rsidP="00C43508">
                <w:pPr>
                  <w:spacing w:line="240" w:lineRule="auto"/>
                  <w:jc w:val="right"/>
                  <w:rPr>
                    <w:rFonts w:ascii="Arial" w:eastAsiaTheme="minorHAnsi" w:hAnsi="Arial" w:cs="Arial"/>
                    <w:lang w:val="en-GB"/>
                  </w:rPr>
                </w:pPr>
                <w:r w:rsidRPr="00FF027F">
                  <w:rPr>
                    <w:rFonts w:ascii="Arial" w:eastAsiaTheme="minorHAnsi" w:hAnsi="Arial" w:cs="Arial"/>
                    <w:lang w:val="en-GB"/>
                  </w:rPr>
                  <w:t>196,300</w:t>
                </w:r>
              </w:p>
            </w:tc>
            <w:tc>
              <w:tcPr>
                <w:tcW w:w="1559" w:type="dxa"/>
              </w:tcPr>
              <w:p w14:paraId="415DAB0F" w14:textId="77777777" w:rsidR="00A94FD9" w:rsidRPr="00FF027F" w:rsidRDefault="002540BE" w:rsidP="00C43508">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Pr>
              <w:p w14:paraId="41783F08" w14:textId="77777777" w:rsidR="00A94FD9" w:rsidRPr="00FF027F" w:rsidRDefault="002540BE" w:rsidP="00A7197C">
                <w:pPr>
                  <w:spacing w:line="240" w:lineRule="auto"/>
                  <w:jc w:val="center"/>
                  <w:rPr>
                    <w:rFonts w:ascii="Arial" w:eastAsiaTheme="minorHAnsi" w:hAnsi="Arial" w:cs="Arial"/>
                    <w:lang w:val="en-GB"/>
                  </w:rPr>
                </w:pPr>
                <w:r w:rsidRPr="00FF027F">
                  <w:rPr>
                    <w:rFonts w:ascii="Arial" w:hAnsi="Arial" w:cs="Arial"/>
                    <w:lang w:val="en-GB"/>
                  </w:rPr>
                  <w:t>Q1-Q4</w:t>
                </w:r>
              </w:p>
            </w:tc>
          </w:tr>
          <w:tr w:rsidR="002540BE" w:rsidRPr="00FF027F" w14:paraId="3A0A3560" w14:textId="77777777" w:rsidTr="001D52DC">
            <w:tc>
              <w:tcPr>
                <w:tcW w:w="4644" w:type="dxa"/>
              </w:tcPr>
              <w:p w14:paraId="34BE9B23" w14:textId="77777777" w:rsidR="002540BE" w:rsidRPr="00FF027F" w:rsidRDefault="002540BE" w:rsidP="00286366">
                <w:pPr>
                  <w:spacing w:line="240" w:lineRule="auto"/>
                  <w:jc w:val="left"/>
                  <w:rPr>
                    <w:rFonts w:ascii="Arial" w:eastAsiaTheme="minorHAnsi" w:hAnsi="Arial" w:cs="Arial"/>
                    <w:lang w:val="en-GB"/>
                  </w:rPr>
                </w:pPr>
                <w:r w:rsidRPr="00FF027F">
                  <w:rPr>
                    <w:rFonts w:ascii="Arial" w:eastAsiaTheme="minorHAnsi" w:hAnsi="Arial" w:cs="Arial"/>
                    <w:lang w:val="en-GB"/>
                  </w:rPr>
                  <w:t>Provision of catering services for the Agency’s events</w:t>
                </w:r>
              </w:p>
            </w:tc>
            <w:tc>
              <w:tcPr>
                <w:tcW w:w="1560" w:type="dxa"/>
              </w:tcPr>
              <w:p w14:paraId="0F52574C" w14:textId="77777777" w:rsidR="002540BE" w:rsidRPr="00FF027F" w:rsidRDefault="002540BE" w:rsidP="00C43508">
                <w:pPr>
                  <w:spacing w:line="240" w:lineRule="auto"/>
                  <w:jc w:val="right"/>
                  <w:rPr>
                    <w:rFonts w:ascii="Arial" w:eastAsiaTheme="minorHAnsi" w:hAnsi="Arial" w:cs="Arial"/>
                    <w:lang w:val="en-GB"/>
                  </w:rPr>
                </w:pPr>
                <w:r w:rsidRPr="00FF027F">
                  <w:rPr>
                    <w:rFonts w:ascii="Arial" w:eastAsiaTheme="minorHAnsi" w:hAnsi="Arial" w:cs="Arial"/>
                    <w:lang w:val="en-GB"/>
                  </w:rPr>
                  <w:t>40,000</w:t>
                </w:r>
              </w:p>
            </w:tc>
            <w:tc>
              <w:tcPr>
                <w:tcW w:w="1559" w:type="dxa"/>
              </w:tcPr>
              <w:p w14:paraId="64EBC052" w14:textId="77777777" w:rsidR="002540BE" w:rsidRPr="00FF027F" w:rsidRDefault="002540BE" w:rsidP="00C43508">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Pr>
              <w:p w14:paraId="433DEF18" w14:textId="77777777" w:rsidR="002540BE" w:rsidRPr="00FF027F" w:rsidRDefault="002540BE" w:rsidP="00286366">
                <w:pPr>
                  <w:spacing w:line="240" w:lineRule="auto"/>
                  <w:jc w:val="center"/>
                  <w:rPr>
                    <w:rFonts w:ascii="Arial" w:eastAsiaTheme="minorHAnsi" w:hAnsi="Arial" w:cs="Arial"/>
                    <w:lang w:val="en-GB"/>
                  </w:rPr>
                </w:pPr>
                <w:r w:rsidRPr="00FF027F">
                  <w:rPr>
                    <w:rFonts w:ascii="Arial" w:hAnsi="Arial" w:cs="Arial"/>
                    <w:lang w:val="en-GB"/>
                  </w:rPr>
                  <w:t>Q1-Q4</w:t>
                </w:r>
              </w:p>
            </w:tc>
          </w:tr>
          <w:tr w:rsidR="002540BE" w:rsidRPr="00FF027F" w14:paraId="23DCEA9A" w14:textId="77777777" w:rsidTr="001D52DC">
            <w:tc>
              <w:tcPr>
                <w:tcW w:w="4644" w:type="dxa"/>
              </w:tcPr>
              <w:p w14:paraId="34AE6C8E" w14:textId="77777777" w:rsidR="002540BE" w:rsidRPr="00FF027F" w:rsidRDefault="002540BE" w:rsidP="00350B45">
                <w:pPr>
                  <w:spacing w:line="240" w:lineRule="auto"/>
                  <w:jc w:val="left"/>
                  <w:rPr>
                    <w:rFonts w:ascii="Arial" w:hAnsi="Arial" w:cs="Arial"/>
                    <w:lang w:val="en-GB"/>
                  </w:rPr>
                </w:pPr>
                <w:r w:rsidRPr="00FF027F">
                  <w:rPr>
                    <w:rFonts w:ascii="Arial" w:hAnsi="Arial" w:cs="Arial"/>
                    <w:lang w:val="en-GB"/>
                  </w:rPr>
                  <w:t>Provision of conference room facilities and catering services in Brussels for the Agency’s events</w:t>
                </w:r>
              </w:p>
            </w:tc>
            <w:tc>
              <w:tcPr>
                <w:tcW w:w="1560" w:type="dxa"/>
              </w:tcPr>
              <w:p w14:paraId="228764C5" w14:textId="77777777" w:rsidR="002540BE" w:rsidRPr="00FF027F" w:rsidRDefault="002540BE" w:rsidP="00C43508">
                <w:pPr>
                  <w:spacing w:line="240" w:lineRule="auto"/>
                  <w:jc w:val="right"/>
                  <w:rPr>
                    <w:rFonts w:ascii="Arial" w:hAnsi="Arial" w:cs="Arial"/>
                    <w:lang w:val="en-GB"/>
                  </w:rPr>
                </w:pPr>
                <w:r w:rsidRPr="00FF027F">
                  <w:rPr>
                    <w:rFonts w:ascii="Arial" w:hAnsi="Arial" w:cs="Arial"/>
                    <w:lang w:val="en-GB"/>
                  </w:rPr>
                  <w:t>20,000</w:t>
                </w:r>
              </w:p>
            </w:tc>
            <w:tc>
              <w:tcPr>
                <w:tcW w:w="1559" w:type="dxa"/>
              </w:tcPr>
              <w:p w14:paraId="3F31A399" w14:textId="77777777" w:rsidR="002540BE" w:rsidRPr="00FF027F" w:rsidRDefault="002540BE" w:rsidP="00C43508">
                <w:pPr>
                  <w:spacing w:line="240" w:lineRule="auto"/>
                  <w:jc w:val="center"/>
                  <w:rPr>
                    <w:rFonts w:ascii="Arial" w:hAnsi="Arial" w:cs="Arial"/>
                    <w:lang w:val="en-GB"/>
                  </w:rPr>
                </w:pPr>
                <w:r w:rsidRPr="00FF027F">
                  <w:rPr>
                    <w:rFonts w:ascii="Arial" w:hAnsi="Arial" w:cs="Arial"/>
                    <w:lang w:val="en-GB"/>
                  </w:rPr>
                  <w:t>1</w:t>
                </w:r>
              </w:p>
            </w:tc>
            <w:tc>
              <w:tcPr>
                <w:tcW w:w="1417" w:type="dxa"/>
              </w:tcPr>
              <w:p w14:paraId="6E5DE9BD" w14:textId="77777777" w:rsidR="002540BE" w:rsidRPr="00FF027F" w:rsidRDefault="002540BE" w:rsidP="00C43508">
                <w:pPr>
                  <w:spacing w:line="240" w:lineRule="auto"/>
                  <w:jc w:val="center"/>
                  <w:rPr>
                    <w:rFonts w:ascii="Arial" w:hAnsi="Arial" w:cs="Arial"/>
                    <w:lang w:val="en-GB"/>
                  </w:rPr>
                </w:pPr>
                <w:r w:rsidRPr="00FF027F">
                  <w:rPr>
                    <w:rFonts w:ascii="Arial" w:hAnsi="Arial" w:cs="Arial"/>
                    <w:lang w:val="en-GB"/>
                  </w:rPr>
                  <w:t>Q1-Q4</w:t>
                </w:r>
              </w:p>
            </w:tc>
          </w:tr>
          <w:tr w:rsidR="002540BE" w:rsidRPr="00FF027F" w14:paraId="4743F8AE" w14:textId="77777777" w:rsidTr="001D52DC">
            <w:tc>
              <w:tcPr>
                <w:tcW w:w="4644" w:type="dxa"/>
              </w:tcPr>
              <w:p w14:paraId="6D20E1FF" w14:textId="77777777" w:rsidR="002540BE" w:rsidRPr="00FF027F" w:rsidRDefault="002540BE" w:rsidP="001D52DC">
                <w:pPr>
                  <w:spacing w:line="240" w:lineRule="auto"/>
                  <w:jc w:val="left"/>
                  <w:rPr>
                    <w:rFonts w:ascii="Arial" w:eastAsiaTheme="minorHAnsi" w:hAnsi="Arial" w:cs="Arial"/>
                    <w:lang w:val="en-GB"/>
                  </w:rPr>
                </w:pPr>
                <w:r w:rsidRPr="00FF027F">
                  <w:rPr>
                    <w:rFonts w:ascii="Arial" w:eastAsiaTheme="minorHAnsi" w:hAnsi="Arial" w:cs="Arial"/>
                    <w:lang w:val="en-GB"/>
                  </w:rPr>
                  <w:t>Provision of printing services for the Agency</w:t>
                </w:r>
              </w:p>
            </w:tc>
            <w:tc>
              <w:tcPr>
                <w:tcW w:w="1560" w:type="dxa"/>
              </w:tcPr>
              <w:p w14:paraId="218ADB7D" w14:textId="77777777" w:rsidR="002540BE" w:rsidRPr="00FF027F" w:rsidRDefault="00980BC6" w:rsidP="00C43508">
                <w:pPr>
                  <w:spacing w:line="240" w:lineRule="auto"/>
                  <w:jc w:val="right"/>
                  <w:rPr>
                    <w:rFonts w:ascii="Arial" w:eastAsiaTheme="minorHAnsi" w:hAnsi="Arial" w:cs="Arial"/>
                    <w:lang w:val="en-GB"/>
                  </w:rPr>
                </w:pPr>
                <w:r w:rsidRPr="00FF027F">
                  <w:rPr>
                    <w:rFonts w:ascii="Arial" w:eastAsiaTheme="minorHAnsi" w:hAnsi="Arial" w:cs="Arial"/>
                    <w:lang w:val="en-GB"/>
                  </w:rPr>
                  <w:t>20</w:t>
                </w:r>
                <w:r w:rsidR="002540BE" w:rsidRPr="00FF027F">
                  <w:rPr>
                    <w:rFonts w:ascii="Arial" w:eastAsiaTheme="minorHAnsi" w:hAnsi="Arial" w:cs="Arial"/>
                    <w:lang w:val="en-GB"/>
                  </w:rPr>
                  <w:t>,000</w:t>
                </w:r>
              </w:p>
            </w:tc>
            <w:tc>
              <w:tcPr>
                <w:tcW w:w="1559" w:type="dxa"/>
              </w:tcPr>
              <w:p w14:paraId="67131AF5" w14:textId="77777777" w:rsidR="002540BE" w:rsidRPr="00FF027F" w:rsidRDefault="002540BE" w:rsidP="00C43508">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Pr>
              <w:p w14:paraId="62FE0CF5" w14:textId="77777777" w:rsidR="002540BE" w:rsidRPr="00FF027F" w:rsidRDefault="002540BE" w:rsidP="00A7197C">
                <w:pPr>
                  <w:spacing w:line="240" w:lineRule="auto"/>
                  <w:jc w:val="center"/>
                  <w:rPr>
                    <w:rFonts w:ascii="Arial" w:hAnsi="Arial" w:cs="Arial"/>
                    <w:lang w:val="en-GB"/>
                  </w:rPr>
                </w:pPr>
                <w:r w:rsidRPr="00FF027F">
                  <w:rPr>
                    <w:rFonts w:ascii="Arial" w:hAnsi="Arial" w:cs="Arial"/>
                    <w:lang w:val="en-GB"/>
                  </w:rPr>
                  <w:t>Q1-Q4</w:t>
                </w:r>
              </w:p>
            </w:tc>
          </w:tr>
          <w:tr w:rsidR="002540BE" w:rsidRPr="00FF027F" w14:paraId="3B1FE3EF" w14:textId="77777777" w:rsidTr="001D52DC">
            <w:tc>
              <w:tcPr>
                <w:tcW w:w="4644" w:type="dxa"/>
              </w:tcPr>
              <w:p w14:paraId="15A817B6" w14:textId="77777777" w:rsidR="002540BE" w:rsidRPr="00FF027F" w:rsidRDefault="002540BE" w:rsidP="001D52DC">
                <w:pPr>
                  <w:spacing w:line="240" w:lineRule="auto"/>
                  <w:jc w:val="left"/>
                  <w:rPr>
                    <w:rFonts w:ascii="Arial" w:eastAsiaTheme="minorHAnsi" w:hAnsi="Arial" w:cs="Arial"/>
                    <w:lang w:val="en-GB"/>
                  </w:rPr>
                </w:pPr>
                <w:r w:rsidRPr="00FF027F">
                  <w:rPr>
                    <w:rFonts w:ascii="Arial" w:eastAsiaTheme="minorHAnsi" w:hAnsi="Arial" w:cs="Arial"/>
                    <w:lang w:val="en-GB"/>
                  </w:rPr>
                  <w:t>Provision of legal and administrative support services to the Agency’s Board of Appeal</w:t>
                </w:r>
              </w:p>
            </w:tc>
            <w:tc>
              <w:tcPr>
                <w:tcW w:w="1560" w:type="dxa"/>
              </w:tcPr>
              <w:p w14:paraId="6CA25531" w14:textId="77777777" w:rsidR="002540BE" w:rsidRPr="00FF027F" w:rsidRDefault="002540BE" w:rsidP="00C43508">
                <w:pPr>
                  <w:spacing w:line="240" w:lineRule="auto"/>
                  <w:jc w:val="right"/>
                  <w:rPr>
                    <w:rFonts w:ascii="Arial" w:eastAsiaTheme="minorHAnsi" w:hAnsi="Arial" w:cs="Arial"/>
                    <w:lang w:val="en-GB"/>
                  </w:rPr>
                </w:pPr>
                <w:r w:rsidRPr="00FF027F">
                  <w:rPr>
                    <w:rFonts w:ascii="Arial" w:eastAsiaTheme="minorHAnsi" w:hAnsi="Arial" w:cs="Arial"/>
                    <w:lang w:val="en-GB"/>
                  </w:rPr>
                  <w:t>10,000</w:t>
                </w:r>
              </w:p>
            </w:tc>
            <w:tc>
              <w:tcPr>
                <w:tcW w:w="1559" w:type="dxa"/>
              </w:tcPr>
              <w:p w14:paraId="2AAB1BDC" w14:textId="77777777" w:rsidR="002540BE" w:rsidRPr="00FF027F" w:rsidRDefault="002540BE" w:rsidP="00C43508">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Pr>
              <w:p w14:paraId="01587F7F" w14:textId="77777777" w:rsidR="002540BE" w:rsidRPr="00FF027F" w:rsidRDefault="002540BE" w:rsidP="00286366">
                <w:pPr>
                  <w:spacing w:line="240" w:lineRule="auto"/>
                  <w:jc w:val="center"/>
                  <w:rPr>
                    <w:rFonts w:ascii="Arial" w:eastAsiaTheme="minorHAnsi" w:hAnsi="Arial" w:cs="Arial"/>
                    <w:lang w:val="en-GB"/>
                  </w:rPr>
                </w:pPr>
                <w:r w:rsidRPr="00FF027F">
                  <w:rPr>
                    <w:rFonts w:ascii="Arial" w:eastAsiaTheme="minorHAnsi" w:hAnsi="Arial" w:cs="Arial"/>
                    <w:lang w:val="en-GB"/>
                  </w:rPr>
                  <w:t>Q2</w:t>
                </w:r>
              </w:p>
            </w:tc>
          </w:tr>
          <w:tr w:rsidR="002540BE" w:rsidRPr="00FF027F" w14:paraId="3A06D5BC" w14:textId="77777777" w:rsidTr="001D52DC">
            <w:tc>
              <w:tcPr>
                <w:tcW w:w="4644" w:type="dxa"/>
              </w:tcPr>
              <w:p w14:paraId="51781586" w14:textId="77777777" w:rsidR="002540BE" w:rsidRPr="00FF027F" w:rsidRDefault="002540BE" w:rsidP="00A94FD9">
                <w:pPr>
                  <w:spacing w:line="240" w:lineRule="auto"/>
                  <w:jc w:val="left"/>
                  <w:rPr>
                    <w:rFonts w:ascii="Arial" w:eastAsiaTheme="minorHAnsi" w:hAnsi="Arial" w:cs="Arial"/>
                    <w:lang w:val="en-GB"/>
                  </w:rPr>
                </w:pPr>
                <w:r w:rsidRPr="00FF027F">
                  <w:rPr>
                    <w:rFonts w:ascii="Arial" w:eastAsiaTheme="minorHAnsi" w:hAnsi="Arial" w:cs="Arial"/>
                    <w:lang w:val="en-GB"/>
                  </w:rPr>
                  <w:t>Agency’s website set-up and maintenance services</w:t>
                </w:r>
              </w:p>
            </w:tc>
            <w:tc>
              <w:tcPr>
                <w:tcW w:w="1560" w:type="dxa"/>
              </w:tcPr>
              <w:p w14:paraId="06DEA8D9" w14:textId="77777777" w:rsidR="002540BE" w:rsidRPr="00FF027F" w:rsidRDefault="002540BE" w:rsidP="00C43508">
                <w:pPr>
                  <w:spacing w:line="240" w:lineRule="auto"/>
                  <w:jc w:val="right"/>
                  <w:rPr>
                    <w:rFonts w:ascii="Arial" w:eastAsiaTheme="minorHAnsi" w:hAnsi="Arial" w:cs="Arial"/>
                    <w:lang w:val="en-GB"/>
                  </w:rPr>
                </w:pPr>
                <w:r w:rsidRPr="00FF027F">
                  <w:rPr>
                    <w:rFonts w:ascii="Arial" w:eastAsiaTheme="minorHAnsi" w:hAnsi="Arial" w:cs="Arial"/>
                    <w:lang w:val="en-GB"/>
                  </w:rPr>
                  <w:t>59,500</w:t>
                </w:r>
              </w:p>
            </w:tc>
            <w:tc>
              <w:tcPr>
                <w:tcW w:w="1559" w:type="dxa"/>
              </w:tcPr>
              <w:p w14:paraId="27004747" w14:textId="77777777" w:rsidR="002540BE" w:rsidRPr="00FF027F" w:rsidRDefault="002540BE" w:rsidP="00C43508">
                <w:pPr>
                  <w:spacing w:line="240" w:lineRule="auto"/>
                  <w:jc w:val="center"/>
                  <w:rPr>
                    <w:rFonts w:ascii="Arial" w:eastAsiaTheme="minorHAnsi" w:hAnsi="Arial" w:cs="Arial"/>
                    <w:lang w:val="en-GB"/>
                  </w:rPr>
                </w:pPr>
                <w:r w:rsidRPr="00FF027F">
                  <w:rPr>
                    <w:rFonts w:ascii="Arial" w:eastAsiaTheme="minorHAnsi" w:hAnsi="Arial" w:cs="Arial"/>
                    <w:lang w:val="en-GB"/>
                  </w:rPr>
                  <w:t>2</w:t>
                </w:r>
              </w:p>
            </w:tc>
            <w:tc>
              <w:tcPr>
                <w:tcW w:w="1417" w:type="dxa"/>
              </w:tcPr>
              <w:p w14:paraId="50BB3C58" w14:textId="77777777" w:rsidR="002540BE" w:rsidRPr="00FF027F" w:rsidRDefault="002540BE" w:rsidP="00A4783F">
                <w:pPr>
                  <w:spacing w:line="240" w:lineRule="auto"/>
                  <w:jc w:val="center"/>
                  <w:rPr>
                    <w:rFonts w:ascii="Arial" w:eastAsiaTheme="minorHAnsi" w:hAnsi="Arial" w:cs="Arial"/>
                    <w:lang w:val="en-GB"/>
                  </w:rPr>
                </w:pPr>
                <w:r w:rsidRPr="00FF027F">
                  <w:rPr>
                    <w:rFonts w:ascii="Arial" w:eastAsiaTheme="minorHAnsi" w:hAnsi="Arial" w:cs="Arial"/>
                    <w:lang w:val="en-GB"/>
                  </w:rPr>
                  <w:t>Q3-Q4</w:t>
                </w:r>
              </w:p>
            </w:tc>
          </w:tr>
          <w:tr w:rsidR="002540BE" w:rsidRPr="00FF027F" w14:paraId="33FFA6BC" w14:textId="77777777" w:rsidTr="001D52DC">
            <w:tc>
              <w:tcPr>
                <w:tcW w:w="4644" w:type="dxa"/>
              </w:tcPr>
              <w:p w14:paraId="33425800" w14:textId="77777777" w:rsidR="002540BE" w:rsidRPr="00FF027F" w:rsidRDefault="002540BE" w:rsidP="001D52DC">
                <w:pPr>
                  <w:spacing w:line="240" w:lineRule="auto"/>
                  <w:jc w:val="left"/>
                  <w:rPr>
                    <w:rFonts w:ascii="Arial" w:eastAsiaTheme="minorHAnsi" w:hAnsi="Arial" w:cs="Arial"/>
                    <w:lang w:val="en-GB"/>
                  </w:rPr>
                </w:pPr>
                <w:r w:rsidRPr="00FF027F">
                  <w:rPr>
                    <w:rFonts w:ascii="Arial" w:eastAsiaTheme="minorHAnsi" w:hAnsi="Arial" w:cs="Arial"/>
                    <w:lang w:val="en-GB"/>
                  </w:rPr>
                  <w:t>Provision of design services for the Agency</w:t>
                </w:r>
              </w:p>
            </w:tc>
            <w:tc>
              <w:tcPr>
                <w:tcW w:w="1560" w:type="dxa"/>
              </w:tcPr>
              <w:p w14:paraId="1336D583" w14:textId="77777777" w:rsidR="002540BE" w:rsidRPr="00FF027F" w:rsidRDefault="002540BE" w:rsidP="00C43508">
                <w:pPr>
                  <w:spacing w:line="240" w:lineRule="auto"/>
                  <w:jc w:val="right"/>
                  <w:rPr>
                    <w:rFonts w:ascii="Arial" w:eastAsiaTheme="minorHAnsi" w:hAnsi="Arial" w:cs="Arial"/>
                    <w:lang w:val="en-GB"/>
                  </w:rPr>
                </w:pPr>
                <w:r w:rsidRPr="00FF027F">
                  <w:rPr>
                    <w:rFonts w:ascii="Arial" w:eastAsiaTheme="minorHAnsi" w:hAnsi="Arial" w:cs="Arial"/>
                    <w:lang w:val="en-GB"/>
                  </w:rPr>
                  <w:t>15,000</w:t>
                </w:r>
              </w:p>
            </w:tc>
            <w:tc>
              <w:tcPr>
                <w:tcW w:w="1559" w:type="dxa"/>
              </w:tcPr>
              <w:p w14:paraId="39A9D071" w14:textId="77777777" w:rsidR="002540BE" w:rsidRPr="00FF027F" w:rsidRDefault="002540BE" w:rsidP="00C43508">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Pr>
              <w:p w14:paraId="42AE4E53" w14:textId="77777777" w:rsidR="002540BE" w:rsidRPr="00FF027F" w:rsidRDefault="002540BE" w:rsidP="00A4783F">
                <w:pPr>
                  <w:spacing w:line="240" w:lineRule="auto"/>
                  <w:jc w:val="center"/>
                  <w:rPr>
                    <w:rFonts w:ascii="Arial" w:eastAsiaTheme="minorHAnsi" w:hAnsi="Arial" w:cs="Arial"/>
                    <w:lang w:val="en-GB"/>
                  </w:rPr>
                </w:pPr>
                <w:r w:rsidRPr="00FF027F">
                  <w:rPr>
                    <w:rFonts w:ascii="Arial" w:eastAsiaTheme="minorHAnsi" w:hAnsi="Arial" w:cs="Arial"/>
                    <w:lang w:val="en-GB"/>
                  </w:rPr>
                  <w:t>Q1-Q4</w:t>
                </w:r>
              </w:p>
            </w:tc>
          </w:tr>
          <w:tr w:rsidR="002540BE" w:rsidRPr="00FF027F" w14:paraId="59626A91" w14:textId="77777777" w:rsidTr="00A7197C">
            <w:tc>
              <w:tcPr>
                <w:tcW w:w="4644" w:type="dxa"/>
                <w:tcBorders>
                  <w:bottom w:val="single" w:sz="6" w:space="0" w:color="000080"/>
                </w:tcBorders>
              </w:tcPr>
              <w:p w14:paraId="71AC594E" w14:textId="77777777" w:rsidR="002540BE" w:rsidRPr="00FF027F" w:rsidRDefault="002540BE" w:rsidP="00A4783F">
                <w:pPr>
                  <w:spacing w:line="240" w:lineRule="auto"/>
                  <w:jc w:val="left"/>
                  <w:rPr>
                    <w:rFonts w:ascii="Arial" w:eastAsiaTheme="minorHAnsi" w:hAnsi="Arial" w:cs="Arial"/>
                    <w:lang w:val="en-GB"/>
                  </w:rPr>
                </w:pPr>
                <w:r w:rsidRPr="00FF027F">
                  <w:rPr>
                    <w:rFonts w:ascii="Arial" w:eastAsiaTheme="minorHAnsi" w:hAnsi="Arial" w:cs="Arial"/>
                    <w:lang w:val="en-GB"/>
                  </w:rPr>
                  <w:t>General legal support services for the Agency (Slovenian law and litigation before the Slovenian courts, EU social law and litigation before the Civil Service Tribunal and litigation before the EU Courts)</w:t>
                </w:r>
              </w:p>
            </w:tc>
            <w:tc>
              <w:tcPr>
                <w:tcW w:w="1560" w:type="dxa"/>
                <w:tcBorders>
                  <w:bottom w:val="single" w:sz="6" w:space="0" w:color="000080"/>
                </w:tcBorders>
              </w:tcPr>
              <w:p w14:paraId="7BEAEB76" w14:textId="77777777" w:rsidR="002540BE" w:rsidRPr="00FF027F" w:rsidRDefault="002540BE" w:rsidP="00A7197C">
                <w:pPr>
                  <w:spacing w:line="240" w:lineRule="auto"/>
                  <w:jc w:val="right"/>
                  <w:rPr>
                    <w:rFonts w:ascii="Arial" w:eastAsiaTheme="minorHAnsi" w:hAnsi="Arial" w:cs="Arial"/>
                    <w:lang w:val="en-GB"/>
                  </w:rPr>
                </w:pPr>
                <w:r w:rsidRPr="00FF027F">
                  <w:rPr>
                    <w:rFonts w:ascii="Arial" w:eastAsiaTheme="minorHAnsi" w:hAnsi="Arial" w:cs="Arial"/>
                    <w:lang w:val="en-GB"/>
                  </w:rPr>
                  <w:t>20,000</w:t>
                </w:r>
              </w:p>
            </w:tc>
            <w:tc>
              <w:tcPr>
                <w:tcW w:w="1559" w:type="dxa"/>
                <w:tcBorders>
                  <w:bottom w:val="single" w:sz="6" w:space="0" w:color="000080"/>
                </w:tcBorders>
              </w:tcPr>
              <w:p w14:paraId="7E57FDE2" w14:textId="77777777" w:rsidR="002540BE" w:rsidRPr="00FF027F" w:rsidRDefault="002540BE" w:rsidP="00A7197C">
                <w:pPr>
                  <w:spacing w:line="240" w:lineRule="auto"/>
                  <w:jc w:val="center"/>
                  <w:rPr>
                    <w:rFonts w:ascii="Arial" w:eastAsiaTheme="minorHAnsi" w:hAnsi="Arial" w:cs="Arial"/>
                    <w:lang w:val="en-GB"/>
                  </w:rPr>
                </w:pPr>
                <w:r w:rsidRPr="00FF027F">
                  <w:rPr>
                    <w:rFonts w:ascii="Arial" w:eastAsiaTheme="minorHAnsi" w:hAnsi="Arial" w:cs="Arial"/>
                    <w:lang w:val="en-GB"/>
                  </w:rPr>
                  <w:t>1</w:t>
                </w:r>
              </w:p>
            </w:tc>
            <w:tc>
              <w:tcPr>
                <w:tcW w:w="1417" w:type="dxa"/>
                <w:tcBorders>
                  <w:bottom w:val="single" w:sz="6" w:space="0" w:color="000080"/>
                </w:tcBorders>
              </w:tcPr>
              <w:p w14:paraId="10B3B639" w14:textId="77777777" w:rsidR="002540BE" w:rsidRPr="00FF027F" w:rsidRDefault="002540BE" w:rsidP="00A4783F">
                <w:pPr>
                  <w:spacing w:line="240" w:lineRule="auto"/>
                  <w:jc w:val="center"/>
                  <w:rPr>
                    <w:rFonts w:ascii="Arial" w:eastAsiaTheme="minorHAnsi" w:hAnsi="Arial" w:cs="Arial"/>
                    <w:lang w:val="en-GB"/>
                  </w:rPr>
                </w:pPr>
                <w:r w:rsidRPr="00FF027F">
                  <w:rPr>
                    <w:rFonts w:ascii="Arial" w:eastAsiaTheme="minorHAnsi" w:hAnsi="Arial" w:cs="Arial"/>
                    <w:lang w:val="en-GB"/>
                  </w:rPr>
                  <w:t>Q1-Q4</w:t>
                </w:r>
              </w:p>
            </w:tc>
          </w:tr>
          <w:tr w:rsidR="002540BE" w:rsidRPr="00FF027F" w14:paraId="3CC1FE8E" w14:textId="77777777" w:rsidTr="00C43508">
            <w:tc>
              <w:tcPr>
                <w:tcW w:w="4644" w:type="dxa"/>
                <w:shd w:val="clear" w:color="auto" w:fill="D9D9D9" w:themeFill="background1" w:themeFillShade="D9"/>
              </w:tcPr>
              <w:p w14:paraId="2F9F2FEB" w14:textId="77777777" w:rsidR="002540BE" w:rsidRPr="00FF027F" w:rsidRDefault="002540BE" w:rsidP="001D52DC">
                <w:pPr>
                  <w:spacing w:line="240" w:lineRule="auto"/>
                  <w:jc w:val="left"/>
                  <w:rPr>
                    <w:rFonts w:ascii="Arial" w:eastAsiaTheme="minorHAnsi" w:hAnsi="Arial" w:cs="Arial"/>
                    <w:lang w:val="en-GB"/>
                  </w:rPr>
                </w:pPr>
                <w:r w:rsidRPr="00FF027F">
                  <w:rPr>
                    <w:rFonts w:ascii="Arial" w:eastAsiaTheme="minorHAnsi" w:hAnsi="Arial" w:cs="Arial"/>
                    <w:lang w:val="en-GB"/>
                  </w:rPr>
                  <w:t>TOTAL PLANNED PROCUREMENT 2015</w:t>
                </w:r>
              </w:p>
            </w:tc>
            <w:tc>
              <w:tcPr>
                <w:tcW w:w="1560" w:type="dxa"/>
                <w:shd w:val="clear" w:color="auto" w:fill="D9D9D9" w:themeFill="background1" w:themeFillShade="D9"/>
              </w:tcPr>
              <w:p w14:paraId="08FE0BCA" w14:textId="77777777" w:rsidR="002540BE" w:rsidRPr="00FF027F" w:rsidRDefault="002540BE" w:rsidP="00980BC6">
                <w:pPr>
                  <w:spacing w:line="240" w:lineRule="auto"/>
                  <w:jc w:val="right"/>
                  <w:rPr>
                    <w:rFonts w:ascii="Arial" w:eastAsiaTheme="minorHAnsi" w:hAnsi="Arial" w:cs="Arial"/>
                    <w:lang w:val="en-GB"/>
                  </w:rPr>
                </w:pPr>
                <w:r w:rsidRPr="00FF027F">
                  <w:rPr>
                    <w:rFonts w:ascii="Arial" w:eastAsiaTheme="minorHAnsi" w:hAnsi="Arial" w:cs="Arial"/>
                    <w:lang w:val="en-GB"/>
                  </w:rPr>
                  <w:t>2,9</w:t>
                </w:r>
                <w:r w:rsidR="00980BC6" w:rsidRPr="00FF027F">
                  <w:rPr>
                    <w:rFonts w:ascii="Arial" w:eastAsiaTheme="minorHAnsi" w:hAnsi="Arial" w:cs="Arial"/>
                    <w:lang w:val="en-GB"/>
                  </w:rPr>
                  <w:t>2</w:t>
                </w:r>
                <w:r w:rsidRPr="00FF027F">
                  <w:rPr>
                    <w:rFonts w:ascii="Arial" w:eastAsiaTheme="minorHAnsi" w:hAnsi="Arial" w:cs="Arial"/>
                    <w:lang w:val="en-GB"/>
                  </w:rPr>
                  <w:t>0,800</w:t>
                </w:r>
              </w:p>
            </w:tc>
            <w:tc>
              <w:tcPr>
                <w:tcW w:w="1559" w:type="dxa"/>
                <w:shd w:val="clear" w:color="auto" w:fill="D9D9D9" w:themeFill="background1" w:themeFillShade="D9"/>
              </w:tcPr>
              <w:p w14:paraId="1516E774" w14:textId="77777777" w:rsidR="002540BE" w:rsidRPr="00FF027F" w:rsidRDefault="002540BE" w:rsidP="00C43508">
                <w:pPr>
                  <w:spacing w:line="240" w:lineRule="auto"/>
                  <w:jc w:val="center"/>
                  <w:rPr>
                    <w:rFonts w:ascii="Arial" w:eastAsiaTheme="minorHAnsi" w:hAnsi="Arial" w:cs="Arial"/>
                    <w:lang w:val="en-GB"/>
                  </w:rPr>
                </w:pPr>
                <w:r w:rsidRPr="00FF027F">
                  <w:rPr>
                    <w:rFonts w:ascii="Arial" w:eastAsiaTheme="minorHAnsi" w:hAnsi="Arial" w:cs="Arial"/>
                    <w:lang w:val="en-GB"/>
                  </w:rPr>
                  <w:t>20</w:t>
                </w:r>
              </w:p>
            </w:tc>
            <w:tc>
              <w:tcPr>
                <w:tcW w:w="1417" w:type="dxa"/>
                <w:shd w:val="clear" w:color="auto" w:fill="D9D9D9" w:themeFill="background1" w:themeFillShade="D9"/>
              </w:tcPr>
              <w:p w14:paraId="2ABA00EB" w14:textId="77777777" w:rsidR="002540BE" w:rsidRPr="00FF027F" w:rsidRDefault="002540BE" w:rsidP="00C43508">
                <w:pPr>
                  <w:spacing w:line="240" w:lineRule="auto"/>
                  <w:jc w:val="center"/>
                  <w:rPr>
                    <w:rFonts w:ascii="Arial" w:eastAsiaTheme="minorHAnsi" w:hAnsi="Arial" w:cs="Arial"/>
                    <w:lang w:val="en-GB"/>
                  </w:rPr>
                </w:pPr>
              </w:p>
            </w:tc>
          </w:tr>
        </w:tbl>
        <w:p w14:paraId="794F567D" w14:textId="77777777" w:rsidR="00D62896" w:rsidRPr="00FF027F" w:rsidRDefault="00D62896" w:rsidP="00460D5C">
          <w:pPr>
            <w:spacing w:before="120" w:after="120" w:line="360" w:lineRule="auto"/>
            <w:rPr>
              <w:rFonts w:ascii="Arial" w:hAnsi="Arial" w:cs="Arial"/>
              <w:bCs/>
              <w:lang w:val="en-GB"/>
            </w:rPr>
          </w:pPr>
        </w:p>
        <w:p w14:paraId="73B5EF7F" w14:textId="77777777" w:rsidR="00E858CF" w:rsidRPr="00FF027F" w:rsidRDefault="00E858CF">
          <w:pPr>
            <w:rPr>
              <w:rFonts w:ascii="Verdana" w:eastAsia="Times New Roman" w:hAnsi="Verdana" w:cs="Times New Roman Bold"/>
              <w:b/>
              <w:bCs/>
              <w:caps/>
              <w:snapToGrid w:val="0"/>
              <w:color w:val="004494"/>
              <w:sz w:val="32"/>
              <w:szCs w:val="44"/>
              <w:lang w:val="en-GB" w:eastAsia="en-GB"/>
            </w:rPr>
            <w:sectPr w:rsidR="00E858CF" w:rsidRPr="00FF027F" w:rsidSect="004D6EB3">
              <w:pgSz w:w="11907" w:h="16839" w:code="9"/>
              <w:pgMar w:top="1440" w:right="1440" w:bottom="1440" w:left="1440" w:header="720" w:footer="720" w:gutter="0"/>
              <w:cols w:space="720"/>
              <w:titlePg/>
              <w:docGrid w:linePitch="360"/>
            </w:sectPr>
          </w:pPr>
          <w:r w:rsidRPr="00FF027F">
            <w:rPr>
              <w:rFonts w:ascii="Verdana" w:eastAsia="Times New Roman" w:hAnsi="Verdana" w:cs="Times New Roman Bold"/>
              <w:b/>
              <w:bCs/>
              <w:caps/>
              <w:snapToGrid w:val="0"/>
              <w:color w:val="004494"/>
              <w:sz w:val="32"/>
              <w:szCs w:val="44"/>
              <w:lang w:val="en-GB" w:eastAsia="en-GB"/>
            </w:rPr>
            <w:br w:type="page"/>
          </w:r>
        </w:p>
        <w:p w14:paraId="25B1BF2B" w14:textId="77777777" w:rsidR="008B7490" w:rsidRPr="00FF027F" w:rsidRDefault="008B7490" w:rsidP="00A334C2">
          <w:pPr>
            <w:pStyle w:val="Heading1"/>
            <w:numPr>
              <w:ilvl w:val="0"/>
              <w:numId w:val="0"/>
            </w:numPr>
            <w:ind w:left="90"/>
          </w:pPr>
          <w:bookmarkStart w:id="148" w:name="_Toc396913829"/>
          <w:r w:rsidRPr="00FF027F">
            <w:t>ANNEX VII</w:t>
          </w:r>
          <w:r w:rsidR="00A334C2" w:rsidRPr="00FF027F">
            <w:t>I</w:t>
          </w:r>
          <w:r w:rsidR="00DF7B7F" w:rsidRPr="00FF027F">
            <w:t>:</w:t>
          </w:r>
          <w:r w:rsidRPr="00FF027F">
            <w:t xml:space="preserve"> KEY PERFORMANCE INDICATORS</w:t>
          </w:r>
          <w:bookmarkEnd w:id="148"/>
        </w:p>
        <w:p w14:paraId="78E819F2" w14:textId="77777777" w:rsidR="008B7490" w:rsidRPr="00FF027F" w:rsidRDefault="008B7490" w:rsidP="00996DC6">
          <w:pPr>
            <w:spacing w:after="360"/>
            <w:rPr>
              <w:rFonts w:ascii="Arial" w:hAnsi="Arial" w:cs="Arial"/>
              <w:b/>
              <w:u w:val="single"/>
              <w:lang w:val="en-GB"/>
            </w:rPr>
          </w:pPr>
          <w:r w:rsidRPr="00FF027F">
            <w:rPr>
              <w:rFonts w:ascii="Arial" w:hAnsi="Arial" w:cs="Arial"/>
              <w:b/>
              <w:u w:val="single"/>
              <w:lang w:val="en-GB"/>
            </w:rPr>
            <w:t>External Communication</w:t>
          </w:r>
        </w:p>
        <w:tbl>
          <w:tblPr>
            <w:tblStyle w:val="TableGrid8"/>
            <w:tblW w:w="0" w:type="auto"/>
            <w:tblInd w:w="108" w:type="dxa"/>
            <w:tblLook w:val="04A0" w:firstRow="1" w:lastRow="0" w:firstColumn="1" w:lastColumn="0" w:noHBand="0" w:noVBand="1"/>
          </w:tblPr>
          <w:tblGrid>
            <w:gridCol w:w="2507"/>
            <w:gridCol w:w="6396"/>
          </w:tblGrid>
          <w:tr w:rsidR="008B7490" w:rsidRPr="00FF027F" w14:paraId="2AC8A97C" w14:textId="77777777" w:rsidTr="00A626B4">
            <w:trPr>
              <w:cnfStyle w:val="100000000000" w:firstRow="1" w:lastRow="0" w:firstColumn="0" w:lastColumn="0" w:oddVBand="0" w:evenVBand="0" w:oddHBand="0" w:evenHBand="0" w:firstRowFirstColumn="0" w:firstRowLastColumn="0" w:lastRowFirstColumn="0" w:lastRowLastColumn="0"/>
            </w:trPr>
            <w:tc>
              <w:tcPr>
                <w:tcW w:w="2552" w:type="dxa"/>
              </w:tcPr>
              <w:p w14:paraId="3CA87B18"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color w:val="FFFFFF" w:themeColor="background1"/>
                    <w:sz w:val="22"/>
                    <w:szCs w:val="22"/>
                    <w:highlight w:val="darkBlue"/>
                    <w:lang w:val="en-GB" w:eastAsia="en-US"/>
                  </w:rPr>
                </w:pPr>
                <w:r w:rsidRPr="00FF027F">
                  <w:rPr>
                    <w:rFonts w:asciiTheme="minorHAnsi" w:eastAsiaTheme="minorHAnsi" w:hAnsiTheme="minorHAnsi" w:cs="Arial"/>
                    <w:b w:val="0"/>
                    <w:bCs w:val="0"/>
                    <w:color w:val="FFFFFF" w:themeColor="background1"/>
                    <w:sz w:val="22"/>
                    <w:szCs w:val="22"/>
                    <w:highlight w:val="darkBlue"/>
                    <w:lang w:val="en-GB" w:eastAsia="en-US"/>
                  </w:rPr>
                  <w:t>Activity</w:t>
                </w:r>
              </w:p>
            </w:tc>
            <w:tc>
              <w:tcPr>
                <w:tcW w:w="6520" w:type="dxa"/>
              </w:tcPr>
              <w:p w14:paraId="26872CA6"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bCs w:val="0"/>
                    <w:color w:val="FFFFFF" w:themeColor="background1"/>
                    <w:sz w:val="22"/>
                    <w:szCs w:val="22"/>
                    <w:highlight w:val="darkBlue"/>
                    <w:lang w:val="en-GB" w:eastAsia="en-US"/>
                  </w:rPr>
                </w:pPr>
                <w:r w:rsidRPr="00FF027F">
                  <w:rPr>
                    <w:rFonts w:asciiTheme="minorHAnsi" w:eastAsiaTheme="minorHAnsi" w:hAnsiTheme="minorHAnsi" w:cs="Arial"/>
                    <w:b w:val="0"/>
                    <w:bCs w:val="0"/>
                    <w:color w:val="FFFFFF" w:themeColor="background1"/>
                    <w:sz w:val="22"/>
                    <w:szCs w:val="22"/>
                    <w:highlight w:val="darkBlue"/>
                    <w:lang w:val="en-GB" w:eastAsia="en-US"/>
                  </w:rPr>
                  <w:t>Agency Website</w:t>
                </w:r>
              </w:p>
            </w:tc>
          </w:tr>
          <w:tr w:rsidR="008B7490" w:rsidRPr="00FF027F" w14:paraId="420FB1A4" w14:textId="77777777" w:rsidTr="00A626B4">
            <w:tc>
              <w:tcPr>
                <w:tcW w:w="2552" w:type="dxa"/>
              </w:tcPr>
              <w:p w14:paraId="6F1AB0F7"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Objectives and deadlines (indicative)</w:t>
                </w:r>
              </w:p>
            </w:tc>
            <w:tc>
              <w:tcPr>
                <w:tcW w:w="6520" w:type="dxa"/>
              </w:tcPr>
              <w:p w14:paraId="6E03F966" w14:textId="77777777" w:rsidR="008B7490" w:rsidRPr="00FF027F" w:rsidRDefault="008B7490" w:rsidP="00F005C9">
                <w:pPr>
                  <w:keepLines w:val="0"/>
                  <w:tabs>
                    <w:tab w:val="clear" w:pos="1985"/>
                    <w:tab w:val="clear" w:pos="5103"/>
                  </w:tabs>
                  <w:spacing w:after="200" w:line="240" w:lineRule="auto"/>
                  <w:ind w:left="144"/>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continue improving the website as a vital tool to perform the Agency’s tasks in cooperation with stakeholders and to strengthen overall external communication. More specifically, the Agency aims to enhance the capability of the website in the following areas:</w:t>
                </w:r>
              </w:p>
              <w:p w14:paraId="2983C00F" w14:textId="77777777" w:rsidR="008B7490" w:rsidRPr="00FF027F" w:rsidRDefault="008B7490" w:rsidP="00F005C9">
                <w:pPr>
                  <w:keepLines w:val="0"/>
                  <w:numPr>
                    <w:ilvl w:val="0"/>
                    <w:numId w:val="23"/>
                  </w:numPr>
                  <w:tabs>
                    <w:tab w:val="clear" w:pos="1985"/>
                    <w:tab w:val="clear" w:pos="5103"/>
                  </w:tabs>
                  <w:spacing w:after="200" w:line="240" w:lineRule="auto"/>
                  <w:contextualSpacing/>
                  <w:jc w:val="left"/>
                  <w:rPr>
                    <w:rFonts w:asciiTheme="minorHAnsi" w:hAnsiTheme="minorHAnsi" w:cs="Arial"/>
                    <w:sz w:val="22"/>
                    <w:szCs w:val="22"/>
                    <w:lang w:val="en-GB"/>
                  </w:rPr>
                </w:pPr>
                <w:r w:rsidRPr="00FF027F">
                  <w:rPr>
                    <w:rFonts w:asciiTheme="minorHAnsi" w:hAnsiTheme="minorHAnsi" w:cs="Arial"/>
                    <w:sz w:val="22"/>
                    <w:szCs w:val="22"/>
                    <w:lang w:val="en-GB"/>
                  </w:rPr>
                  <w:t>Online surveys;</w:t>
                </w:r>
              </w:p>
              <w:p w14:paraId="3E6BB89F" w14:textId="77777777" w:rsidR="008B7490" w:rsidRPr="00FF027F" w:rsidRDefault="008B7490" w:rsidP="00F005C9">
                <w:pPr>
                  <w:keepLines w:val="0"/>
                  <w:numPr>
                    <w:ilvl w:val="0"/>
                    <w:numId w:val="23"/>
                  </w:numPr>
                  <w:tabs>
                    <w:tab w:val="clear" w:pos="1985"/>
                    <w:tab w:val="clear" w:pos="5103"/>
                  </w:tabs>
                  <w:spacing w:after="200" w:line="240" w:lineRule="auto"/>
                  <w:contextualSpacing/>
                  <w:jc w:val="left"/>
                  <w:rPr>
                    <w:rFonts w:asciiTheme="minorHAnsi" w:hAnsiTheme="minorHAnsi" w:cs="Arial"/>
                    <w:sz w:val="22"/>
                    <w:szCs w:val="22"/>
                    <w:lang w:val="en-GB"/>
                  </w:rPr>
                </w:pPr>
                <w:r w:rsidRPr="00FF027F">
                  <w:rPr>
                    <w:rFonts w:asciiTheme="minorHAnsi" w:hAnsiTheme="minorHAnsi" w:cs="Arial"/>
                    <w:sz w:val="22"/>
                    <w:szCs w:val="22"/>
                    <w:lang w:val="en-GB"/>
                  </w:rPr>
                  <w:t>Dedicated workspace for meetings/workshops;</w:t>
                </w:r>
              </w:p>
              <w:p w14:paraId="459675F1" w14:textId="77777777" w:rsidR="008B7490" w:rsidRPr="00FF027F" w:rsidRDefault="008B7490" w:rsidP="00F005C9">
                <w:pPr>
                  <w:keepLines w:val="0"/>
                  <w:numPr>
                    <w:ilvl w:val="0"/>
                    <w:numId w:val="23"/>
                  </w:numPr>
                  <w:tabs>
                    <w:tab w:val="clear" w:pos="1985"/>
                    <w:tab w:val="clear" w:pos="5103"/>
                  </w:tabs>
                  <w:spacing w:after="200" w:line="240" w:lineRule="auto"/>
                  <w:contextualSpacing/>
                  <w:jc w:val="left"/>
                  <w:rPr>
                    <w:rFonts w:asciiTheme="minorHAnsi" w:hAnsiTheme="minorHAnsi" w:cs="Arial"/>
                    <w:sz w:val="22"/>
                    <w:szCs w:val="22"/>
                    <w:lang w:val="en-GB"/>
                  </w:rPr>
                </w:pPr>
                <w:r w:rsidRPr="00FF027F">
                  <w:rPr>
                    <w:rFonts w:asciiTheme="minorHAnsi" w:hAnsiTheme="minorHAnsi" w:cs="Arial"/>
                    <w:sz w:val="22"/>
                    <w:szCs w:val="22"/>
                    <w:lang w:val="en-GB"/>
                  </w:rPr>
                  <w:t>More dynamic features for news and announcements;</w:t>
                </w:r>
              </w:p>
              <w:p w14:paraId="383771A6" w14:textId="77777777" w:rsidR="008B7490" w:rsidRPr="00FF027F" w:rsidRDefault="008B7490" w:rsidP="00F005C9">
                <w:pPr>
                  <w:keepLines w:val="0"/>
                  <w:numPr>
                    <w:ilvl w:val="0"/>
                    <w:numId w:val="23"/>
                  </w:numPr>
                  <w:tabs>
                    <w:tab w:val="clear" w:pos="1985"/>
                    <w:tab w:val="clear" w:pos="5103"/>
                  </w:tabs>
                  <w:spacing w:after="200" w:line="240" w:lineRule="auto"/>
                  <w:contextualSpacing/>
                  <w:jc w:val="left"/>
                  <w:rPr>
                    <w:rFonts w:asciiTheme="minorHAnsi" w:hAnsiTheme="minorHAnsi" w:cs="Arial"/>
                    <w:sz w:val="22"/>
                    <w:szCs w:val="22"/>
                    <w:lang w:val="en-GB"/>
                  </w:rPr>
                </w:pPr>
                <w:r w:rsidRPr="00FF027F">
                  <w:rPr>
                    <w:rFonts w:asciiTheme="minorHAnsi" w:hAnsiTheme="minorHAnsi" w:cs="Arial"/>
                    <w:sz w:val="22"/>
                    <w:szCs w:val="22"/>
                    <w:lang w:val="en-GB"/>
                  </w:rPr>
                  <w:t>Improve user-friendliness.</w:t>
                </w:r>
              </w:p>
            </w:tc>
          </w:tr>
          <w:tr w:rsidR="008B7490" w:rsidRPr="00FF027F" w14:paraId="0E444FE5" w14:textId="77777777" w:rsidTr="00A626B4">
            <w:trPr>
              <w:trHeight w:val="803"/>
            </w:trPr>
            <w:tc>
              <w:tcPr>
                <w:tcW w:w="2552" w:type="dxa"/>
              </w:tcPr>
              <w:p w14:paraId="6F1EAD3A"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KPIs</w:t>
                </w:r>
              </w:p>
            </w:tc>
            <w:tc>
              <w:tcPr>
                <w:tcW w:w="6520" w:type="dxa"/>
              </w:tcPr>
              <w:p w14:paraId="06E8834F" w14:textId="0995A539" w:rsidR="008B7490" w:rsidRPr="00FF027F" w:rsidRDefault="008B7490" w:rsidP="00F005C9">
                <w:pPr>
                  <w:keepLines w:val="0"/>
                  <w:numPr>
                    <w:ilvl w:val="0"/>
                    <w:numId w:val="26"/>
                  </w:numPr>
                  <w:tabs>
                    <w:tab w:val="clear" w:pos="1985"/>
                    <w:tab w:val="clear" w:pos="5103"/>
                  </w:tabs>
                  <w:spacing w:after="200" w:line="240" w:lineRule="auto"/>
                  <w:jc w:val="left"/>
                  <w:rPr>
                    <w:rFonts w:asciiTheme="minorHAnsi" w:hAnsiTheme="minorHAnsi" w:cs="Arial"/>
                    <w:sz w:val="22"/>
                    <w:szCs w:val="22"/>
                    <w:lang w:val="en-GB"/>
                  </w:rPr>
                </w:pPr>
                <w:r w:rsidRPr="00FF027F">
                  <w:rPr>
                    <w:rFonts w:asciiTheme="minorHAnsi" w:hAnsiTheme="minorHAnsi" w:cs="Arial"/>
                    <w:sz w:val="22"/>
                    <w:szCs w:val="22"/>
                    <w:lang w:val="en-GB"/>
                  </w:rPr>
                  <w:t>Website hits:</w:t>
                </w:r>
                <w:r w:rsidR="00184279" w:rsidRPr="00FF027F">
                  <w:rPr>
                    <w:rFonts w:asciiTheme="minorHAnsi" w:hAnsiTheme="minorHAnsi" w:cs="Arial"/>
                    <w:sz w:val="22"/>
                    <w:szCs w:val="22"/>
                    <w:lang w:val="en-GB"/>
                  </w:rPr>
                  <w:t xml:space="preserve"> </w:t>
                </w:r>
                <w:r w:rsidR="00447CE6" w:rsidRPr="00FF027F">
                  <w:rPr>
                    <w:rFonts w:asciiTheme="minorHAnsi" w:hAnsiTheme="minorHAnsi" w:cs="Arial"/>
                    <w:sz w:val="22"/>
                    <w:szCs w:val="22"/>
                    <w:lang w:val="en-GB"/>
                  </w:rPr>
                  <w:t>5</w:t>
                </w:r>
                <w:r w:rsidRPr="00FF027F">
                  <w:rPr>
                    <w:rFonts w:asciiTheme="minorHAnsi" w:hAnsiTheme="minorHAnsi" w:cs="Arial"/>
                    <w:sz w:val="22"/>
                    <w:szCs w:val="22"/>
                    <w:lang w:val="en-GB"/>
                  </w:rPr>
                  <w:t xml:space="preserve">% increase with respect to </w:t>
                </w:r>
                <w:r w:rsidR="00B937D0">
                  <w:rPr>
                    <w:rFonts w:asciiTheme="minorHAnsi" w:hAnsiTheme="minorHAnsi" w:cs="Arial"/>
                    <w:sz w:val="22"/>
                    <w:szCs w:val="22"/>
                    <w:lang w:val="en-GB"/>
                  </w:rPr>
                  <w:t>the preceding year</w:t>
                </w:r>
                <w:r w:rsidRPr="00FF027F">
                  <w:rPr>
                    <w:rFonts w:asciiTheme="minorHAnsi" w:hAnsiTheme="minorHAnsi" w:cs="Arial"/>
                    <w:sz w:val="22"/>
                    <w:szCs w:val="22"/>
                    <w:lang w:val="en-GB"/>
                  </w:rPr>
                  <w:t xml:space="preserve">. </w:t>
                </w:r>
              </w:p>
              <w:p w14:paraId="692A13BE" w14:textId="1D1A02BC" w:rsidR="008B7490" w:rsidRPr="00FF027F" w:rsidRDefault="008B7490" w:rsidP="00F005C9">
                <w:pPr>
                  <w:keepLines w:val="0"/>
                  <w:numPr>
                    <w:ilvl w:val="0"/>
                    <w:numId w:val="26"/>
                  </w:numPr>
                  <w:tabs>
                    <w:tab w:val="clear" w:pos="1985"/>
                    <w:tab w:val="clear" w:pos="5103"/>
                  </w:tabs>
                  <w:spacing w:after="200" w:line="240" w:lineRule="auto"/>
                  <w:jc w:val="left"/>
                  <w:rPr>
                    <w:rFonts w:asciiTheme="minorHAnsi" w:hAnsiTheme="minorHAnsi" w:cs="Arial"/>
                    <w:sz w:val="22"/>
                    <w:szCs w:val="22"/>
                    <w:lang w:val="en-GB"/>
                  </w:rPr>
                </w:pPr>
                <w:r w:rsidRPr="00FF027F">
                  <w:rPr>
                    <w:rFonts w:asciiTheme="minorHAnsi" w:hAnsiTheme="minorHAnsi" w:cs="Arial"/>
                    <w:sz w:val="22"/>
                    <w:szCs w:val="22"/>
                    <w:lang w:val="en-GB"/>
                  </w:rPr>
                  <w:t xml:space="preserve">Online survey: at least </w:t>
                </w:r>
                <w:r w:rsidR="00447CE6" w:rsidRPr="00FF027F">
                  <w:rPr>
                    <w:rFonts w:asciiTheme="minorHAnsi" w:hAnsiTheme="minorHAnsi" w:cs="Arial"/>
                    <w:sz w:val="22"/>
                    <w:szCs w:val="22"/>
                    <w:lang w:val="en-GB"/>
                  </w:rPr>
                  <w:t>2/3</w:t>
                </w:r>
                <w:r w:rsidRPr="00FF027F">
                  <w:rPr>
                    <w:rFonts w:asciiTheme="minorHAnsi" w:hAnsiTheme="minorHAnsi" w:cs="Arial"/>
                    <w:sz w:val="22"/>
                    <w:szCs w:val="22"/>
                    <w:lang w:val="en-GB"/>
                  </w:rPr>
                  <w:t>% of respondents satisfied or highly satisfied.</w:t>
                </w:r>
              </w:p>
            </w:tc>
          </w:tr>
        </w:tbl>
        <w:p w14:paraId="6DB9BEEF" w14:textId="77777777" w:rsidR="008B7490" w:rsidRPr="00FF027F" w:rsidRDefault="008B7490" w:rsidP="008B7490">
          <w:pPr>
            <w:spacing w:before="120" w:after="120" w:line="240" w:lineRule="auto"/>
            <w:rPr>
              <w:rFonts w:ascii="Arial" w:hAnsi="Arial" w:cs="Arial"/>
              <w:sz w:val="16"/>
              <w:szCs w:val="16"/>
              <w:lang w:val="en-GB"/>
            </w:rPr>
          </w:pPr>
        </w:p>
        <w:tbl>
          <w:tblPr>
            <w:tblStyle w:val="TableGrid82"/>
            <w:tblW w:w="8884" w:type="dxa"/>
            <w:tblInd w:w="108" w:type="dxa"/>
            <w:tblLook w:val="04A0" w:firstRow="1" w:lastRow="0" w:firstColumn="1" w:lastColumn="0" w:noHBand="0" w:noVBand="1"/>
          </w:tblPr>
          <w:tblGrid>
            <w:gridCol w:w="2552"/>
            <w:gridCol w:w="6332"/>
          </w:tblGrid>
          <w:tr w:rsidR="008B7490" w:rsidRPr="00FF027F" w14:paraId="3829AD7B" w14:textId="77777777" w:rsidTr="003168CC">
            <w:trPr>
              <w:cnfStyle w:val="100000000000" w:firstRow="1" w:lastRow="0" w:firstColumn="0" w:lastColumn="0" w:oddVBand="0" w:evenVBand="0" w:oddHBand="0" w:evenHBand="0" w:firstRowFirstColumn="0" w:firstRowLastColumn="0" w:lastRowFirstColumn="0" w:lastRowLastColumn="0"/>
            </w:trPr>
            <w:tc>
              <w:tcPr>
                <w:tcW w:w="2552" w:type="dxa"/>
              </w:tcPr>
              <w:p w14:paraId="09DEC041"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color w:val="FFFFFF" w:themeColor="background1"/>
                    <w:sz w:val="22"/>
                    <w:szCs w:val="22"/>
                    <w:highlight w:val="darkBlue"/>
                    <w:lang w:val="en-GB" w:eastAsia="en-US"/>
                  </w:rPr>
                </w:pPr>
                <w:r w:rsidRPr="00FF027F">
                  <w:rPr>
                    <w:rFonts w:asciiTheme="minorHAnsi" w:eastAsiaTheme="minorHAnsi" w:hAnsiTheme="minorHAnsi" w:cs="Arial"/>
                    <w:b w:val="0"/>
                    <w:bCs w:val="0"/>
                    <w:color w:val="FFFFFF" w:themeColor="background1"/>
                    <w:sz w:val="22"/>
                    <w:szCs w:val="22"/>
                    <w:highlight w:val="darkBlue"/>
                    <w:lang w:val="en-GB" w:eastAsia="en-US"/>
                  </w:rPr>
                  <w:t>Activity</w:t>
                </w:r>
              </w:p>
            </w:tc>
            <w:tc>
              <w:tcPr>
                <w:tcW w:w="6332" w:type="dxa"/>
              </w:tcPr>
              <w:p w14:paraId="4182209B"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bCs w:val="0"/>
                    <w:color w:val="FFFFFF" w:themeColor="background1"/>
                    <w:sz w:val="22"/>
                    <w:szCs w:val="22"/>
                    <w:highlight w:val="darkBlue"/>
                    <w:lang w:val="en-GB" w:eastAsia="en-US"/>
                  </w:rPr>
                </w:pPr>
                <w:r w:rsidRPr="00FF027F">
                  <w:rPr>
                    <w:rFonts w:asciiTheme="minorHAnsi" w:eastAsiaTheme="minorHAnsi" w:hAnsiTheme="minorHAnsi" w:cs="Arial"/>
                    <w:b w:val="0"/>
                    <w:bCs w:val="0"/>
                    <w:color w:val="FFFFFF" w:themeColor="background1"/>
                    <w:sz w:val="22"/>
                    <w:szCs w:val="22"/>
                    <w:highlight w:val="darkBlue"/>
                    <w:lang w:val="en-GB" w:eastAsia="en-US"/>
                  </w:rPr>
                  <w:t>Relations with media / information for stakeholders</w:t>
                </w:r>
              </w:p>
            </w:tc>
          </w:tr>
          <w:tr w:rsidR="008B7490" w:rsidRPr="00FF027F" w14:paraId="1BB0CBE2" w14:textId="77777777" w:rsidTr="003168CC">
            <w:tc>
              <w:tcPr>
                <w:tcW w:w="2552" w:type="dxa"/>
              </w:tcPr>
              <w:p w14:paraId="31F112FD"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Objectives and deadlines (indicative)</w:t>
                </w:r>
              </w:p>
            </w:tc>
            <w:tc>
              <w:tcPr>
                <w:tcW w:w="6332" w:type="dxa"/>
              </w:tcPr>
              <w:p w14:paraId="08723C72" w14:textId="77777777" w:rsidR="008B7490" w:rsidRPr="00FF027F" w:rsidRDefault="008B7490" w:rsidP="00F005C9">
                <w:pPr>
                  <w:keepLines w:val="0"/>
                  <w:tabs>
                    <w:tab w:val="clear" w:pos="1985"/>
                    <w:tab w:val="clear" w:pos="5103"/>
                  </w:tabs>
                  <w:spacing w:after="200" w:line="240" w:lineRule="auto"/>
                  <w:ind w:left="144"/>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send Infoflashes (e-alerts to registered contacts) with the aim of keeping a large number of interested people and multipliers regularly informed on ACER’s activities and initiatives.</w:t>
                </w:r>
              </w:p>
              <w:p w14:paraId="21858E4C" w14:textId="77777777" w:rsidR="008B7490" w:rsidRPr="00FF027F" w:rsidRDefault="008B7490" w:rsidP="00F005C9">
                <w:pPr>
                  <w:keepLines w:val="0"/>
                  <w:tabs>
                    <w:tab w:val="clear" w:pos="1985"/>
                    <w:tab w:val="clear" w:pos="5103"/>
                  </w:tabs>
                  <w:spacing w:after="200" w:line="240" w:lineRule="auto"/>
                  <w:ind w:left="144"/>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answer urgent requests from journalists on a timely basis (within 3 working days, unless otherwise specified).</w:t>
                </w:r>
              </w:p>
            </w:tc>
          </w:tr>
          <w:tr w:rsidR="008B7490" w:rsidRPr="00FF027F" w14:paraId="332F3C51" w14:textId="77777777" w:rsidTr="003168CC">
            <w:trPr>
              <w:trHeight w:val="830"/>
            </w:trPr>
            <w:tc>
              <w:tcPr>
                <w:tcW w:w="2552" w:type="dxa"/>
              </w:tcPr>
              <w:p w14:paraId="688A6182"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KPIs</w:t>
                </w:r>
              </w:p>
            </w:tc>
            <w:tc>
              <w:tcPr>
                <w:tcW w:w="6332" w:type="dxa"/>
              </w:tcPr>
              <w:p w14:paraId="1FCBB236" w14:textId="255F4441" w:rsidR="008B7490" w:rsidRPr="00FF027F" w:rsidRDefault="008B7490" w:rsidP="00F005C9">
                <w:pPr>
                  <w:keepLines w:val="0"/>
                  <w:tabs>
                    <w:tab w:val="clear" w:pos="1985"/>
                    <w:tab w:val="clear" w:pos="5103"/>
                  </w:tabs>
                  <w:spacing w:after="200" w:line="240" w:lineRule="auto"/>
                  <w:ind w:left="144"/>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b/>
                    <w:sz w:val="22"/>
                    <w:szCs w:val="22"/>
                    <w:lang w:val="en-GB" w:eastAsia="en-US"/>
                  </w:rPr>
                  <w:t>3</w:t>
                </w:r>
                <w:r w:rsidRPr="00FF027F">
                  <w:rPr>
                    <w:rFonts w:asciiTheme="minorHAnsi" w:eastAsiaTheme="minorHAnsi" w:hAnsiTheme="minorHAnsi" w:cs="Arial"/>
                    <w:sz w:val="22"/>
                    <w:szCs w:val="22"/>
                    <w:lang w:val="en-GB" w:eastAsia="en-US"/>
                  </w:rPr>
                  <w:t>. Number of news items within Infoflashes: &gt;</w:t>
                </w:r>
                <w:r w:rsidR="00447CE6" w:rsidRPr="00FF027F">
                  <w:rPr>
                    <w:rFonts w:asciiTheme="minorHAnsi" w:eastAsiaTheme="minorHAnsi" w:hAnsiTheme="minorHAnsi" w:cs="Arial"/>
                    <w:sz w:val="22"/>
                    <w:szCs w:val="22"/>
                    <w:lang w:val="en-GB" w:eastAsia="en-US"/>
                  </w:rPr>
                  <w:t>40</w:t>
                </w:r>
                <w:r w:rsidRPr="00FF027F">
                  <w:rPr>
                    <w:rFonts w:asciiTheme="minorHAnsi" w:eastAsiaTheme="minorHAnsi" w:hAnsiTheme="minorHAnsi" w:cs="Arial"/>
                    <w:sz w:val="22"/>
                    <w:szCs w:val="22"/>
                    <w:lang w:val="en-GB" w:eastAsia="en-US"/>
                  </w:rPr>
                  <w:t>.</w:t>
                </w:r>
              </w:p>
              <w:p w14:paraId="6480905D" w14:textId="52CA375F" w:rsidR="008B7490" w:rsidRPr="00FF027F" w:rsidRDefault="008B7490" w:rsidP="00F005C9">
                <w:pPr>
                  <w:keepLines w:val="0"/>
                  <w:tabs>
                    <w:tab w:val="clear" w:pos="1985"/>
                    <w:tab w:val="clear" w:pos="5103"/>
                  </w:tabs>
                  <w:spacing w:after="200" w:line="240" w:lineRule="auto"/>
                  <w:ind w:left="144"/>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b/>
                    <w:sz w:val="22"/>
                    <w:szCs w:val="22"/>
                    <w:lang w:val="en-GB" w:eastAsia="en-US"/>
                  </w:rPr>
                  <w:t>4</w:t>
                </w:r>
                <w:r w:rsidRPr="00FF027F">
                  <w:rPr>
                    <w:rFonts w:asciiTheme="minorHAnsi" w:eastAsiaTheme="minorHAnsi" w:hAnsiTheme="minorHAnsi" w:cs="Arial"/>
                    <w:sz w:val="22"/>
                    <w:szCs w:val="22"/>
                    <w:lang w:val="en-GB" w:eastAsia="en-US"/>
                  </w:rPr>
                  <w:t>. Number of references to ACER in selected media included in the Agency’s medi</w:t>
                </w:r>
                <w:r w:rsidR="0018382F" w:rsidRPr="00FF027F">
                  <w:rPr>
                    <w:rFonts w:asciiTheme="minorHAnsi" w:eastAsiaTheme="minorHAnsi" w:hAnsiTheme="minorHAnsi" w:cs="Arial"/>
                    <w:sz w:val="22"/>
                    <w:szCs w:val="22"/>
                    <w:lang w:val="en-GB" w:eastAsia="en-US"/>
                  </w:rPr>
                  <w:t xml:space="preserve">a monitoring (proxy for impact): </w:t>
                </w:r>
                <w:r w:rsidR="00447CE6" w:rsidRPr="00FF027F">
                  <w:rPr>
                    <w:rFonts w:asciiTheme="minorHAnsi" w:eastAsiaTheme="minorHAnsi" w:hAnsiTheme="minorHAnsi" w:cs="Arial"/>
                    <w:sz w:val="22"/>
                    <w:szCs w:val="22"/>
                    <w:lang w:val="en-GB" w:eastAsia="en-US"/>
                  </w:rPr>
                  <w:t>200</w:t>
                </w:r>
              </w:p>
            </w:tc>
          </w:tr>
        </w:tbl>
        <w:p w14:paraId="3629C4EB" w14:textId="77777777" w:rsidR="008B7490" w:rsidRPr="00FF027F" w:rsidRDefault="008B7490" w:rsidP="008B7490">
          <w:pPr>
            <w:spacing w:before="120" w:after="120" w:line="240" w:lineRule="auto"/>
            <w:rPr>
              <w:rFonts w:ascii="Arial" w:hAnsi="Arial" w:cs="Arial"/>
              <w:sz w:val="16"/>
              <w:szCs w:val="16"/>
              <w:lang w:val="en-GB"/>
            </w:rPr>
          </w:pPr>
        </w:p>
        <w:p w14:paraId="25573D6F" w14:textId="77777777" w:rsidR="00E932AB" w:rsidRPr="00FF027F" w:rsidRDefault="00E932AB">
          <w:pPr>
            <w:rPr>
              <w:rFonts w:ascii="Arial" w:hAnsi="Arial" w:cs="Arial"/>
              <w:b/>
              <w:u w:val="single"/>
              <w:lang w:val="en-GB"/>
            </w:rPr>
          </w:pPr>
          <w:r w:rsidRPr="00FF027F">
            <w:rPr>
              <w:rFonts w:ascii="Arial" w:hAnsi="Arial" w:cs="Arial"/>
              <w:b/>
              <w:u w:val="single"/>
              <w:lang w:val="en-GB"/>
            </w:rPr>
            <w:br w:type="page"/>
          </w:r>
        </w:p>
        <w:p w14:paraId="7B744EDF" w14:textId="09448962" w:rsidR="008B7490" w:rsidRPr="00FF027F" w:rsidRDefault="008B7490" w:rsidP="00996DC6">
          <w:pPr>
            <w:spacing w:after="360" w:line="240" w:lineRule="auto"/>
            <w:rPr>
              <w:rFonts w:ascii="Arial" w:hAnsi="Arial" w:cs="Arial"/>
              <w:b/>
              <w:u w:val="single"/>
              <w:lang w:val="en-GB"/>
            </w:rPr>
          </w:pPr>
          <w:r w:rsidRPr="00FF027F">
            <w:rPr>
              <w:rFonts w:ascii="Arial" w:hAnsi="Arial" w:cs="Arial"/>
              <w:b/>
              <w:u w:val="single"/>
              <w:lang w:val="en-GB"/>
            </w:rPr>
            <w:t xml:space="preserve">Staff satisfaction </w:t>
          </w:r>
        </w:p>
        <w:tbl>
          <w:tblPr>
            <w:tblStyle w:val="TableGrid8"/>
            <w:tblW w:w="0" w:type="auto"/>
            <w:tblInd w:w="108" w:type="dxa"/>
            <w:tblLook w:val="04A0" w:firstRow="1" w:lastRow="0" w:firstColumn="1" w:lastColumn="0" w:noHBand="0" w:noVBand="1"/>
          </w:tblPr>
          <w:tblGrid>
            <w:gridCol w:w="2515"/>
            <w:gridCol w:w="6388"/>
          </w:tblGrid>
          <w:tr w:rsidR="008B7490" w:rsidRPr="00FF027F" w14:paraId="492C7A46" w14:textId="77777777" w:rsidTr="00A626B4">
            <w:trPr>
              <w:cnfStyle w:val="100000000000" w:firstRow="1" w:lastRow="0" w:firstColumn="0" w:lastColumn="0" w:oddVBand="0" w:evenVBand="0" w:oddHBand="0" w:evenHBand="0" w:firstRowFirstColumn="0" w:firstRowLastColumn="0" w:lastRowFirstColumn="0" w:lastRowLastColumn="0"/>
              <w:trHeight w:val="608"/>
            </w:trPr>
            <w:tc>
              <w:tcPr>
                <w:tcW w:w="2552" w:type="dxa"/>
              </w:tcPr>
              <w:p w14:paraId="5DFD1E3E"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bCs w:val="0"/>
                    <w:color w:val="FFFFFF" w:themeColor="background1"/>
                    <w:sz w:val="22"/>
                    <w:szCs w:val="22"/>
                    <w:highlight w:val="darkBlue"/>
                    <w:lang w:val="en-GB" w:eastAsia="en-US"/>
                  </w:rPr>
                </w:pPr>
                <w:r w:rsidRPr="00FF027F">
                  <w:rPr>
                    <w:rFonts w:asciiTheme="minorHAnsi" w:eastAsiaTheme="minorHAnsi" w:hAnsiTheme="minorHAnsi" w:cs="Arial"/>
                    <w:b w:val="0"/>
                    <w:bCs w:val="0"/>
                    <w:color w:val="FFFFFF" w:themeColor="background1"/>
                    <w:sz w:val="22"/>
                    <w:szCs w:val="22"/>
                    <w:highlight w:val="darkBlue"/>
                    <w:lang w:val="en-GB" w:eastAsia="en-US"/>
                  </w:rPr>
                  <w:t>Activity</w:t>
                </w:r>
              </w:p>
            </w:tc>
            <w:tc>
              <w:tcPr>
                <w:tcW w:w="6520" w:type="dxa"/>
              </w:tcPr>
              <w:p w14:paraId="527E0FAE"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bCs w:val="0"/>
                    <w:color w:val="FFFFFF" w:themeColor="background1"/>
                    <w:sz w:val="22"/>
                    <w:szCs w:val="22"/>
                    <w:lang w:val="en-GB" w:eastAsia="en-US"/>
                  </w:rPr>
                </w:pPr>
                <w:r w:rsidRPr="00FF027F">
                  <w:rPr>
                    <w:rFonts w:asciiTheme="minorHAnsi" w:eastAsiaTheme="minorHAnsi" w:hAnsiTheme="minorHAnsi" w:cs="Arial"/>
                    <w:b w:val="0"/>
                    <w:bCs w:val="0"/>
                    <w:color w:val="FFFFFF" w:themeColor="background1"/>
                    <w:sz w:val="22"/>
                    <w:szCs w:val="22"/>
                    <w:highlight w:val="darkBlue"/>
                    <w:lang w:val="en-GB" w:eastAsia="en-US"/>
                  </w:rPr>
                  <w:t>Review of staff engagement</w:t>
                </w:r>
                <w:r w:rsidRPr="00FF027F">
                  <w:rPr>
                    <w:rFonts w:asciiTheme="minorHAnsi" w:eastAsiaTheme="minorHAnsi" w:hAnsiTheme="minorHAnsi" w:cs="Arial"/>
                    <w:b w:val="0"/>
                    <w:bCs w:val="0"/>
                    <w:color w:val="FFFFFF" w:themeColor="background1"/>
                    <w:sz w:val="22"/>
                    <w:szCs w:val="22"/>
                    <w:lang w:val="en-GB" w:eastAsia="en-US"/>
                  </w:rPr>
                  <w:t xml:space="preserve"> /satisfaction</w:t>
                </w:r>
              </w:p>
            </w:tc>
          </w:tr>
          <w:tr w:rsidR="008B7490" w:rsidRPr="00FF027F" w14:paraId="083A6777" w14:textId="77777777" w:rsidTr="00A626B4">
            <w:trPr>
              <w:trHeight w:val="688"/>
            </w:trPr>
            <w:tc>
              <w:tcPr>
                <w:tcW w:w="2552" w:type="dxa"/>
              </w:tcPr>
              <w:p w14:paraId="4A5BB721"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Objectives and deadlines (indicative)</w:t>
                </w:r>
              </w:p>
            </w:tc>
            <w:tc>
              <w:tcPr>
                <w:tcW w:w="6520" w:type="dxa"/>
              </w:tcPr>
              <w:p w14:paraId="3B8D55D0" w14:textId="77777777" w:rsidR="008B7490" w:rsidRPr="00FF027F" w:rsidRDefault="008B7490" w:rsidP="00F005C9">
                <w:pPr>
                  <w:keepLines w:val="0"/>
                  <w:tabs>
                    <w:tab w:val="clear" w:pos="1985"/>
                    <w:tab w:val="clear" w:pos="5103"/>
                  </w:tabs>
                  <w:spacing w:after="200" w:line="240" w:lineRule="auto"/>
                  <w:ind w:left="197"/>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assess on a regular basis staff’s engagement and satisfaction with internal communication and more in general satisfaction with working at the Agency in order to address potential shortcomings.</w:t>
                </w:r>
              </w:p>
              <w:p w14:paraId="3821EAD3" w14:textId="4CF02092" w:rsidR="008B7490" w:rsidRPr="00FF027F" w:rsidRDefault="008B7490" w:rsidP="00B937D0">
                <w:pPr>
                  <w:keepLines w:val="0"/>
                  <w:tabs>
                    <w:tab w:val="clear" w:pos="1985"/>
                    <w:tab w:val="clear" w:pos="5103"/>
                  </w:tabs>
                  <w:spacing w:after="200" w:line="240" w:lineRule="auto"/>
                  <w:ind w:left="197"/>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 xml:space="preserve">Review to be performed every 2 years.  </w:t>
                </w:r>
              </w:p>
            </w:tc>
          </w:tr>
          <w:tr w:rsidR="008B7490" w:rsidRPr="00FF027F" w14:paraId="57A1816A" w14:textId="77777777" w:rsidTr="00A626B4">
            <w:trPr>
              <w:trHeight w:val="1218"/>
            </w:trPr>
            <w:tc>
              <w:tcPr>
                <w:tcW w:w="2552" w:type="dxa"/>
              </w:tcPr>
              <w:p w14:paraId="439FE64B"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KPIs</w:t>
                </w:r>
              </w:p>
            </w:tc>
            <w:tc>
              <w:tcPr>
                <w:tcW w:w="6520" w:type="dxa"/>
              </w:tcPr>
              <w:p w14:paraId="6852AF93" w14:textId="35DEEE52" w:rsidR="008B7490" w:rsidRPr="00FF027F" w:rsidRDefault="008B7490" w:rsidP="00F005C9">
                <w:pPr>
                  <w:keepLines w:val="0"/>
                  <w:tabs>
                    <w:tab w:val="clear" w:pos="1985"/>
                    <w:tab w:val="clear" w:pos="5103"/>
                  </w:tabs>
                  <w:spacing w:line="240" w:lineRule="auto"/>
                  <w:ind w:left="209"/>
                  <w:jc w:val="left"/>
                  <w:rPr>
                    <w:rFonts w:asciiTheme="minorHAnsi" w:hAnsiTheme="minorHAnsi" w:cs="Arial"/>
                    <w:sz w:val="22"/>
                    <w:szCs w:val="22"/>
                    <w:lang w:val="en-GB" w:eastAsia="sl-SI"/>
                  </w:rPr>
                </w:pPr>
                <w:r w:rsidRPr="00FF027F">
                  <w:rPr>
                    <w:rFonts w:asciiTheme="minorHAnsi" w:hAnsiTheme="minorHAnsi" w:cs="Arial"/>
                    <w:b/>
                    <w:sz w:val="22"/>
                    <w:szCs w:val="22"/>
                    <w:lang w:val="en-GB" w:eastAsia="sl-SI"/>
                  </w:rPr>
                  <w:t>5</w:t>
                </w:r>
                <w:r w:rsidRPr="00FF027F">
                  <w:rPr>
                    <w:rFonts w:asciiTheme="minorHAnsi" w:hAnsiTheme="minorHAnsi" w:cs="Arial"/>
                    <w:sz w:val="22"/>
                    <w:szCs w:val="22"/>
                    <w:lang w:val="en-GB" w:eastAsia="sl-SI"/>
                  </w:rPr>
                  <w:t xml:space="preserve">. </w:t>
                </w:r>
                <w:r w:rsidR="00960659" w:rsidRPr="00FF027F">
                  <w:rPr>
                    <w:rFonts w:asciiTheme="minorHAnsi" w:hAnsiTheme="minorHAnsi" w:cs="Arial"/>
                    <w:sz w:val="22"/>
                    <w:szCs w:val="22"/>
                    <w:lang w:val="en-GB" w:eastAsia="sl-SI"/>
                  </w:rPr>
                  <w:t>2/3</w:t>
                </w:r>
                <w:r w:rsidRPr="00FF027F">
                  <w:rPr>
                    <w:rFonts w:asciiTheme="minorHAnsi" w:hAnsiTheme="minorHAnsi" w:cs="Arial"/>
                    <w:sz w:val="22"/>
                    <w:szCs w:val="22"/>
                    <w:lang w:val="en-GB" w:eastAsia="sl-SI"/>
                  </w:rPr>
                  <w:t xml:space="preserve"> of participating staff satisfied or highly satisfied. </w:t>
                </w:r>
              </w:p>
              <w:p w14:paraId="2A8551D7" w14:textId="055A1FB4" w:rsidR="008B7490" w:rsidRPr="00FF027F" w:rsidRDefault="008B7490" w:rsidP="00F005C9">
                <w:pPr>
                  <w:keepLines w:val="0"/>
                  <w:tabs>
                    <w:tab w:val="clear" w:pos="1985"/>
                    <w:tab w:val="clear" w:pos="5103"/>
                  </w:tabs>
                  <w:spacing w:line="240" w:lineRule="auto"/>
                  <w:ind w:left="209"/>
                  <w:jc w:val="left"/>
                  <w:rPr>
                    <w:rFonts w:asciiTheme="minorHAnsi" w:hAnsiTheme="minorHAnsi" w:cs="Arial"/>
                    <w:sz w:val="22"/>
                    <w:szCs w:val="22"/>
                    <w:lang w:val="en-GB" w:eastAsia="sl-SI"/>
                  </w:rPr>
                </w:pPr>
                <w:r w:rsidRPr="00FF027F">
                  <w:rPr>
                    <w:rFonts w:asciiTheme="minorHAnsi" w:hAnsiTheme="minorHAnsi" w:cs="Arial"/>
                    <w:b/>
                    <w:sz w:val="22"/>
                    <w:szCs w:val="22"/>
                    <w:lang w:val="en-GB" w:eastAsia="sl-SI"/>
                  </w:rPr>
                  <w:t>6</w:t>
                </w:r>
                <w:r w:rsidRPr="00FF027F">
                  <w:rPr>
                    <w:rFonts w:asciiTheme="minorHAnsi" w:hAnsiTheme="minorHAnsi" w:cs="Arial"/>
                    <w:sz w:val="22"/>
                    <w:szCs w:val="22"/>
                    <w:lang w:val="en-GB" w:eastAsia="sl-SI"/>
                  </w:rPr>
                  <w:t xml:space="preserve">. </w:t>
                </w:r>
                <w:r w:rsidR="00F4326A" w:rsidRPr="00FF027F">
                  <w:rPr>
                    <w:rFonts w:asciiTheme="minorHAnsi" w:hAnsiTheme="minorHAnsi" w:cs="Arial"/>
                    <w:sz w:val="22"/>
                    <w:szCs w:val="22"/>
                    <w:lang w:val="en-GB" w:eastAsia="sl-SI"/>
                  </w:rPr>
                  <w:t>70</w:t>
                </w:r>
                <w:r w:rsidRPr="00FF027F">
                  <w:rPr>
                    <w:rFonts w:asciiTheme="minorHAnsi" w:hAnsiTheme="minorHAnsi" w:cs="Arial"/>
                    <w:sz w:val="22"/>
                    <w:szCs w:val="22"/>
                    <w:lang w:val="en-GB" w:eastAsia="sl-SI"/>
                  </w:rPr>
                  <w:t xml:space="preserve">% of staff satisfied or highly satisfied with the level of information shared by line managers. </w:t>
                </w:r>
              </w:p>
            </w:tc>
          </w:tr>
        </w:tbl>
        <w:p w14:paraId="69EEB751" w14:textId="77777777" w:rsidR="008B7490" w:rsidRPr="00FF027F" w:rsidRDefault="008B7490" w:rsidP="00996DC6">
          <w:pPr>
            <w:spacing w:before="360" w:after="360" w:line="360" w:lineRule="auto"/>
            <w:rPr>
              <w:rFonts w:ascii="Arial" w:hAnsi="Arial" w:cs="Arial"/>
              <w:b/>
              <w:color w:val="000000" w:themeColor="text1"/>
              <w:u w:val="single"/>
              <w:lang w:val="en-GB"/>
            </w:rPr>
          </w:pPr>
          <w:r w:rsidRPr="00FF027F">
            <w:rPr>
              <w:rFonts w:ascii="Arial" w:hAnsi="Arial" w:cs="Arial"/>
              <w:b/>
              <w:color w:val="000000" w:themeColor="text1"/>
              <w:u w:val="single"/>
              <w:lang w:val="en-GB"/>
            </w:rPr>
            <w:t>Administration and human resources</w:t>
          </w:r>
        </w:p>
        <w:tbl>
          <w:tblPr>
            <w:tblStyle w:val="TableGrid8"/>
            <w:tblW w:w="0" w:type="auto"/>
            <w:tblInd w:w="108" w:type="dxa"/>
            <w:tblLook w:val="04A0" w:firstRow="1" w:lastRow="0" w:firstColumn="1" w:lastColumn="0" w:noHBand="0" w:noVBand="1"/>
          </w:tblPr>
          <w:tblGrid>
            <w:gridCol w:w="2515"/>
            <w:gridCol w:w="6388"/>
          </w:tblGrid>
          <w:tr w:rsidR="008B7490" w:rsidRPr="00FF027F" w14:paraId="073C1373" w14:textId="77777777" w:rsidTr="00A626B4">
            <w:trPr>
              <w:cnfStyle w:val="100000000000" w:firstRow="1" w:lastRow="0" w:firstColumn="0" w:lastColumn="0" w:oddVBand="0" w:evenVBand="0" w:oddHBand="0" w:evenHBand="0" w:firstRowFirstColumn="0" w:firstRowLastColumn="0" w:lastRowFirstColumn="0" w:lastRowLastColumn="0"/>
            </w:trPr>
            <w:tc>
              <w:tcPr>
                <w:tcW w:w="2552" w:type="dxa"/>
              </w:tcPr>
              <w:p w14:paraId="05FB8947"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bCs w:val="0"/>
                    <w:color w:val="auto"/>
                    <w:sz w:val="22"/>
                    <w:szCs w:val="22"/>
                    <w:lang w:val="en-GB" w:eastAsia="en-US"/>
                  </w:rPr>
                </w:pPr>
                <w:r w:rsidRPr="00FF027F">
                  <w:rPr>
                    <w:rFonts w:asciiTheme="minorHAnsi" w:eastAsiaTheme="minorHAnsi" w:hAnsiTheme="minorHAnsi" w:cs="Arial"/>
                    <w:b w:val="0"/>
                    <w:bCs w:val="0"/>
                    <w:color w:val="FFFFFF" w:themeColor="background1"/>
                    <w:sz w:val="22"/>
                    <w:szCs w:val="22"/>
                    <w:lang w:val="en-GB" w:eastAsia="en-US"/>
                  </w:rPr>
                  <w:t>Activity</w:t>
                </w:r>
              </w:p>
            </w:tc>
            <w:tc>
              <w:tcPr>
                <w:tcW w:w="6520" w:type="dxa"/>
              </w:tcPr>
              <w:p w14:paraId="1DCE1D05"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bCs w:val="0"/>
                    <w:color w:val="FFFFFF" w:themeColor="background1"/>
                    <w:sz w:val="22"/>
                    <w:szCs w:val="22"/>
                    <w:lang w:val="en-GB" w:eastAsia="en-US"/>
                  </w:rPr>
                </w:pPr>
                <w:r w:rsidRPr="00FF027F">
                  <w:rPr>
                    <w:rFonts w:asciiTheme="minorHAnsi" w:eastAsiaTheme="minorHAnsi" w:hAnsiTheme="minorHAnsi" w:cs="Arial"/>
                    <w:b w:val="0"/>
                    <w:bCs w:val="0"/>
                    <w:color w:val="FFFFFF" w:themeColor="background1"/>
                    <w:sz w:val="22"/>
                    <w:szCs w:val="22"/>
                    <w:lang w:val="en-GB" w:eastAsia="en-US"/>
                  </w:rPr>
                  <w:t>Human Resources</w:t>
                </w:r>
              </w:p>
            </w:tc>
          </w:tr>
          <w:tr w:rsidR="008B7490" w:rsidRPr="00FF027F" w14:paraId="06945C88" w14:textId="77777777" w:rsidTr="00A626B4">
            <w:tc>
              <w:tcPr>
                <w:tcW w:w="2552" w:type="dxa"/>
              </w:tcPr>
              <w:p w14:paraId="26C2D2F5"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Objectives and deadlines (indicative)</w:t>
                </w:r>
              </w:p>
            </w:tc>
            <w:tc>
              <w:tcPr>
                <w:tcW w:w="6520" w:type="dxa"/>
              </w:tcPr>
              <w:p w14:paraId="1B23D2FA" w14:textId="77777777" w:rsidR="008B7490" w:rsidRPr="00FF027F" w:rsidRDefault="008B7490" w:rsidP="00F005C9">
                <w:pPr>
                  <w:keepLines w:val="0"/>
                  <w:tabs>
                    <w:tab w:val="clear" w:pos="1985"/>
                    <w:tab w:val="clear" w:pos="5103"/>
                  </w:tabs>
                  <w:spacing w:after="200" w:line="240" w:lineRule="auto"/>
                  <w:ind w:left="202"/>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recruit additional resources in line with the Establishment Plan and replace departing staff members in an efficient and timely manner.</w:t>
                </w:r>
              </w:p>
              <w:p w14:paraId="48618FB8" w14:textId="77777777" w:rsidR="008B7490" w:rsidRPr="00FF027F" w:rsidRDefault="008B7490" w:rsidP="00F005C9">
                <w:pPr>
                  <w:keepLines w:val="0"/>
                  <w:tabs>
                    <w:tab w:val="clear" w:pos="1985"/>
                    <w:tab w:val="clear" w:pos="5103"/>
                  </w:tabs>
                  <w:spacing w:after="200" w:line="240" w:lineRule="auto"/>
                  <w:ind w:left="202"/>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successfully complete the Annual performance appraisal exercise.</w:t>
                </w:r>
              </w:p>
              <w:p w14:paraId="61D369F2" w14:textId="331E68F7" w:rsidR="008B7490" w:rsidRPr="00FF027F" w:rsidRDefault="008B7490" w:rsidP="00F005C9">
                <w:pPr>
                  <w:keepLines w:val="0"/>
                  <w:tabs>
                    <w:tab w:val="clear" w:pos="1985"/>
                    <w:tab w:val="clear" w:pos="5103"/>
                  </w:tabs>
                  <w:spacing w:after="200" w:line="240" w:lineRule="auto"/>
                  <w:ind w:left="202"/>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ensure that staff members regularly attend training to improve their skills.</w:t>
                </w:r>
              </w:p>
            </w:tc>
          </w:tr>
          <w:tr w:rsidR="008B7490" w:rsidRPr="00FF027F" w14:paraId="7F3B657E" w14:textId="77777777" w:rsidTr="00A626B4">
            <w:tc>
              <w:tcPr>
                <w:tcW w:w="2552" w:type="dxa"/>
              </w:tcPr>
              <w:p w14:paraId="04AE8B4D" w14:textId="77777777" w:rsidR="008B7490" w:rsidRPr="00FF027F" w:rsidRDefault="008B7490" w:rsidP="00F005C9">
                <w:pPr>
                  <w:keepLines w:val="0"/>
                  <w:tabs>
                    <w:tab w:val="clear" w:pos="1985"/>
                    <w:tab w:val="clear" w:pos="5103"/>
                  </w:tabs>
                  <w:spacing w:after="200"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KPIs</w:t>
                </w:r>
              </w:p>
            </w:tc>
            <w:tc>
              <w:tcPr>
                <w:tcW w:w="6520" w:type="dxa"/>
              </w:tcPr>
              <w:p w14:paraId="3722BDCC" w14:textId="39C5B521" w:rsidR="008B7490" w:rsidRPr="00FF027F" w:rsidRDefault="008B7490" w:rsidP="00F005C9">
                <w:pPr>
                  <w:keepLines w:val="0"/>
                  <w:tabs>
                    <w:tab w:val="clear" w:pos="1985"/>
                    <w:tab w:val="clear" w:pos="5103"/>
                  </w:tabs>
                  <w:spacing w:after="200" w:line="240" w:lineRule="auto"/>
                  <w:ind w:left="202"/>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b/>
                    <w:sz w:val="22"/>
                    <w:szCs w:val="22"/>
                    <w:lang w:val="en-GB" w:eastAsia="en-US"/>
                  </w:rPr>
                  <w:t>7</w:t>
                </w:r>
                <w:r w:rsidRPr="00FF027F">
                  <w:rPr>
                    <w:rFonts w:asciiTheme="minorHAnsi" w:eastAsiaTheme="minorHAnsi" w:hAnsiTheme="minorHAnsi" w:cs="Arial"/>
                    <w:sz w:val="22"/>
                    <w:szCs w:val="22"/>
                    <w:lang w:val="en-GB" w:eastAsia="en-US"/>
                  </w:rPr>
                  <w:t>.</w:t>
                </w:r>
                <w:r w:rsidR="003168CC" w:rsidRPr="00FF027F">
                  <w:rPr>
                    <w:rFonts w:asciiTheme="minorHAnsi" w:eastAsiaTheme="minorHAnsi" w:hAnsiTheme="minorHAnsi" w:cs="Arial"/>
                    <w:sz w:val="22"/>
                    <w:szCs w:val="22"/>
                    <w:lang w:val="en-GB" w:eastAsia="en-US"/>
                  </w:rPr>
                  <w:t xml:space="preserve"> </w:t>
                </w:r>
                <w:r w:rsidRPr="00FF027F">
                  <w:rPr>
                    <w:rFonts w:asciiTheme="minorHAnsi" w:eastAsiaTheme="minorHAnsi" w:hAnsiTheme="minorHAnsi" w:cs="Arial"/>
                    <w:sz w:val="22"/>
                    <w:szCs w:val="22"/>
                    <w:lang w:val="en-GB" w:eastAsia="en-US"/>
                  </w:rPr>
                  <w:t>Average len</w:t>
                </w:r>
                <w:r w:rsidR="007D0352" w:rsidRPr="00FF027F">
                  <w:rPr>
                    <w:rFonts w:asciiTheme="minorHAnsi" w:eastAsiaTheme="minorHAnsi" w:hAnsiTheme="minorHAnsi" w:cs="Arial"/>
                    <w:sz w:val="22"/>
                    <w:szCs w:val="22"/>
                    <w:lang w:val="en-GB" w:eastAsia="en-US"/>
                  </w:rPr>
                  <w:t>gth of recruitment procedures: 3</w:t>
                </w:r>
                <w:r w:rsidRPr="00FF027F">
                  <w:rPr>
                    <w:rFonts w:asciiTheme="minorHAnsi" w:eastAsiaTheme="minorHAnsi" w:hAnsiTheme="minorHAnsi" w:cs="Arial"/>
                    <w:sz w:val="22"/>
                    <w:szCs w:val="22"/>
                    <w:lang w:val="en-GB" w:eastAsia="en-US"/>
                  </w:rPr>
                  <w:t xml:space="preserve"> months (includ</w:t>
                </w:r>
                <w:r w:rsidR="00B937D0">
                  <w:rPr>
                    <w:rFonts w:asciiTheme="minorHAnsi" w:eastAsiaTheme="minorHAnsi" w:hAnsiTheme="minorHAnsi" w:cs="Arial"/>
                    <w:sz w:val="22"/>
                    <w:szCs w:val="22"/>
                    <w:lang w:val="en-GB" w:eastAsia="en-US"/>
                  </w:rPr>
                  <w:t>ing</w:t>
                </w:r>
                <w:r w:rsidRPr="00FF027F">
                  <w:rPr>
                    <w:rFonts w:asciiTheme="minorHAnsi" w:eastAsiaTheme="minorHAnsi" w:hAnsiTheme="minorHAnsi" w:cs="Arial"/>
                    <w:sz w:val="22"/>
                    <w:szCs w:val="22"/>
                    <w:lang w:val="en-GB" w:eastAsia="en-US"/>
                  </w:rPr>
                  <w:t xml:space="preserve"> </w:t>
                </w:r>
                <w:r w:rsidR="00B937D0">
                  <w:rPr>
                    <w:rFonts w:asciiTheme="minorHAnsi" w:eastAsiaTheme="minorHAnsi" w:hAnsiTheme="minorHAnsi" w:cs="Arial"/>
                    <w:sz w:val="22"/>
                    <w:szCs w:val="22"/>
                    <w:lang w:val="en-GB" w:eastAsia="en-US"/>
                  </w:rPr>
                  <w:t xml:space="preserve">the </w:t>
                </w:r>
                <w:r w:rsidRPr="00FF027F">
                  <w:rPr>
                    <w:rFonts w:asciiTheme="minorHAnsi" w:eastAsiaTheme="minorHAnsi" w:hAnsiTheme="minorHAnsi" w:cs="Arial"/>
                    <w:sz w:val="22"/>
                    <w:szCs w:val="22"/>
                    <w:lang w:val="en-GB" w:eastAsia="en-US"/>
                  </w:rPr>
                  <w:t>1</w:t>
                </w:r>
                <w:r w:rsidR="00B937D0">
                  <w:rPr>
                    <w:rFonts w:asciiTheme="minorHAnsi" w:eastAsiaTheme="minorHAnsi" w:hAnsiTheme="minorHAnsi" w:cs="Arial"/>
                    <w:sz w:val="22"/>
                    <w:szCs w:val="22"/>
                    <w:lang w:val="en-GB" w:eastAsia="en-US"/>
                  </w:rPr>
                  <w:t>-</w:t>
                </w:r>
                <w:r w:rsidRPr="00FF027F">
                  <w:rPr>
                    <w:rFonts w:asciiTheme="minorHAnsi" w:eastAsiaTheme="minorHAnsi" w:hAnsiTheme="minorHAnsi" w:cs="Arial"/>
                    <w:sz w:val="22"/>
                    <w:szCs w:val="22"/>
                    <w:lang w:val="en-GB" w:eastAsia="en-US"/>
                  </w:rPr>
                  <w:t xml:space="preserve">month </w:t>
                </w:r>
                <w:r w:rsidR="00B937D0">
                  <w:rPr>
                    <w:rFonts w:asciiTheme="minorHAnsi" w:eastAsiaTheme="minorHAnsi" w:hAnsiTheme="minorHAnsi" w:cs="Arial"/>
                    <w:sz w:val="22"/>
                    <w:szCs w:val="22"/>
                    <w:lang w:val="en-GB" w:eastAsia="en-US"/>
                  </w:rPr>
                  <w:t>period of publication</w:t>
                </w:r>
                <w:r w:rsidR="00CA593B">
                  <w:rPr>
                    <w:rFonts w:asciiTheme="minorHAnsi" w:eastAsiaTheme="minorHAnsi" w:hAnsiTheme="minorHAnsi" w:cs="Arial"/>
                    <w:sz w:val="22"/>
                    <w:szCs w:val="22"/>
                    <w:lang w:val="en-GB" w:eastAsia="en-US"/>
                  </w:rPr>
                  <w:t xml:space="preserve"> </w:t>
                </w:r>
                <w:r w:rsidRPr="00FF027F">
                  <w:rPr>
                    <w:rFonts w:asciiTheme="minorHAnsi" w:eastAsiaTheme="minorHAnsi" w:hAnsiTheme="minorHAnsi" w:cs="Arial"/>
                    <w:sz w:val="22"/>
                    <w:szCs w:val="22"/>
                    <w:lang w:val="en-GB" w:eastAsia="en-US"/>
                  </w:rPr>
                  <w:t>of the V</w:t>
                </w:r>
                <w:r w:rsidR="003168CC" w:rsidRPr="00FF027F">
                  <w:rPr>
                    <w:rFonts w:asciiTheme="minorHAnsi" w:eastAsiaTheme="minorHAnsi" w:hAnsiTheme="minorHAnsi" w:cs="Arial"/>
                    <w:sz w:val="22"/>
                    <w:szCs w:val="22"/>
                    <w:lang w:val="en-GB" w:eastAsia="en-US"/>
                  </w:rPr>
                  <w:t xml:space="preserve">acancy </w:t>
                </w:r>
                <w:r w:rsidRPr="00FF027F">
                  <w:rPr>
                    <w:rFonts w:asciiTheme="minorHAnsi" w:eastAsiaTheme="minorHAnsi" w:hAnsiTheme="minorHAnsi" w:cs="Arial"/>
                    <w:sz w:val="22"/>
                    <w:szCs w:val="22"/>
                    <w:lang w:val="en-GB" w:eastAsia="en-US"/>
                  </w:rPr>
                  <w:t>N</w:t>
                </w:r>
                <w:r w:rsidR="003168CC" w:rsidRPr="00FF027F">
                  <w:rPr>
                    <w:rFonts w:asciiTheme="minorHAnsi" w:eastAsiaTheme="minorHAnsi" w:hAnsiTheme="minorHAnsi" w:cs="Arial"/>
                    <w:sz w:val="22"/>
                    <w:szCs w:val="22"/>
                    <w:lang w:val="en-GB" w:eastAsia="en-US"/>
                  </w:rPr>
                  <w:t>otice</w:t>
                </w:r>
                <w:r w:rsidRPr="00FF027F">
                  <w:rPr>
                    <w:rFonts w:asciiTheme="minorHAnsi" w:eastAsiaTheme="minorHAnsi" w:hAnsiTheme="minorHAnsi" w:cs="Arial"/>
                    <w:sz w:val="22"/>
                    <w:szCs w:val="22"/>
                    <w:lang w:val="en-GB" w:eastAsia="en-US"/>
                  </w:rPr>
                  <w:t>)</w:t>
                </w:r>
                <w:r w:rsidR="003168CC" w:rsidRPr="00FF027F">
                  <w:rPr>
                    <w:rFonts w:asciiTheme="minorHAnsi" w:eastAsiaTheme="minorHAnsi" w:hAnsiTheme="minorHAnsi" w:cs="Arial"/>
                    <w:sz w:val="22"/>
                    <w:szCs w:val="22"/>
                    <w:lang w:val="en-GB" w:eastAsia="en-US"/>
                  </w:rPr>
                  <w:t>.</w:t>
                </w:r>
              </w:p>
              <w:p w14:paraId="4AD8171F" w14:textId="77777777" w:rsidR="008B7490" w:rsidRPr="00FF027F" w:rsidRDefault="008B7490" w:rsidP="00F005C9">
                <w:pPr>
                  <w:keepLines w:val="0"/>
                  <w:tabs>
                    <w:tab w:val="clear" w:pos="1985"/>
                    <w:tab w:val="clear" w:pos="5103"/>
                  </w:tabs>
                  <w:spacing w:after="200" w:line="240" w:lineRule="auto"/>
                  <w:ind w:left="202"/>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b/>
                    <w:sz w:val="22"/>
                    <w:szCs w:val="22"/>
                    <w:lang w:val="en-GB" w:eastAsia="en-US"/>
                  </w:rPr>
                  <w:t>8.</w:t>
                </w:r>
                <w:r w:rsidR="00342A28" w:rsidRPr="00FF027F">
                  <w:rPr>
                    <w:rFonts w:asciiTheme="minorHAnsi" w:eastAsiaTheme="minorHAnsi" w:hAnsiTheme="minorHAnsi" w:cs="Arial"/>
                    <w:sz w:val="22"/>
                    <w:szCs w:val="22"/>
                    <w:lang w:val="en-GB" w:eastAsia="en-US"/>
                  </w:rPr>
                  <w:t xml:space="preserve"> 100</w:t>
                </w:r>
                <w:r w:rsidRPr="00FF027F">
                  <w:rPr>
                    <w:rFonts w:asciiTheme="minorHAnsi" w:eastAsiaTheme="minorHAnsi" w:hAnsiTheme="minorHAnsi" w:cs="Arial"/>
                    <w:sz w:val="22"/>
                    <w:szCs w:val="22"/>
                    <w:lang w:val="en-GB" w:eastAsia="en-US"/>
                  </w:rPr>
                  <w:t>% of ACER staff subject to performance appraisal on an annual basis.</w:t>
                </w:r>
              </w:p>
              <w:p w14:paraId="5EFBDC32" w14:textId="346A44A4" w:rsidR="008B7490" w:rsidRPr="00FF027F" w:rsidRDefault="008B7490" w:rsidP="00F005C9">
                <w:pPr>
                  <w:keepLines w:val="0"/>
                  <w:tabs>
                    <w:tab w:val="clear" w:pos="1985"/>
                    <w:tab w:val="clear" w:pos="5103"/>
                  </w:tabs>
                  <w:spacing w:after="200" w:line="240" w:lineRule="auto"/>
                  <w:ind w:left="202"/>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b/>
                    <w:sz w:val="22"/>
                    <w:szCs w:val="22"/>
                    <w:lang w:val="en-GB" w:eastAsia="en-US"/>
                  </w:rPr>
                  <w:t xml:space="preserve">9. </w:t>
                </w:r>
                <w:r w:rsidR="007D0352" w:rsidRPr="00FF027F">
                  <w:rPr>
                    <w:rFonts w:asciiTheme="minorHAnsi" w:eastAsiaTheme="minorHAnsi" w:hAnsiTheme="minorHAnsi" w:cs="Arial"/>
                    <w:sz w:val="22"/>
                    <w:szCs w:val="22"/>
                    <w:lang w:val="en-GB" w:eastAsia="en-US"/>
                  </w:rPr>
                  <w:t>75</w:t>
                </w:r>
                <w:r w:rsidRPr="00FF027F">
                  <w:rPr>
                    <w:rFonts w:asciiTheme="minorHAnsi" w:eastAsiaTheme="minorHAnsi" w:hAnsiTheme="minorHAnsi" w:cs="Arial"/>
                    <w:sz w:val="22"/>
                    <w:szCs w:val="22"/>
                    <w:lang w:val="en-GB" w:eastAsia="en-US"/>
                  </w:rPr>
                  <w:t>% of staff satisfied or very satisfied with the Agency’s training policy.</w:t>
                </w:r>
              </w:p>
            </w:tc>
          </w:tr>
        </w:tbl>
        <w:p w14:paraId="24B1923A" w14:textId="77777777" w:rsidR="008B7490" w:rsidRPr="00FF027F" w:rsidRDefault="008B7490" w:rsidP="008B7490">
          <w:pPr>
            <w:rPr>
              <w:rFonts w:ascii="Arial" w:hAnsi="Arial" w:cs="Arial"/>
              <w:sz w:val="16"/>
              <w:szCs w:val="16"/>
              <w:lang w:val="en-GB"/>
            </w:rPr>
          </w:pPr>
        </w:p>
        <w:p w14:paraId="0F29AB6B" w14:textId="77777777" w:rsidR="00E932AB" w:rsidRPr="00FF027F" w:rsidRDefault="00E932AB">
          <w:pPr>
            <w:rPr>
              <w:rFonts w:ascii="Arial" w:hAnsi="Arial" w:cs="Arial"/>
              <w:b/>
              <w:u w:val="single"/>
              <w:lang w:val="en-GB"/>
            </w:rPr>
          </w:pPr>
          <w:r w:rsidRPr="00FF027F">
            <w:rPr>
              <w:rFonts w:ascii="Arial" w:hAnsi="Arial" w:cs="Arial"/>
              <w:b/>
              <w:u w:val="single"/>
              <w:lang w:val="en-GB"/>
            </w:rPr>
            <w:br w:type="page"/>
          </w:r>
        </w:p>
        <w:p w14:paraId="4B4393DC" w14:textId="1EDC9415" w:rsidR="008B7490" w:rsidRPr="00FF027F" w:rsidRDefault="008B7490" w:rsidP="00996DC6">
          <w:pPr>
            <w:spacing w:before="360" w:after="360"/>
            <w:rPr>
              <w:rFonts w:ascii="Arial" w:hAnsi="Arial" w:cs="Arial"/>
              <w:b/>
              <w:u w:val="single"/>
              <w:lang w:val="en-GB"/>
            </w:rPr>
          </w:pPr>
          <w:r w:rsidRPr="00FF027F">
            <w:rPr>
              <w:rFonts w:ascii="Arial" w:hAnsi="Arial" w:cs="Arial"/>
              <w:b/>
              <w:u w:val="single"/>
              <w:lang w:val="en-GB"/>
            </w:rPr>
            <w:t xml:space="preserve">Budget implementation and audit </w:t>
          </w:r>
        </w:p>
        <w:tbl>
          <w:tblPr>
            <w:tblStyle w:val="TableGrid8"/>
            <w:tblW w:w="0" w:type="auto"/>
            <w:tblInd w:w="108" w:type="dxa"/>
            <w:tblLook w:val="04A0" w:firstRow="1" w:lastRow="0" w:firstColumn="1" w:lastColumn="0" w:noHBand="0" w:noVBand="1"/>
          </w:tblPr>
          <w:tblGrid>
            <w:gridCol w:w="2665"/>
            <w:gridCol w:w="6238"/>
          </w:tblGrid>
          <w:tr w:rsidR="008B7490" w:rsidRPr="00FF027F" w14:paraId="5041B8B3" w14:textId="77777777" w:rsidTr="00A626B4">
            <w:trPr>
              <w:cnfStyle w:val="100000000000" w:firstRow="1" w:lastRow="0" w:firstColumn="0" w:lastColumn="0" w:oddVBand="0" w:evenVBand="0" w:oddHBand="0" w:evenHBand="0" w:firstRowFirstColumn="0" w:firstRowLastColumn="0" w:lastRowFirstColumn="0" w:lastRowLastColumn="0"/>
            </w:trPr>
            <w:tc>
              <w:tcPr>
                <w:tcW w:w="2710" w:type="dxa"/>
              </w:tcPr>
              <w:p w14:paraId="71D1B258" w14:textId="77777777" w:rsidR="008B7490" w:rsidRPr="00FF027F" w:rsidRDefault="008B7490" w:rsidP="003168CC">
                <w:pPr>
                  <w:keepLines w:val="0"/>
                  <w:tabs>
                    <w:tab w:val="clear" w:pos="1985"/>
                    <w:tab w:val="clear" w:pos="5103"/>
                  </w:tabs>
                  <w:spacing w:after="200" w:line="240" w:lineRule="auto"/>
                  <w:ind w:left="202"/>
                  <w:jc w:val="left"/>
                  <w:rPr>
                    <w:rFonts w:asciiTheme="minorHAnsi" w:eastAsiaTheme="minorHAnsi" w:hAnsiTheme="minorHAnsi" w:cs="Arial"/>
                    <w:b w:val="0"/>
                    <w:bCs w:val="0"/>
                    <w:color w:val="auto"/>
                    <w:sz w:val="22"/>
                    <w:szCs w:val="22"/>
                    <w:lang w:val="en-GB" w:eastAsia="en-US"/>
                  </w:rPr>
                </w:pPr>
                <w:r w:rsidRPr="00FF027F">
                  <w:rPr>
                    <w:rFonts w:asciiTheme="minorHAnsi" w:eastAsiaTheme="minorHAnsi" w:hAnsiTheme="minorHAnsi" w:cs="Arial"/>
                    <w:b w:val="0"/>
                    <w:bCs w:val="0"/>
                    <w:color w:val="FFFFFF" w:themeColor="background1"/>
                    <w:sz w:val="22"/>
                    <w:szCs w:val="22"/>
                    <w:lang w:val="en-GB" w:eastAsia="en-US"/>
                  </w:rPr>
                  <w:t>Activity</w:t>
                </w:r>
              </w:p>
            </w:tc>
            <w:tc>
              <w:tcPr>
                <w:tcW w:w="6362" w:type="dxa"/>
              </w:tcPr>
              <w:p w14:paraId="14B3C964" w14:textId="77777777" w:rsidR="008B7490" w:rsidRPr="00FF027F" w:rsidRDefault="008B7490" w:rsidP="003168CC">
                <w:pPr>
                  <w:keepLines w:val="0"/>
                  <w:tabs>
                    <w:tab w:val="clear" w:pos="1985"/>
                    <w:tab w:val="clear" w:pos="5103"/>
                  </w:tabs>
                  <w:spacing w:after="200" w:line="240" w:lineRule="auto"/>
                  <w:ind w:left="202"/>
                  <w:jc w:val="left"/>
                  <w:rPr>
                    <w:rFonts w:asciiTheme="minorHAnsi" w:hAnsiTheme="minorHAnsi" w:cs="Arial"/>
                    <w:b w:val="0"/>
                    <w:bCs w:val="0"/>
                    <w:color w:val="FFFFFF" w:themeColor="background1"/>
                    <w:sz w:val="22"/>
                    <w:szCs w:val="22"/>
                    <w:lang w:val="en-GB" w:eastAsia="sl-SI"/>
                  </w:rPr>
                </w:pPr>
                <w:r w:rsidRPr="00FF027F">
                  <w:rPr>
                    <w:rFonts w:asciiTheme="minorHAnsi" w:hAnsiTheme="minorHAnsi" w:cs="Arial"/>
                    <w:b w:val="0"/>
                    <w:bCs w:val="0"/>
                    <w:color w:val="FFFFFF" w:themeColor="background1"/>
                    <w:sz w:val="22"/>
                    <w:szCs w:val="22"/>
                    <w:lang w:val="en-GB" w:eastAsia="sl-SI"/>
                  </w:rPr>
                  <w:t>Budget Implementation and Audit</w:t>
                </w:r>
              </w:p>
            </w:tc>
          </w:tr>
          <w:tr w:rsidR="008B7490" w:rsidRPr="00FF027F" w14:paraId="3F238C11" w14:textId="77777777" w:rsidTr="00A626B4">
            <w:tc>
              <w:tcPr>
                <w:tcW w:w="2710" w:type="dxa"/>
              </w:tcPr>
              <w:p w14:paraId="04578DC9" w14:textId="77777777" w:rsidR="008B7490" w:rsidRPr="00FF027F" w:rsidRDefault="008B7490" w:rsidP="00F005C9">
                <w:pPr>
                  <w:keepLines w:val="0"/>
                  <w:tabs>
                    <w:tab w:val="clear" w:pos="1985"/>
                    <w:tab w:val="clear" w:pos="5103"/>
                  </w:tabs>
                  <w:spacing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 xml:space="preserve">Objectives </w:t>
                </w:r>
              </w:p>
            </w:tc>
            <w:tc>
              <w:tcPr>
                <w:tcW w:w="6362" w:type="dxa"/>
              </w:tcPr>
              <w:p w14:paraId="2DE71AEF" w14:textId="77777777" w:rsidR="008B7490" w:rsidRPr="00FF027F" w:rsidRDefault="008B7490" w:rsidP="00F005C9">
                <w:pPr>
                  <w:keepLines w:val="0"/>
                  <w:tabs>
                    <w:tab w:val="clear" w:pos="1985"/>
                    <w:tab w:val="clear" w:pos="5103"/>
                  </w:tabs>
                  <w:spacing w:line="240" w:lineRule="auto"/>
                  <w:ind w:left="202"/>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To achieve a high level of budget implementation for both commitment and payment appropriations.</w:t>
                </w:r>
              </w:p>
              <w:p w14:paraId="1600FE2C" w14:textId="2EFE29DC" w:rsidR="008B7490" w:rsidRPr="00FF027F" w:rsidRDefault="008B7490" w:rsidP="00F005C9">
                <w:pPr>
                  <w:keepLines w:val="0"/>
                  <w:tabs>
                    <w:tab w:val="clear" w:pos="1985"/>
                    <w:tab w:val="clear" w:pos="5103"/>
                  </w:tabs>
                  <w:spacing w:line="240" w:lineRule="auto"/>
                  <w:ind w:left="202"/>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To implement recommendations of the Internal Audit Service in a timely manner and to receive a positive opinion the European Court of Auditors and implement its recommendations</w:t>
                </w:r>
                <w:r w:rsidR="003168CC" w:rsidRPr="00FF027F">
                  <w:rPr>
                    <w:rFonts w:asciiTheme="minorHAnsi" w:hAnsiTheme="minorHAnsi" w:cs="Arial"/>
                    <w:sz w:val="22"/>
                    <w:szCs w:val="22"/>
                    <w:lang w:val="en-GB" w:eastAsia="sl-SI"/>
                  </w:rPr>
                  <w:t>.</w:t>
                </w:r>
              </w:p>
            </w:tc>
          </w:tr>
          <w:tr w:rsidR="008B7490" w:rsidRPr="00FF027F" w14:paraId="38F411A6" w14:textId="77777777" w:rsidTr="00A626B4">
            <w:tc>
              <w:tcPr>
                <w:tcW w:w="2710" w:type="dxa"/>
              </w:tcPr>
              <w:p w14:paraId="51C136DA" w14:textId="77777777" w:rsidR="008B7490" w:rsidRPr="00FF027F" w:rsidRDefault="008B7490" w:rsidP="00F005C9">
                <w:pPr>
                  <w:keepLines w:val="0"/>
                  <w:tabs>
                    <w:tab w:val="clear" w:pos="1985"/>
                    <w:tab w:val="clear" w:pos="5103"/>
                  </w:tabs>
                  <w:spacing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KPI</w:t>
                </w:r>
              </w:p>
            </w:tc>
            <w:tc>
              <w:tcPr>
                <w:tcW w:w="6362" w:type="dxa"/>
              </w:tcPr>
              <w:p w14:paraId="7C621864" w14:textId="5BF469A6" w:rsidR="008B7490" w:rsidRPr="00FF027F" w:rsidRDefault="008B7490" w:rsidP="00F005C9">
                <w:pPr>
                  <w:keepLines w:val="0"/>
                  <w:tabs>
                    <w:tab w:val="clear" w:pos="1985"/>
                    <w:tab w:val="clear" w:pos="5103"/>
                  </w:tabs>
                  <w:spacing w:line="240" w:lineRule="auto"/>
                  <w:ind w:left="202"/>
                  <w:jc w:val="left"/>
                  <w:rPr>
                    <w:rFonts w:asciiTheme="minorHAnsi" w:hAnsiTheme="minorHAnsi" w:cs="Arial"/>
                    <w:sz w:val="22"/>
                    <w:szCs w:val="22"/>
                    <w:lang w:val="en-GB" w:eastAsia="en-US"/>
                  </w:rPr>
                </w:pPr>
                <w:r w:rsidRPr="00FF027F">
                  <w:rPr>
                    <w:rFonts w:asciiTheme="minorHAnsi" w:hAnsiTheme="minorHAnsi" w:cs="Arial"/>
                    <w:b/>
                    <w:sz w:val="22"/>
                    <w:szCs w:val="22"/>
                    <w:lang w:val="en-GB" w:eastAsia="en-US"/>
                  </w:rPr>
                  <w:t>10</w:t>
                </w:r>
                <w:r w:rsidR="007D0352" w:rsidRPr="00FF027F">
                  <w:rPr>
                    <w:rFonts w:asciiTheme="minorHAnsi" w:hAnsiTheme="minorHAnsi" w:cs="Arial"/>
                    <w:sz w:val="22"/>
                    <w:szCs w:val="22"/>
                    <w:lang w:val="en-GB" w:eastAsia="en-US"/>
                  </w:rPr>
                  <w:t>. At least 95</w:t>
                </w:r>
                <w:r w:rsidRPr="00FF027F">
                  <w:rPr>
                    <w:rFonts w:asciiTheme="minorHAnsi" w:hAnsiTheme="minorHAnsi" w:cs="Arial"/>
                    <w:sz w:val="22"/>
                    <w:szCs w:val="22"/>
                    <w:lang w:val="en-GB" w:eastAsia="en-US"/>
                  </w:rPr>
                  <w:t>% execution of commitment appropriations.</w:t>
                </w:r>
              </w:p>
              <w:p w14:paraId="5A4EB44E" w14:textId="0CFC5E0C" w:rsidR="008B7490" w:rsidRPr="00FF027F" w:rsidRDefault="008B7490" w:rsidP="00F005C9">
                <w:pPr>
                  <w:keepLines w:val="0"/>
                  <w:tabs>
                    <w:tab w:val="clear" w:pos="1985"/>
                    <w:tab w:val="clear" w:pos="5103"/>
                  </w:tabs>
                  <w:spacing w:line="240" w:lineRule="auto"/>
                  <w:ind w:left="202"/>
                  <w:jc w:val="left"/>
                  <w:rPr>
                    <w:rFonts w:asciiTheme="minorHAnsi" w:hAnsiTheme="minorHAnsi" w:cs="Arial"/>
                    <w:sz w:val="22"/>
                    <w:szCs w:val="22"/>
                    <w:lang w:val="en-GB" w:eastAsia="en-US"/>
                  </w:rPr>
                </w:pPr>
                <w:r w:rsidRPr="00FF027F">
                  <w:rPr>
                    <w:rFonts w:asciiTheme="minorHAnsi" w:hAnsiTheme="minorHAnsi" w:cs="Arial"/>
                    <w:b/>
                    <w:sz w:val="22"/>
                    <w:szCs w:val="22"/>
                    <w:lang w:val="en-GB" w:eastAsia="en-US"/>
                  </w:rPr>
                  <w:t>11</w:t>
                </w:r>
                <w:r w:rsidR="007D0352" w:rsidRPr="00FF027F">
                  <w:rPr>
                    <w:rFonts w:asciiTheme="minorHAnsi" w:hAnsiTheme="minorHAnsi" w:cs="Arial"/>
                    <w:sz w:val="22"/>
                    <w:szCs w:val="22"/>
                    <w:lang w:val="en-GB" w:eastAsia="en-US"/>
                  </w:rPr>
                  <w:t>. Minimum 75</w:t>
                </w:r>
                <w:r w:rsidRPr="00FF027F">
                  <w:rPr>
                    <w:rFonts w:asciiTheme="minorHAnsi" w:hAnsiTheme="minorHAnsi" w:cs="Arial"/>
                    <w:sz w:val="22"/>
                    <w:szCs w:val="22"/>
                    <w:lang w:val="en-GB" w:eastAsia="en-US"/>
                  </w:rPr>
                  <w:t>% execution of payment appropriations.</w:t>
                </w:r>
              </w:p>
              <w:p w14:paraId="1867F778" w14:textId="2B660BDB" w:rsidR="008B7490" w:rsidRPr="00FF027F" w:rsidRDefault="008B7490" w:rsidP="00F005C9">
                <w:pPr>
                  <w:keepLines w:val="0"/>
                  <w:tabs>
                    <w:tab w:val="clear" w:pos="1985"/>
                    <w:tab w:val="clear" w:pos="5103"/>
                  </w:tabs>
                  <w:spacing w:line="240" w:lineRule="auto"/>
                  <w:ind w:left="202"/>
                  <w:jc w:val="left"/>
                  <w:rPr>
                    <w:rFonts w:asciiTheme="minorHAnsi" w:hAnsiTheme="minorHAnsi" w:cs="Arial"/>
                    <w:sz w:val="22"/>
                    <w:szCs w:val="22"/>
                    <w:lang w:val="en-GB" w:eastAsia="en-US"/>
                  </w:rPr>
                </w:pPr>
                <w:r w:rsidRPr="00FF027F">
                  <w:rPr>
                    <w:rFonts w:asciiTheme="minorHAnsi" w:hAnsiTheme="minorHAnsi" w:cs="Arial"/>
                    <w:b/>
                    <w:sz w:val="22"/>
                    <w:szCs w:val="22"/>
                    <w:lang w:val="en-GB" w:eastAsia="en-US"/>
                  </w:rPr>
                  <w:t>12.</w:t>
                </w:r>
                <w:r w:rsidRPr="00FF027F">
                  <w:rPr>
                    <w:rFonts w:asciiTheme="minorHAnsi" w:hAnsiTheme="minorHAnsi" w:cs="Arial"/>
                    <w:sz w:val="22"/>
                    <w:szCs w:val="22"/>
                    <w:lang w:val="en-GB" w:eastAsia="en-US"/>
                  </w:rPr>
                  <w:t xml:space="preserve"> Non-qualified</w:t>
                </w:r>
                <w:r w:rsidR="00493E9D" w:rsidRPr="00FF027F">
                  <w:rPr>
                    <w:rFonts w:asciiTheme="minorHAnsi" w:hAnsiTheme="minorHAnsi" w:cs="Arial"/>
                    <w:sz w:val="22"/>
                    <w:szCs w:val="22"/>
                    <w:lang w:val="en-GB" w:eastAsia="en-US"/>
                  </w:rPr>
                  <w:t xml:space="preserve"> opinion received from ECA and 75</w:t>
                </w:r>
                <w:r w:rsidRPr="00FF027F">
                  <w:rPr>
                    <w:rFonts w:asciiTheme="minorHAnsi" w:hAnsiTheme="minorHAnsi" w:cs="Arial"/>
                    <w:sz w:val="22"/>
                    <w:szCs w:val="22"/>
                    <w:lang w:val="en-GB" w:eastAsia="en-US"/>
                  </w:rPr>
                  <w:t>% of its recommendations implemented according to Agency’s Action Plan</w:t>
                </w:r>
                <w:r w:rsidR="003168CC" w:rsidRPr="00FF027F">
                  <w:rPr>
                    <w:rFonts w:asciiTheme="minorHAnsi" w:hAnsiTheme="minorHAnsi" w:cs="Arial"/>
                    <w:sz w:val="22"/>
                    <w:szCs w:val="22"/>
                    <w:lang w:val="en-GB" w:eastAsia="en-US"/>
                  </w:rPr>
                  <w:t>.</w:t>
                </w:r>
              </w:p>
              <w:p w14:paraId="678D75FB" w14:textId="6D27EF36" w:rsidR="008B7490" w:rsidRPr="00FF027F" w:rsidRDefault="008B7490" w:rsidP="00F005C9">
                <w:pPr>
                  <w:keepLines w:val="0"/>
                  <w:tabs>
                    <w:tab w:val="clear" w:pos="1985"/>
                    <w:tab w:val="clear" w:pos="5103"/>
                  </w:tabs>
                  <w:spacing w:line="240" w:lineRule="auto"/>
                  <w:ind w:left="202"/>
                  <w:jc w:val="left"/>
                  <w:rPr>
                    <w:rFonts w:asciiTheme="minorHAnsi" w:hAnsiTheme="minorHAnsi" w:cs="Arial"/>
                    <w:sz w:val="22"/>
                    <w:szCs w:val="22"/>
                    <w:lang w:val="en-GB" w:eastAsia="en-US"/>
                  </w:rPr>
                </w:pPr>
                <w:r w:rsidRPr="00FF027F">
                  <w:rPr>
                    <w:rFonts w:asciiTheme="minorHAnsi" w:hAnsiTheme="minorHAnsi" w:cs="Arial"/>
                    <w:b/>
                    <w:sz w:val="22"/>
                    <w:szCs w:val="22"/>
                    <w:lang w:val="en-GB" w:eastAsia="en-US"/>
                  </w:rPr>
                  <w:t xml:space="preserve">13. </w:t>
                </w:r>
                <w:r w:rsidR="00493E9D" w:rsidRPr="00FF027F">
                  <w:rPr>
                    <w:rFonts w:asciiTheme="minorHAnsi" w:hAnsiTheme="minorHAnsi" w:cs="Arial"/>
                    <w:sz w:val="22"/>
                    <w:szCs w:val="22"/>
                    <w:lang w:val="en-GB" w:eastAsia="en-US"/>
                  </w:rPr>
                  <w:t>85</w:t>
                </w:r>
                <w:r w:rsidRPr="00FF027F">
                  <w:rPr>
                    <w:rFonts w:asciiTheme="minorHAnsi" w:hAnsiTheme="minorHAnsi" w:cs="Arial"/>
                    <w:sz w:val="22"/>
                    <w:szCs w:val="22"/>
                    <w:lang w:val="en-GB" w:eastAsia="en-US"/>
                  </w:rPr>
                  <w:t>% of IAS recommendations implemented in line with the Agency’s Action Plan.</w:t>
                </w:r>
              </w:p>
            </w:tc>
          </w:tr>
        </w:tbl>
        <w:p w14:paraId="0655E3A0" w14:textId="77777777" w:rsidR="008B7490" w:rsidRPr="00FF027F" w:rsidRDefault="008B7490" w:rsidP="008B7490">
          <w:pPr>
            <w:rPr>
              <w:rFonts w:ascii="Arial" w:hAnsi="Arial" w:cs="Arial"/>
              <w:b/>
              <w:sz w:val="16"/>
              <w:szCs w:val="16"/>
              <w:u w:val="single"/>
              <w:lang w:val="en-GB"/>
            </w:rPr>
          </w:pPr>
        </w:p>
        <w:p w14:paraId="280A2E31" w14:textId="58496F9C" w:rsidR="008B7490" w:rsidRPr="00FF027F" w:rsidRDefault="008B7490" w:rsidP="00996DC6">
          <w:pPr>
            <w:spacing w:before="360" w:after="360"/>
            <w:rPr>
              <w:rFonts w:ascii="Arial" w:hAnsi="Arial" w:cs="Arial"/>
              <w:b/>
              <w:u w:val="single"/>
              <w:lang w:val="en-GB"/>
            </w:rPr>
          </w:pPr>
          <w:r w:rsidRPr="00FF027F">
            <w:rPr>
              <w:rFonts w:ascii="Arial" w:hAnsi="Arial" w:cs="Arial"/>
              <w:b/>
              <w:u w:val="single"/>
              <w:lang w:val="en-GB"/>
            </w:rPr>
            <w:t xml:space="preserve">ICT Infrastructure </w:t>
          </w:r>
        </w:p>
        <w:tbl>
          <w:tblPr>
            <w:tblStyle w:val="TableGrid8"/>
            <w:tblW w:w="9120" w:type="dxa"/>
            <w:tblInd w:w="108" w:type="dxa"/>
            <w:tblLook w:val="04A0" w:firstRow="1" w:lastRow="0" w:firstColumn="1" w:lastColumn="0" w:noHBand="0" w:noVBand="1"/>
          </w:tblPr>
          <w:tblGrid>
            <w:gridCol w:w="2694"/>
            <w:gridCol w:w="6426"/>
          </w:tblGrid>
          <w:tr w:rsidR="008B7490" w:rsidRPr="00FF027F" w14:paraId="140E5C91" w14:textId="77777777" w:rsidTr="00A626B4">
            <w:trPr>
              <w:cnfStyle w:val="100000000000" w:firstRow="1" w:lastRow="0" w:firstColumn="0" w:lastColumn="0" w:oddVBand="0" w:evenVBand="0" w:oddHBand="0" w:evenHBand="0" w:firstRowFirstColumn="0" w:firstRowLastColumn="0" w:lastRowFirstColumn="0" w:lastRowLastColumn="0"/>
              <w:trHeight w:val="627"/>
            </w:trPr>
            <w:tc>
              <w:tcPr>
                <w:tcW w:w="2694" w:type="dxa"/>
              </w:tcPr>
              <w:p w14:paraId="299AE911" w14:textId="77777777" w:rsidR="008B7490" w:rsidRPr="00FF027F" w:rsidRDefault="008B7490" w:rsidP="001272EB">
                <w:pPr>
                  <w:keepLines w:val="0"/>
                  <w:tabs>
                    <w:tab w:val="clear" w:pos="1985"/>
                    <w:tab w:val="clear" w:pos="5103"/>
                  </w:tabs>
                  <w:spacing w:after="200" w:line="240" w:lineRule="auto"/>
                  <w:jc w:val="left"/>
                  <w:rPr>
                    <w:rFonts w:asciiTheme="minorHAnsi" w:eastAsiaTheme="minorHAnsi" w:hAnsiTheme="minorHAnsi" w:cs="Arial"/>
                    <w:b w:val="0"/>
                    <w:bCs w:val="0"/>
                    <w:color w:val="FFFFFF" w:themeColor="background1"/>
                    <w:sz w:val="22"/>
                    <w:szCs w:val="22"/>
                    <w:lang w:val="en-GB" w:eastAsia="en-US"/>
                  </w:rPr>
                </w:pPr>
                <w:r w:rsidRPr="00FF027F">
                  <w:rPr>
                    <w:rFonts w:asciiTheme="minorHAnsi" w:eastAsiaTheme="minorHAnsi" w:hAnsiTheme="minorHAnsi" w:cs="Arial"/>
                    <w:b w:val="0"/>
                    <w:bCs w:val="0"/>
                    <w:color w:val="auto"/>
                    <w:sz w:val="22"/>
                    <w:szCs w:val="22"/>
                    <w:lang w:val="en-GB" w:eastAsia="en-US"/>
                  </w:rPr>
                  <w:br w:type="page"/>
                </w:r>
                <w:r w:rsidRPr="00FF027F">
                  <w:rPr>
                    <w:rFonts w:asciiTheme="minorHAnsi" w:eastAsiaTheme="minorHAnsi" w:hAnsiTheme="minorHAnsi" w:cs="Arial"/>
                    <w:b w:val="0"/>
                    <w:bCs w:val="0"/>
                    <w:color w:val="FFFFFF" w:themeColor="background1"/>
                    <w:sz w:val="22"/>
                    <w:szCs w:val="22"/>
                    <w:lang w:val="en-GB" w:eastAsia="en-US"/>
                  </w:rPr>
                  <w:t>Activity</w:t>
                </w:r>
              </w:p>
            </w:tc>
            <w:tc>
              <w:tcPr>
                <w:tcW w:w="6426" w:type="dxa"/>
              </w:tcPr>
              <w:p w14:paraId="36EBEDCB" w14:textId="77777777" w:rsidR="008B7490" w:rsidRPr="00FF027F" w:rsidRDefault="008B7490" w:rsidP="001272EB">
                <w:pPr>
                  <w:keepLines w:val="0"/>
                  <w:tabs>
                    <w:tab w:val="clear" w:pos="1985"/>
                    <w:tab w:val="clear" w:pos="5103"/>
                  </w:tabs>
                  <w:spacing w:after="200" w:line="240" w:lineRule="auto"/>
                  <w:ind w:left="197"/>
                  <w:jc w:val="left"/>
                  <w:rPr>
                    <w:rFonts w:asciiTheme="minorHAnsi" w:eastAsiaTheme="minorHAnsi" w:hAnsiTheme="minorHAnsi" w:cs="Arial"/>
                    <w:b w:val="0"/>
                    <w:bCs w:val="0"/>
                    <w:color w:val="FFFFFF" w:themeColor="background1"/>
                    <w:sz w:val="22"/>
                    <w:szCs w:val="22"/>
                    <w:lang w:val="en-GB" w:eastAsia="en-US"/>
                  </w:rPr>
                </w:pPr>
                <w:r w:rsidRPr="00FF027F">
                  <w:rPr>
                    <w:rFonts w:asciiTheme="minorHAnsi" w:eastAsiaTheme="minorHAnsi" w:hAnsiTheme="minorHAnsi" w:cs="Arial"/>
                    <w:b w:val="0"/>
                    <w:bCs w:val="0"/>
                    <w:color w:val="FFFFFF" w:themeColor="background1"/>
                    <w:sz w:val="22"/>
                    <w:szCs w:val="22"/>
                    <w:lang w:val="en-GB" w:eastAsia="en-US"/>
                  </w:rPr>
                  <w:t>ICT Development</w:t>
                </w:r>
              </w:p>
            </w:tc>
          </w:tr>
          <w:tr w:rsidR="008B7490" w:rsidRPr="00FF027F" w14:paraId="42E72A32" w14:textId="77777777" w:rsidTr="00A626B4">
            <w:trPr>
              <w:trHeight w:val="1605"/>
            </w:trPr>
            <w:tc>
              <w:tcPr>
                <w:tcW w:w="2694" w:type="dxa"/>
              </w:tcPr>
              <w:p w14:paraId="0601D5A9" w14:textId="77777777" w:rsidR="008B7490" w:rsidRPr="00FF027F" w:rsidRDefault="008B7490" w:rsidP="00F005C9">
                <w:pPr>
                  <w:keepLines w:val="0"/>
                  <w:tabs>
                    <w:tab w:val="clear" w:pos="1985"/>
                    <w:tab w:val="clear" w:pos="5103"/>
                  </w:tabs>
                  <w:spacing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 xml:space="preserve">Objectives </w:t>
                </w:r>
              </w:p>
            </w:tc>
            <w:tc>
              <w:tcPr>
                <w:tcW w:w="6426" w:type="dxa"/>
              </w:tcPr>
              <w:p w14:paraId="0F6E639A" w14:textId="77777777" w:rsidR="008B7490" w:rsidRPr="00FF027F" w:rsidRDefault="008B7490" w:rsidP="00F005C9">
                <w:pPr>
                  <w:keepLines w:val="0"/>
                  <w:tabs>
                    <w:tab w:val="clear" w:pos="1985"/>
                    <w:tab w:val="clear" w:pos="5103"/>
                  </w:tabs>
                  <w:spacing w:line="240" w:lineRule="auto"/>
                  <w:ind w:left="202"/>
                  <w:jc w:val="left"/>
                  <w:rPr>
                    <w:rFonts w:asciiTheme="minorHAnsi" w:eastAsia="Calibri" w:hAnsiTheme="minorHAnsi" w:cs="Arial"/>
                    <w:bCs/>
                    <w:sz w:val="22"/>
                    <w:szCs w:val="22"/>
                    <w:lang w:val="en-GB" w:eastAsia="sl-SI"/>
                  </w:rPr>
                </w:pPr>
                <w:r w:rsidRPr="00FF027F">
                  <w:rPr>
                    <w:rFonts w:asciiTheme="minorHAnsi" w:eastAsia="Calibri" w:hAnsiTheme="minorHAnsi" w:cs="Arial"/>
                    <w:sz w:val="22"/>
                    <w:szCs w:val="22"/>
                    <w:lang w:val="en-GB" w:eastAsia="sl-SI"/>
                  </w:rPr>
                  <w:t xml:space="preserve">To ensure </w:t>
                </w:r>
                <w:r w:rsidRPr="00FF027F">
                  <w:rPr>
                    <w:rFonts w:asciiTheme="minorHAnsi" w:eastAsia="Calibri" w:hAnsiTheme="minorHAnsi" w:cs="Arial"/>
                    <w:bCs/>
                    <w:sz w:val="22"/>
                    <w:szCs w:val="22"/>
                    <w:lang w:val="en-GB" w:eastAsia="sl-SI"/>
                  </w:rPr>
                  <w:t>the further development and acquisition of applications and services to cover the Agency's departments’ needs and to maintain or renew those already in place.</w:t>
                </w:r>
              </w:p>
              <w:p w14:paraId="18EFCF0F" w14:textId="77777777" w:rsidR="008B7490" w:rsidRPr="00FF027F" w:rsidRDefault="008B7490" w:rsidP="00F005C9">
                <w:pPr>
                  <w:keepLines w:val="0"/>
                  <w:tabs>
                    <w:tab w:val="clear" w:pos="1985"/>
                    <w:tab w:val="clear" w:pos="5103"/>
                  </w:tabs>
                  <w:spacing w:line="240" w:lineRule="auto"/>
                  <w:ind w:left="202"/>
                  <w:jc w:val="left"/>
                  <w:rPr>
                    <w:rFonts w:asciiTheme="minorHAnsi" w:eastAsia="Calibri" w:hAnsiTheme="minorHAnsi" w:cs="Arial"/>
                    <w:sz w:val="22"/>
                    <w:szCs w:val="22"/>
                    <w:lang w:val="en-GB" w:eastAsia="sl-SI"/>
                  </w:rPr>
                </w:pPr>
                <w:r w:rsidRPr="00FF027F">
                  <w:rPr>
                    <w:rFonts w:asciiTheme="minorHAnsi" w:eastAsia="Calibri" w:hAnsiTheme="minorHAnsi" w:cs="Arial"/>
                    <w:sz w:val="22"/>
                    <w:szCs w:val="22"/>
                    <w:lang w:val="en-GB" w:eastAsia="sl-SI"/>
                  </w:rPr>
                  <w:t>Where needed, upgrade or renew the ICT equipment, software and hardware infrastructure of the Agency.</w:t>
                </w:r>
              </w:p>
            </w:tc>
          </w:tr>
          <w:tr w:rsidR="008B7490" w:rsidRPr="00FF027F" w14:paraId="54A6FCC9" w14:textId="77777777" w:rsidTr="00A626B4">
            <w:trPr>
              <w:trHeight w:val="786"/>
            </w:trPr>
            <w:tc>
              <w:tcPr>
                <w:tcW w:w="2694" w:type="dxa"/>
              </w:tcPr>
              <w:p w14:paraId="394A9F66" w14:textId="77777777" w:rsidR="008B7490" w:rsidRPr="00FF027F" w:rsidRDefault="008B7490" w:rsidP="00F005C9">
                <w:pPr>
                  <w:keepLines w:val="0"/>
                  <w:tabs>
                    <w:tab w:val="clear" w:pos="1985"/>
                    <w:tab w:val="clear" w:pos="5103"/>
                  </w:tabs>
                  <w:spacing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KPI</w:t>
                </w:r>
              </w:p>
            </w:tc>
            <w:tc>
              <w:tcPr>
                <w:tcW w:w="6426" w:type="dxa"/>
              </w:tcPr>
              <w:p w14:paraId="7ED1E0B8" w14:textId="10B1D2A2" w:rsidR="008B7490" w:rsidRPr="00FF027F" w:rsidRDefault="008B7490" w:rsidP="00F005C9">
                <w:pPr>
                  <w:keepLines w:val="0"/>
                  <w:tabs>
                    <w:tab w:val="clear" w:pos="1985"/>
                    <w:tab w:val="clear" w:pos="5103"/>
                  </w:tabs>
                  <w:spacing w:line="240" w:lineRule="auto"/>
                  <w:ind w:left="202"/>
                  <w:jc w:val="left"/>
                  <w:rPr>
                    <w:rFonts w:asciiTheme="minorHAnsi" w:eastAsia="Calibri" w:hAnsiTheme="minorHAnsi" w:cs="Arial"/>
                    <w:bCs/>
                    <w:sz w:val="22"/>
                    <w:szCs w:val="22"/>
                    <w:lang w:val="en-GB" w:eastAsia="en-US"/>
                  </w:rPr>
                </w:pPr>
                <w:r w:rsidRPr="00FF027F">
                  <w:rPr>
                    <w:rFonts w:asciiTheme="minorHAnsi" w:eastAsia="Calibri" w:hAnsiTheme="minorHAnsi" w:cs="Arial"/>
                    <w:b/>
                    <w:bCs/>
                    <w:sz w:val="22"/>
                    <w:szCs w:val="22"/>
                    <w:lang w:val="en-GB" w:eastAsia="en-US"/>
                  </w:rPr>
                  <w:t xml:space="preserve">14. </w:t>
                </w:r>
                <w:r w:rsidR="00493E9D" w:rsidRPr="00FF027F">
                  <w:rPr>
                    <w:rFonts w:asciiTheme="minorHAnsi" w:eastAsia="Calibri" w:hAnsiTheme="minorHAnsi" w:cs="Arial"/>
                    <w:bCs/>
                    <w:sz w:val="22"/>
                    <w:szCs w:val="22"/>
                    <w:lang w:val="en-GB" w:eastAsia="en-US"/>
                  </w:rPr>
                  <w:t>80</w:t>
                </w:r>
                <w:r w:rsidRPr="00FF027F">
                  <w:rPr>
                    <w:rFonts w:asciiTheme="minorHAnsi" w:eastAsia="Calibri" w:hAnsiTheme="minorHAnsi" w:cs="Arial"/>
                    <w:b/>
                    <w:bCs/>
                    <w:sz w:val="22"/>
                    <w:szCs w:val="22"/>
                    <w:lang w:val="en-GB" w:eastAsia="en-US"/>
                  </w:rPr>
                  <w:t>%</w:t>
                </w:r>
                <w:r w:rsidRPr="00FF027F">
                  <w:rPr>
                    <w:rFonts w:asciiTheme="minorHAnsi" w:eastAsia="Calibri" w:hAnsiTheme="minorHAnsi" w:cs="Arial"/>
                    <w:bCs/>
                    <w:sz w:val="22"/>
                    <w:szCs w:val="22"/>
                    <w:lang w:val="en-GB" w:eastAsia="en-US"/>
                  </w:rPr>
                  <w:t xml:space="preserve"> of staff satisfied or very satisfied with IT services on the basis of an annual satisfaction survey.</w:t>
                </w:r>
              </w:p>
            </w:tc>
          </w:tr>
        </w:tbl>
        <w:p w14:paraId="253C944C" w14:textId="77777777" w:rsidR="008B7490" w:rsidRPr="00FF027F" w:rsidRDefault="008B7490" w:rsidP="00996DC6">
          <w:pPr>
            <w:spacing w:before="360" w:after="360" w:line="360" w:lineRule="auto"/>
            <w:rPr>
              <w:rFonts w:ascii="Arial" w:hAnsi="Arial" w:cs="Arial"/>
              <w:b/>
              <w:u w:val="single"/>
              <w:lang w:val="en-GB"/>
            </w:rPr>
          </w:pPr>
          <w:r w:rsidRPr="00FF027F">
            <w:rPr>
              <w:rFonts w:ascii="Arial" w:hAnsi="Arial" w:cs="Arial"/>
              <w:b/>
              <w:u w:val="single"/>
              <w:lang w:val="en-GB"/>
            </w:rPr>
            <w:t>Regulatory practice and cooperation with NRAs</w:t>
          </w:r>
        </w:p>
        <w:tbl>
          <w:tblPr>
            <w:tblStyle w:val="TableGrid8"/>
            <w:tblW w:w="9072" w:type="dxa"/>
            <w:tblInd w:w="108" w:type="dxa"/>
            <w:tblLook w:val="04A0" w:firstRow="1" w:lastRow="0" w:firstColumn="1" w:lastColumn="0" w:noHBand="0" w:noVBand="1"/>
          </w:tblPr>
          <w:tblGrid>
            <w:gridCol w:w="2700"/>
            <w:gridCol w:w="6372"/>
          </w:tblGrid>
          <w:tr w:rsidR="008B7490" w:rsidRPr="00FF027F" w14:paraId="50E43DAB" w14:textId="77777777" w:rsidTr="00A626B4">
            <w:trPr>
              <w:cnfStyle w:val="100000000000" w:firstRow="1" w:lastRow="0" w:firstColumn="0" w:lastColumn="0" w:oddVBand="0" w:evenVBand="0" w:oddHBand="0" w:evenHBand="0" w:firstRowFirstColumn="0" w:firstRowLastColumn="0" w:lastRowFirstColumn="0" w:lastRowLastColumn="0"/>
              <w:trHeight w:val="665"/>
            </w:trPr>
            <w:tc>
              <w:tcPr>
                <w:tcW w:w="2700" w:type="dxa"/>
              </w:tcPr>
              <w:p w14:paraId="2011E2F4" w14:textId="77777777" w:rsidR="008B7490" w:rsidRPr="00FF027F" w:rsidRDefault="008B7490" w:rsidP="001272EB">
                <w:pPr>
                  <w:keepLines w:val="0"/>
                  <w:tabs>
                    <w:tab w:val="clear" w:pos="1985"/>
                    <w:tab w:val="clear" w:pos="5103"/>
                  </w:tabs>
                  <w:autoSpaceDE w:val="0"/>
                  <w:autoSpaceDN w:val="0"/>
                  <w:adjustRightInd w:val="0"/>
                  <w:spacing w:line="240" w:lineRule="auto"/>
                  <w:jc w:val="left"/>
                  <w:rPr>
                    <w:rFonts w:asciiTheme="minorHAnsi" w:eastAsiaTheme="minorHAnsi" w:hAnsiTheme="minorHAnsi" w:cs="Arial"/>
                    <w:b w:val="0"/>
                    <w:bCs w:val="0"/>
                    <w:color w:val="auto"/>
                    <w:sz w:val="22"/>
                    <w:szCs w:val="22"/>
                    <w:lang w:val="en-GB" w:eastAsia="en-US"/>
                  </w:rPr>
                </w:pPr>
                <w:r w:rsidRPr="00FF027F">
                  <w:rPr>
                    <w:rFonts w:asciiTheme="minorHAnsi" w:eastAsiaTheme="minorHAnsi" w:hAnsiTheme="minorHAnsi" w:cs="Arial"/>
                    <w:b w:val="0"/>
                    <w:bCs w:val="0"/>
                    <w:color w:val="FFFFFF" w:themeColor="background1"/>
                    <w:sz w:val="22"/>
                    <w:szCs w:val="22"/>
                    <w:lang w:val="en-GB" w:eastAsia="en-US"/>
                  </w:rPr>
                  <w:t>Activity</w:t>
                </w:r>
              </w:p>
            </w:tc>
            <w:tc>
              <w:tcPr>
                <w:tcW w:w="6372" w:type="dxa"/>
              </w:tcPr>
              <w:p w14:paraId="693C7F15" w14:textId="77777777" w:rsidR="008B7490" w:rsidRPr="00FF027F" w:rsidRDefault="008B7490" w:rsidP="001272EB">
                <w:pPr>
                  <w:keepLines w:val="0"/>
                  <w:tabs>
                    <w:tab w:val="clear" w:pos="1985"/>
                    <w:tab w:val="clear" w:pos="5103"/>
                  </w:tabs>
                  <w:spacing w:line="240" w:lineRule="auto"/>
                  <w:ind w:left="202"/>
                  <w:jc w:val="left"/>
                  <w:rPr>
                    <w:rFonts w:asciiTheme="minorHAnsi" w:hAnsiTheme="minorHAnsi" w:cs="Arial"/>
                    <w:b w:val="0"/>
                    <w:bCs w:val="0"/>
                    <w:color w:val="FFFFFF" w:themeColor="background1"/>
                    <w:sz w:val="22"/>
                    <w:szCs w:val="22"/>
                    <w:lang w:val="en-GB" w:eastAsia="sl-SI"/>
                  </w:rPr>
                </w:pPr>
                <w:r w:rsidRPr="00FF027F">
                  <w:rPr>
                    <w:rFonts w:asciiTheme="minorHAnsi" w:hAnsiTheme="minorHAnsi" w:cs="Arial"/>
                    <w:b w:val="0"/>
                    <w:bCs w:val="0"/>
                    <w:color w:val="FFFFFF" w:themeColor="background1"/>
                    <w:sz w:val="22"/>
                    <w:szCs w:val="22"/>
                    <w:lang w:val="en-GB" w:eastAsia="sl-SI"/>
                  </w:rPr>
                  <w:t>Regulatory Cooperation</w:t>
                </w:r>
              </w:p>
            </w:tc>
          </w:tr>
          <w:tr w:rsidR="008B7490" w:rsidRPr="00FF027F" w14:paraId="5A42F52D" w14:textId="77777777" w:rsidTr="00A626B4">
            <w:trPr>
              <w:trHeight w:val="665"/>
            </w:trPr>
            <w:tc>
              <w:tcPr>
                <w:tcW w:w="2700" w:type="dxa"/>
              </w:tcPr>
              <w:p w14:paraId="5F1E9852" w14:textId="77777777" w:rsidR="008B7490" w:rsidRPr="00FF027F" w:rsidRDefault="008B7490" w:rsidP="00F005C9">
                <w:pPr>
                  <w:keepLines w:val="0"/>
                  <w:tabs>
                    <w:tab w:val="clear" w:pos="1985"/>
                    <w:tab w:val="clear" w:pos="5103"/>
                  </w:tabs>
                  <w:autoSpaceDE w:val="0"/>
                  <w:autoSpaceDN w:val="0"/>
                  <w:adjustRightInd w:val="0"/>
                  <w:spacing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 xml:space="preserve">Objectives </w:t>
                </w:r>
              </w:p>
            </w:tc>
            <w:tc>
              <w:tcPr>
                <w:tcW w:w="6372" w:type="dxa"/>
              </w:tcPr>
              <w:p w14:paraId="33C65B68" w14:textId="70C2784B"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Maintain high efficiency in the working method of the BoR</w:t>
                </w:r>
                <w:r w:rsidR="00B937D0">
                  <w:rPr>
                    <w:rFonts w:asciiTheme="minorHAnsi" w:hAnsiTheme="minorHAnsi" w:cs="Arial"/>
                    <w:sz w:val="22"/>
                    <w:szCs w:val="22"/>
                    <w:lang w:val="en-GB" w:eastAsia="sl-SI"/>
                  </w:rPr>
                  <w:t xml:space="preserve"> and</w:t>
                </w:r>
                <w:r w:rsidRPr="00FF027F">
                  <w:rPr>
                    <w:rFonts w:asciiTheme="minorHAnsi" w:hAnsiTheme="minorHAnsi" w:cs="Arial"/>
                    <w:sz w:val="22"/>
                    <w:szCs w:val="22"/>
                    <w:lang w:val="en-GB" w:eastAsia="sl-SI"/>
                  </w:rPr>
                  <w:t xml:space="preserve"> AWGs, </w:t>
                </w:r>
                <w:r w:rsidR="00B937D0">
                  <w:rPr>
                    <w:rFonts w:asciiTheme="minorHAnsi" w:hAnsiTheme="minorHAnsi" w:cs="Arial"/>
                    <w:sz w:val="22"/>
                    <w:szCs w:val="22"/>
                    <w:lang w:val="en-GB" w:eastAsia="sl-SI"/>
                  </w:rPr>
                  <w:t xml:space="preserve">and </w:t>
                </w:r>
                <w:r w:rsidRPr="00FF027F">
                  <w:rPr>
                    <w:rFonts w:asciiTheme="minorHAnsi" w:hAnsiTheme="minorHAnsi" w:cs="Arial"/>
                    <w:sz w:val="22"/>
                    <w:szCs w:val="22"/>
                    <w:lang w:val="en-GB" w:eastAsia="sl-SI"/>
                  </w:rPr>
                  <w:t>to facilitate their overall operation with a view to promoting regulatory cooperation. Increase awareness of the BoR operations by the public through debriefings. Improve the format of meetings and agendas, facilitate the exchange of information through dedicated folders, and provide Secretariat debriefings on the items in the agenda included for information.</w:t>
                </w:r>
              </w:p>
              <w:p w14:paraId="5BAD618C" w14:textId="7B3701F4"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 xml:space="preserve">Develop, where appropriate, beyond the existing working arrangements, the tools for the cooperation of NRAs (including at regional level) and their strong links with the Agency in new areas such as monitoring of the effective implementation of the </w:t>
                </w:r>
                <w:r w:rsidR="0017513A" w:rsidRPr="00FF027F">
                  <w:rPr>
                    <w:rFonts w:asciiTheme="minorHAnsi" w:hAnsiTheme="minorHAnsi" w:cs="Arial"/>
                    <w:sz w:val="22"/>
                    <w:szCs w:val="22"/>
                    <w:lang w:val="en-GB" w:eastAsia="sl-SI"/>
                  </w:rPr>
                  <w:t>N</w:t>
                </w:r>
                <w:r w:rsidRPr="00FF027F">
                  <w:rPr>
                    <w:rFonts w:asciiTheme="minorHAnsi" w:hAnsiTheme="minorHAnsi" w:cs="Arial"/>
                    <w:sz w:val="22"/>
                    <w:szCs w:val="22"/>
                    <w:lang w:val="en-GB" w:eastAsia="sl-SI"/>
                  </w:rPr>
                  <w:t xml:space="preserve">etwork </w:t>
                </w:r>
                <w:r w:rsidR="0017513A" w:rsidRPr="00FF027F">
                  <w:rPr>
                    <w:rFonts w:asciiTheme="minorHAnsi" w:hAnsiTheme="minorHAnsi" w:cs="Arial"/>
                    <w:sz w:val="22"/>
                    <w:szCs w:val="22"/>
                    <w:lang w:val="en-GB" w:eastAsia="sl-SI"/>
                  </w:rPr>
                  <w:t>C</w:t>
                </w:r>
                <w:r w:rsidRPr="00FF027F">
                  <w:rPr>
                    <w:rFonts w:asciiTheme="minorHAnsi" w:hAnsiTheme="minorHAnsi" w:cs="Arial"/>
                    <w:sz w:val="22"/>
                    <w:szCs w:val="22"/>
                    <w:lang w:val="en-GB" w:eastAsia="sl-SI"/>
                  </w:rPr>
                  <w:t xml:space="preserve">odes. </w:t>
                </w:r>
              </w:p>
              <w:p w14:paraId="25841D9D" w14:textId="1C73E72D"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 xml:space="preserve">Contribute to developing the regional cooperation in line with the agreed objectives set out in the cross-regional plans in electricity and in gas, to foster the (early) implementation of the provisions in the </w:t>
                </w:r>
                <w:r w:rsidR="0017513A" w:rsidRPr="00FF027F">
                  <w:rPr>
                    <w:rFonts w:asciiTheme="minorHAnsi" w:hAnsiTheme="minorHAnsi" w:cs="Arial"/>
                    <w:sz w:val="22"/>
                    <w:szCs w:val="22"/>
                    <w:lang w:val="en-GB" w:eastAsia="sl-SI"/>
                  </w:rPr>
                  <w:t>N</w:t>
                </w:r>
                <w:r w:rsidRPr="00FF027F">
                  <w:rPr>
                    <w:rFonts w:asciiTheme="minorHAnsi" w:hAnsiTheme="minorHAnsi" w:cs="Arial"/>
                    <w:sz w:val="22"/>
                    <w:szCs w:val="22"/>
                    <w:lang w:val="en-GB" w:eastAsia="sl-SI"/>
                  </w:rPr>
                  <w:t xml:space="preserve">etwork </w:t>
                </w:r>
                <w:r w:rsidR="0017513A" w:rsidRPr="00FF027F">
                  <w:rPr>
                    <w:rFonts w:asciiTheme="minorHAnsi" w:hAnsiTheme="minorHAnsi" w:cs="Arial"/>
                    <w:sz w:val="22"/>
                    <w:szCs w:val="22"/>
                    <w:lang w:val="en-GB" w:eastAsia="sl-SI"/>
                  </w:rPr>
                  <w:t>C</w:t>
                </w:r>
                <w:r w:rsidRPr="00FF027F">
                  <w:rPr>
                    <w:rFonts w:asciiTheme="minorHAnsi" w:hAnsiTheme="minorHAnsi" w:cs="Arial"/>
                    <w:sz w:val="22"/>
                    <w:szCs w:val="22"/>
                    <w:lang w:val="en-GB" w:eastAsia="sl-SI"/>
                  </w:rPr>
                  <w:t xml:space="preserve">odes, with a new focus on new pilot projects. </w:t>
                </w:r>
              </w:p>
              <w:p w14:paraId="5870DD23" w14:textId="77777777"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 xml:space="preserve">Allow the sharing of best practices between NRAs and the Agency on issues of common interest. </w:t>
                </w:r>
              </w:p>
              <w:p w14:paraId="7CE05E07" w14:textId="6F8DD61F"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Foster exchange of experience with the regulatory associations outside the EU, where necessary, and on areas of mutual interest (e.g. Energy Community; FERC on market monitoring activities, EU</w:t>
                </w:r>
                <w:r w:rsidR="00B937D0">
                  <w:rPr>
                    <w:rFonts w:asciiTheme="minorHAnsi" w:hAnsiTheme="minorHAnsi" w:cs="Arial"/>
                    <w:sz w:val="22"/>
                    <w:szCs w:val="22"/>
                    <w:lang w:val="en-GB" w:eastAsia="sl-SI"/>
                  </w:rPr>
                  <w:t>-</w:t>
                </w:r>
                <w:r w:rsidRPr="00FF027F">
                  <w:rPr>
                    <w:rFonts w:asciiTheme="minorHAnsi" w:hAnsiTheme="minorHAnsi" w:cs="Arial"/>
                    <w:sz w:val="22"/>
                    <w:szCs w:val="22"/>
                    <w:lang w:val="en-GB" w:eastAsia="sl-SI"/>
                  </w:rPr>
                  <w:t xml:space="preserve">US regulatory dialogue).  </w:t>
                </w:r>
              </w:p>
              <w:p w14:paraId="46843C56" w14:textId="77777777"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 xml:space="preserve">Consolidate regulatory cooperation and working arrangements in the context of the Energy Infrastructure work and a consistent framework across the regions and corridors in undertaking the Agency’s new tasks under the proposed TEN-E Regulation. </w:t>
                </w:r>
              </w:p>
              <w:p w14:paraId="5A0B8A94" w14:textId="77777777"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Produce a yearly, high-quality Market Monitoring report.</w:t>
                </w:r>
              </w:p>
              <w:p w14:paraId="07D039B8" w14:textId="77777777" w:rsidR="008B7490" w:rsidRPr="00FF027F" w:rsidRDefault="008B7490" w:rsidP="00F005C9">
                <w:pPr>
                  <w:keepLines w:val="0"/>
                  <w:tabs>
                    <w:tab w:val="clear" w:pos="1985"/>
                    <w:tab w:val="clear" w:pos="5103"/>
                  </w:tabs>
                  <w:spacing w:line="240" w:lineRule="auto"/>
                  <w:ind w:left="204"/>
                  <w:jc w:val="left"/>
                  <w:rPr>
                    <w:rFonts w:asciiTheme="minorHAnsi" w:hAnsiTheme="minorHAnsi" w:cs="Arial"/>
                    <w:sz w:val="22"/>
                    <w:szCs w:val="22"/>
                    <w:lang w:val="en-GB" w:eastAsia="sl-SI"/>
                  </w:rPr>
                </w:pPr>
                <w:r w:rsidRPr="00FF027F">
                  <w:rPr>
                    <w:rFonts w:asciiTheme="minorHAnsi" w:hAnsiTheme="minorHAnsi" w:cs="Arial"/>
                    <w:sz w:val="22"/>
                    <w:szCs w:val="22"/>
                    <w:lang w:val="en-GB" w:eastAsia="sl-SI"/>
                  </w:rPr>
                  <w:t>Reinforce cooperation between NRAs under REMIT, both at EU and regional level, through MOUs, and potential synergies in services to avoid duplication.</w:t>
                </w:r>
              </w:p>
            </w:tc>
          </w:tr>
          <w:tr w:rsidR="008B7490" w:rsidRPr="00FF027F" w14:paraId="5BF88393" w14:textId="77777777" w:rsidTr="00A626B4">
            <w:trPr>
              <w:trHeight w:val="603"/>
            </w:trPr>
            <w:tc>
              <w:tcPr>
                <w:tcW w:w="2700" w:type="dxa"/>
              </w:tcPr>
              <w:p w14:paraId="55C49511" w14:textId="77777777" w:rsidR="008B7490" w:rsidRPr="00FF027F" w:rsidRDefault="008B7490" w:rsidP="00F005C9">
                <w:pPr>
                  <w:keepLines w:val="0"/>
                  <w:tabs>
                    <w:tab w:val="clear" w:pos="1985"/>
                    <w:tab w:val="clear" w:pos="5103"/>
                  </w:tabs>
                  <w:autoSpaceDE w:val="0"/>
                  <w:autoSpaceDN w:val="0"/>
                  <w:adjustRightInd w:val="0"/>
                  <w:spacing w:line="240" w:lineRule="auto"/>
                  <w:jc w:val="left"/>
                  <w:rPr>
                    <w:rFonts w:asciiTheme="minorHAnsi" w:eastAsiaTheme="minorHAnsi" w:hAnsiTheme="minorHAnsi" w:cs="Arial"/>
                    <w:sz w:val="22"/>
                    <w:szCs w:val="22"/>
                    <w:lang w:val="en-GB" w:eastAsia="en-US"/>
                  </w:rPr>
                </w:pPr>
                <w:r w:rsidRPr="00FF027F">
                  <w:rPr>
                    <w:rFonts w:asciiTheme="minorHAnsi" w:eastAsiaTheme="minorHAnsi" w:hAnsiTheme="minorHAnsi" w:cs="Arial"/>
                    <w:sz w:val="22"/>
                    <w:szCs w:val="22"/>
                    <w:lang w:val="en-GB" w:eastAsia="en-US"/>
                  </w:rPr>
                  <w:t>KPI</w:t>
                </w:r>
              </w:p>
            </w:tc>
            <w:tc>
              <w:tcPr>
                <w:tcW w:w="6372" w:type="dxa"/>
              </w:tcPr>
              <w:p w14:paraId="71977F38" w14:textId="422EF08B" w:rsidR="008B7490" w:rsidRPr="00FF027F" w:rsidRDefault="008B7490">
                <w:pPr>
                  <w:keepLines w:val="0"/>
                  <w:tabs>
                    <w:tab w:val="clear" w:pos="1985"/>
                    <w:tab w:val="clear" w:pos="5103"/>
                  </w:tabs>
                  <w:autoSpaceDE w:val="0"/>
                  <w:autoSpaceDN w:val="0"/>
                  <w:adjustRightInd w:val="0"/>
                  <w:spacing w:line="240" w:lineRule="auto"/>
                  <w:ind w:left="202"/>
                  <w:jc w:val="left"/>
                  <w:rPr>
                    <w:rFonts w:asciiTheme="minorHAnsi" w:hAnsiTheme="minorHAnsi" w:cs="Arial"/>
                    <w:bCs/>
                    <w:sz w:val="22"/>
                    <w:szCs w:val="22"/>
                    <w:lang w:val="en-GB" w:eastAsia="sl-SI"/>
                  </w:rPr>
                </w:pPr>
                <w:r w:rsidRPr="00FF027F">
                  <w:rPr>
                    <w:rFonts w:asciiTheme="minorHAnsi" w:hAnsiTheme="minorHAnsi" w:cs="Arial"/>
                    <w:b/>
                    <w:bCs/>
                    <w:sz w:val="22"/>
                    <w:szCs w:val="22"/>
                    <w:lang w:val="en-GB" w:eastAsia="sl-SI"/>
                  </w:rPr>
                  <w:t>15.</w:t>
                </w:r>
                <w:r w:rsidRPr="00FF027F">
                  <w:rPr>
                    <w:rFonts w:asciiTheme="minorHAnsi" w:hAnsiTheme="minorHAnsi" w:cs="Arial"/>
                    <w:bCs/>
                    <w:sz w:val="22"/>
                    <w:szCs w:val="22"/>
                    <w:lang w:val="en-GB" w:eastAsia="sl-SI"/>
                  </w:rPr>
                  <w:t xml:space="preserve"> </w:t>
                </w:r>
                <w:r w:rsidR="00F4326A" w:rsidRPr="00FF027F">
                  <w:rPr>
                    <w:rFonts w:asciiTheme="minorHAnsi" w:hAnsiTheme="minorHAnsi" w:cs="Arial"/>
                    <w:bCs/>
                    <w:sz w:val="22"/>
                    <w:szCs w:val="22"/>
                    <w:lang w:val="en-GB" w:eastAsia="sl-SI"/>
                  </w:rPr>
                  <w:t>70</w:t>
                </w:r>
                <w:r w:rsidRPr="00FF027F">
                  <w:rPr>
                    <w:rFonts w:asciiTheme="minorHAnsi" w:hAnsiTheme="minorHAnsi" w:cs="Arial"/>
                    <w:bCs/>
                    <w:sz w:val="22"/>
                    <w:szCs w:val="22"/>
                    <w:lang w:val="en-GB" w:eastAsia="sl-SI"/>
                  </w:rPr>
                  <w:t xml:space="preserve">% positive feedback from an annual survey measuring </w:t>
                </w:r>
                <w:r w:rsidR="00B937D0">
                  <w:rPr>
                    <w:rFonts w:asciiTheme="minorHAnsi" w:hAnsiTheme="minorHAnsi" w:cs="Arial"/>
                    <w:bCs/>
                    <w:sz w:val="22"/>
                    <w:szCs w:val="22"/>
                    <w:lang w:val="en-GB" w:eastAsia="sl-SI"/>
                  </w:rPr>
                  <w:t xml:space="preserve">stakeholders’ </w:t>
                </w:r>
                <w:r w:rsidRPr="00FF027F">
                  <w:rPr>
                    <w:rFonts w:asciiTheme="minorHAnsi" w:hAnsiTheme="minorHAnsi" w:cs="Arial"/>
                    <w:bCs/>
                    <w:sz w:val="22"/>
                    <w:szCs w:val="22"/>
                    <w:lang w:val="en-GB" w:eastAsia="sl-SI"/>
                  </w:rPr>
                  <w:t xml:space="preserve">satisfaction with the Agency’s </w:t>
                </w:r>
                <w:r w:rsidR="00B937D0">
                  <w:rPr>
                    <w:rFonts w:asciiTheme="minorHAnsi" w:hAnsiTheme="minorHAnsi" w:cs="Arial"/>
                    <w:bCs/>
                    <w:sz w:val="22"/>
                    <w:szCs w:val="22"/>
                    <w:lang w:val="en-GB" w:eastAsia="sl-SI"/>
                  </w:rPr>
                  <w:t>regulatory activities</w:t>
                </w:r>
                <w:r w:rsidRPr="00FF027F">
                  <w:rPr>
                    <w:rFonts w:asciiTheme="minorHAnsi" w:hAnsiTheme="minorHAnsi" w:cs="Arial"/>
                    <w:bCs/>
                    <w:sz w:val="22"/>
                    <w:szCs w:val="22"/>
                    <w:lang w:val="en-GB" w:eastAsia="sl-SI"/>
                  </w:rPr>
                  <w:t>.</w:t>
                </w:r>
              </w:p>
            </w:tc>
          </w:tr>
        </w:tbl>
        <w:p w14:paraId="67DC7E89" w14:textId="77777777" w:rsidR="008B7490" w:rsidRPr="00404314" w:rsidRDefault="008B7490" w:rsidP="008B7490">
          <w:pPr>
            <w:rPr>
              <w:rFonts w:ascii="Arial" w:hAnsi="Arial" w:cs="Arial"/>
            </w:rPr>
          </w:pPr>
        </w:p>
        <w:p w14:paraId="10EF2956" w14:textId="4CA1EDC7" w:rsidR="008B7490" w:rsidRPr="00FF027F" w:rsidRDefault="008B7490" w:rsidP="001272EB">
          <w:pPr>
            <w:pStyle w:val="11ptVerdanaBold"/>
            <w:spacing w:after="240"/>
            <w:jc w:val="both"/>
            <w:rPr>
              <w:rFonts w:ascii="Arial" w:hAnsi="Arial" w:cs="Arial"/>
              <w:szCs w:val="22"/>
              <w:u w:val="single"/>
            </w:rPr>
          </w:pPr>
          <w:bookmarkStart w:id="149" w:name="_Toc367347816"/>
          <w:bookmarkStart w:id="150" w:name="_Toc384206387"/>
          <w:r w:rsidRPr="00FF027F">
            <w:rPr>
              <w:rFonts w:ascii="Arial" w:hAnsi="Arial" w:cs="Arial"/>
              <w:szCs w:val="22"/>
              <w:u w:val="single"/>
            </w:rPr>
            <w:t>Electricity Framework Guidelines</w:t>
          </w:r>
          <w:bookmarkEnd w:id="149"/>
          <w:r w:rsidRPr="00FF027F">
            <w:rPr>
              <w:rFonts w:ascii="Arial" w:hAnsi="Arial" w:cs="Arial"/>
              <w:szCs w:val="22"/>
              <w:u w:val="single"/>
            </w:rPr>
            <w:t>, Network Codes, Opinions and Recommendations</w:t>
          </w:r>
          <w:bookmarkEnd w:id="150"/>
        </w:p>
        <w:p w14:paraId="42117A5F" w14:textId="77777777" w:rsidR="0059751D" w:rsidRPr="00FF027F" w:rsidRDefault="0059751D" w:rsidP="0059751D">
          <w:pPr>
            <w:pStyle w:val="11ptVerdanaBold"/>
            <w:rPr>
              <w:rFonts w:asciiTheme="minorHAnsi" w:hAnsiTheme="minorHAnsi"/>
              <w:szCs w:val="22"/>
              <w:u w:val="single"/>
            </w:rPr>
          </w:pPr>
        </w:p>
        <w:tbl>
          <w:tblPr>
            <w:tblpPr w:leftFromText="180" w:rightFromText="180" w:vertAnchor="text" w:horzAnchor="margin" w:tblpX="108"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329"/>
          </w:tblGrid>
          <w:tr w:rsidR="008B7490" w:rsidRPr="00FF027F" w14:paraId="2676C28C" w14:textId="77777777" w:rsidTr="00A626B4">
            <w:tc>
              <w:tcPr>
                <w:tcW w:w="2718" w:type="dxa"/>
                <w:tcBorders>
                  <w:top w:val="single" w:sz="4" w:space="0" w:color="auto"/>
                  <w:left w:val="single" w:sz="4" w:space="0" w:color="auto"/>
                  <w:bottom w:val="single" w:sz="4" w:space="0" w:color="auto"/>
                  <w:right w:val="single" w:sz="4" w:space="0" w:color="auto"/>
                </w:tcBorders>
                <w:shd w:val="clear" w:color="auto" w:fill="002060"/>
              </w:tcPr>
              <w:p w14:paraId="339055D8" w14:textId="0F6FDFE3" w:rsidR="008B7490" w:rsidRPr="00FF027F" w:rsidRDefault="003503BE" w:rsidP="008B7490">
                <w:pPr>
                  <w:tabs>
                    <w:tab w:val="left" w:pos="720"/>
                  </w:tabs>
                  <w:autoSpaceDE w:val="0"/>
                  <w:autoSpaceDN w:val="0"/>
                  <w:adjustRightInd w:val="0"/>
                  <w:spacing w:before="120" w:after="120" w:line="240" w:lineRule="auto"/>
                  <w:rPr>
                    <w:rFonts w:cs="Arial"/>
                    <w:b/>
                    <w:lang w:val="en-GB"/>
                  </w:rPr>
                </w:pPr>
                <w:r w:rsidRPr="00FF027F">
                  <w:rPr>
                    <w:rFonts w:cs="Arial"/>
                    <w:b/>
                    <w:lang w:val="en-GB"/>
                  </w:rPr>
                  <w:t>Activity</w:t>
                </w:r>
              </w:p>
            </w:tc>
            <w:tc>
              <w:tcPr>
                <w:tcW w:w="6417" w:type="dxa"/>
                <w:tcBorders>
                  <w:top w:val="single" w:sz="4" w:space="0" w:color="auto"/>
                  <w:left w:val="single" w:sz="4" w:space="0" w:color="auto"/>
                  <w:bottom w:val="single" w:sz="4" w:space="0" w:color="auto"/>
                  <w:right w:val="single" w:sz="4" w:space="0" w:color="auto"/>
                </w:tcBorders>
                <w:shd w:val="clear" w:color="auto" w:fill="002060"/>
              </w:tcPr>
              <w:p w14:paraId="433A1650" w14:textId="77777777" w:rsidR="008B7490" w:rsidRPr="00FF027F" w:rsidRDefault="008B7490" w:rsidP="008B7490">
                <w:pPr>
                  <w:tabs>
                    <w:tab w:val="left" w:pos="720"/>
                  </w:tabs>
                  <w:autoSpaceDE w:val="0"/>
                  <w:autoSpaceDN w:val="0"/>
                  <w:adjustRightInd w:val="0"/>
                  <w:spacing w:before="120" w:after="120" w:line="240" w:lineRule="auto"/>
                  <w:ind w:left="202"/>
                  <w:rPr>
                    <w:rFonts w:cs="Arial"/>
                    <w:b/>
                    <w:lang w:val="en-GB"/>
                  </w:rPr>
                </w:pPr>
                <w:r w:rsidRPr="00FF027F">
                  <w:rPr>
                    <w:rFonts w:cs="Arial"/>
                    <w:b/>
                    <w:lang w:val="en-GB"/>
                  </w:rPr>
                  <w:t xml:space="preserve">Agency Acts in the Electricity field foreseen in the Work Programme and in the regulations relevant for the Agency </w:t>
                </w:r>
              </w:p>
            </w:tc>
          </w:tr>
          <w:tr w:rsidR="008B7490" w:rsidRPr="00FF027F" w14:paraId="13301A70" w14:textId="77777777" w:rsidTr="00A626B4">
            <w:trPr>
              <w:trHeight w:val="1075"/>
            </w:trPr>
            <w:tc>
              <w:tcPr>
                <w:tcW w:w="2718" w:type="dxa"/>
                <w:tcBorders>
                  <w:top w:val="single" w:sz="4" w:space="0" w:color="auto"/>
                  <w:left w:val="single" w:sz="4" w:space="0" w:color="auto"/>
                  <w:bottom w:val="single" w:sz="4" w:space="0" w:color="auto"/>
                  <w:right w:val="single" w:sz="4" w:space="0" w:color="auto"/>
                </w:tcBorders>
              </w:tcPr>
              <w:p w14:paraId="35123347" w14:textId="77777777" w:rsidR="008B7490" w:rsidRPr="00FF027F" w:rsidRDefault="008B7490" w:rsidP="008B7490">
                <w:pPr>
                  <w:tabs>
                    <w:tab w:val="left" w:pos="720"/>
                  </w:tabs>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417" w:type="dxa"/>
                <w:tcBorders>
                  <w:top w:val="single" w:sz="4" w:space="0" w:color="auto"/>
                  <w:left w:val="single" w:sz="4" w:space="0" w:color="auto"/>
                  <w:bottom w:val="single" w:sz="4" w:space="0" w:color="auto"/>
                  <w:right w:val="single" w:sz="4" w:space="0" w:color="auto"/>
                </w:tcBorders>
              </w:tcPr>
              <w:p w14:paraId="1645EA09" w14:textId="77777777" w:rsidR="008B7490" w:rsidRPr="00FF027F" w:rsidRDefault="008B7490" w:rsidP="008B7490">
                <w:pPr>
                  <w:tabs>
                    <w:tab w:val="left" w:pos="720"/>
                  </w:tabs>
                  <w:autoSpaceDE w:val="0"/>
                  <w:autoSpaceDN w:val="0"/>
                  <w:adjustRightInd w:val="0"/>
                  <w:spacing w:before="120" w:after="120" w:line="240" w:lineRule="auto"/>
                  <w:ind w:left="202"/>
                  <w:rPr>
                    <w:rFonts w:cs="Arial"/>
                    <w:lang w:val="en-GB"/>
                  </w:rPr>
                </w:pPr>
                <w:r w:rsidRPr="00FF027F">
                  <w:rPr>
                    <w:rFonts w:eastAsia="Calibri" w:cs="Arial"/>
                    <w:bCs/>
                    <w:lang w:val="en-GB"/>
                  </w:rPr>
                  <w:t xml:space="preserve">Timely delivery of </w:t>
                </w:r>
                <w:r w:rsidRPr="00FF027F">
                  <w:rPr>
                    <w:rFonts w:cs="Arial"/>
                    <w:lang w:val="en-GB"/>
                  </w:rPr>
                  <w:t xml:space="preserve">Framework Guidelines, Network Codes (amendments) and related opinions and recommendations and support the comitology procedure.  </w:t>
                </w:r>
              </w:p>
            </w:tc>
          </w:tr>
          <w:tr w:rsidR="008B7490" w:rsidRPr="00FF027F" w14:paraId="5F909CF6" w14:textId="77777777" w:rsidTr="00A626B4">
            <w:tc>
              <w:tcPr>
                <w:tcW w:w="2718" w:type="dxa"/>
                <w:tcBorders>
                  <w:top w:val="single" w:sz="4" w:space="0" w:color="auto"/>
                  <w:left w:val="single" w:sz="4" w:space="0" w:color="auto"/>
                  <w:bottom w:val="single" w:sz="4" w:space="0" w:color="auto"/>
                  <w:right w:val="single" w:sz="4" w:space="0" w:color="auto"/>
                </w:tcBorders>
              </w:tcPr>
              <w:p w14:paraId="3772F2E2" w14:textId="77777777" w:rsidR="008B7490" w:rsidRPr="00FF027F" w:rsidRDefault="008B7490" w:rsidP="008B7490">
                <w:pPr>
                  <w:tabs>
                    <w:tab w:val="left" w:pos="720"/>
                  </w:tabs>
                  <w:autoSpaceDE w:val="0"/>
                  <w:autoSpaceDN w:val="0"/>
                  <w:adjustRightInd w:val="0"/>
                  <w:spacing w:before="120" w:after="120" w:line="240" w:lineRule="auto"/>
                  <w:rPr>
                    <w:rFonts w:cs="Arial"/>
                    <w:lang w:val="en-GB"/>
                  </w:rPr>
                </w:pPr>
                <w:r w:rsidRPr="00FF027F">
                  <w:rPr>
                    <w:rFonts w:cs="Arial"/>
                    <w:lang w:val="en-GB"/>
                  </w:rPr>
                  <w:t>KPI</w:t>
                </w:r>
              </w:p>
            </w:tc>
            <w:tc>
              <w:tcPr>
                <w:tcW w:w="6417" w:type="dxa"/>
                <w:tcBorders>
                  <w:top w:val="single" w:sz="4" w:space="0" w:color="auto"/>
                  <w:left w:val="single" w:sz="4" w:space="0" w:color="auto"/>
                  <w:bottom w:val="single" w:sz="4" w:space="0" w:color="auto"/>
                  <w:right w:val="single" w:sz="4" w:space="0" w:color="auto"/>
                </w:tcBorders>
              </w:tcPr>
              <w:p w14:paraId="4FDCAAC8" w14:textId="3F5E9A02" w:rsidR="008B7490" w:rsidRPr="00FF027F" w:rsidRDefault="008B7490" w:rsidP="008B7490">
                <w:pPr>
                  <w:tabs>
                    <w:tab w:val="left" w:pos="720"/>
                  </w:tabs>
                  <w:autoSpaceDE w:val="0"/>
                  <w:autoSpaceDN w:val="0"/>
                  <w:adjustRightInd w:val="0"/>
                  <w:spacing w:before="120" w:after="120" w:line="240" w:lineRule="auto"/>
                  <w:ind w:left="202"/>
                  <w:rPr>
                    <w:rFonts w:cs="Arial"/>
                    <w:lang w:val="en-GB"/>
                  </w:rPr>
                </w:pPr>
                <w:r w:rsidRPr="00FF027F">
                  <w:rPr>
                    <w:rFonts w:eastAsia="Calibri" w:cs="Arial"/>
                    <w:b/>
                    <w:bCs/>
                    <w:lang w:val="en-GB"/>
                  </w:rPr>
                  <w:t>16.</w:t>
                </w:r>
                <w:r w:rsidRPr="00FF027F">
                  <w:rPr>
                    <w:rFonts w:eastAsia="Calibri" w:cs="Arial"/>
                    <w:bCs/>
                    <w:lang w:val="en-GB"/>
                  </w:rPr>
                  <w:t xml:space="preserve"> </w:t>
                </w:r>
                <w:r w:rsidR="00B937D0">
                  <w:rPr>
                    <w:rFonts w:eastAsia="Calibri" w:cs="Arial"/>
                    <w:bCs/>
                    <w:lang w:val="en-GB"/>
                  </w:rPr>
                  <w:t>9</w:t>
                </w:r>
                <w:r w:rsidR="00F4326A" w:rsidRPr="00FF027F">
                  <w:rPr>
                    <w:rFonts w:eastAsia="Calibri" w:cs="Arial"/>
                    <w:bCs/>
                    <w:lang w:val="en-GB"/>
                  </w:rPr>
                  <w:t>0</w:t>
                </w:r>
                <w:r w:rsidRPr="00FF027F">
                  <w:rPr>
                    <w:rFonts w:eastAsia="Calibri" w:cs="Arial"/>
                    <w:bCs/>
                    <w:lang w:val="en-GB"/>
                  </w:rPr>
                  <w:t xml:space="preserve">% of above acts delivered according to the timelines indicated in the Work Programme (i.e. in line with the Three-Year Plan or legal deadlines set by the </w:t>
                </w:r>
                <w:r w:rsidR="00B937D0">
                  <w:rPr>
                    <w:rFonts w:eastAsia="Calibri" w:cs="Arial"/>
                    <w:bCs/>
                    <w:lang w:val="en-GB"/>
                  </w:rPr>
                  <w:t>R</w:t>
                </w:r>
                <w:r w:rsidRPr="00FF027F">
                  <w:rPr>
                    <w:rFonts w:eastAsia="Calibri" w:cs="Arial"/>
                    <w:bCs/>
                    <w:lang w:val="en-GB"/>
                  </w:rPr>
                  <w:t>egulations), as possibly updated by the Planning Group process.</w:t>
                </w:r>
                <w:r w:rsidR="00B937D0">
                  <w:rPr>
                    <w:rFonts w:eastAsia="Calibri" w:cs="Arial"/>
                    <w:bCs/>
                    <w:lang w:val="en-GB"/>
                  </w:rPr>
                  <w:t xml:space="preserve"> The Work Programme may be subject to revisions in case the resources assigned to the Agency by the Budgetary Authority are different from those on which the Work programme is based.</w:t>
                </w:r>
              </w:p>
            </w:tc>
          </w:tr>
        </w:tbl>
        <w:p w14:paraId="49E26F32" w14:textId="77777777" w:rsidR="0059751D" w:rsidRPr="00FF027F" w:rsidRDefault="0059751D" w:rsidP="0059751D">
          <w:pPr>
            <w:pStyle w:val="11ptVerdanaBold"/>
            <w:rPr>
              <w:u w:val="single"/>
            </w:rPr>
          </w:pPr>
          <w:bookmarkStart w:id="151" w:name="_Toc384206388"/>
        </w:p>
        <w:p w14:paraId="0ED0A53D" w14:textId="59B3D7A1" w:rsidR="008B7490" w:rsidRPr="00FF027F" w:rsidRDefault="008B7490" w:rsidP="001272EB">
          <w:pPr>
            <w:pStyle w:val="11ptVerdanaBold"/>
            <w:spacing w:before="240" w:after="240"/>
            <w:jc w:val="both"/>
            <w:rPr>
              <w:rFonts w:ascii="Arial" w:hAnsi="Arial" w:cs="Arial"/>
              <w:szCs w:val="22"/>
              <w:u w:val="single"/>
            </w:rPr>
          </w:pPr>
          <w:r w:rsidRPr="00FF027F">
            <w:rPr>
              <w:rFonts w:ascii="Arial" w:hAnsi="Arial" w:cs="Arial"/>
              <w:szCs w:val="22"/>
              <w:u w:val="single"/>
            </w:rPr>
            <w:t>Gas Framework Guidelines, Network Codes, Opinions and Recommendations</w:t>
          </w:r>
          <w:bookmarkEnd w:id="151"/>
        </w:p>
        <w:p w14:paraId="755FC0FE" w14:textId="77777777" w:rsidR="0059751D" w:rsidRPr="00FF027F" w:rsidRDefault="0059751D" w:rsidP="0059751D">
          <w:pPr>
            <w:pStyle w:val="11ptVerdanaBold"/>
            <w:rPr>
              <w:rFonts w:asciiTheme="minorHAnsi" w:hAnsiTheme="minorHAnsi"/>
              <w:szCs w:val="22"/>
              <w:u w:val="single"/>
            </w:rPr>
          </w:pPr>
        </w:p>
        <w:tbl>
          <w:tblPr>
            <w:tblpPr w:leftFromText="180" w:rightFromText="180" w:vertAnchor="text" w:horzAnchor="margin" w:tblpX="108"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6334"/>
          </w:tblGrid>
          <w:tr w:rsidR="008B7490" w:rsidRPr="00FF027F" w14:paraId="27BC8A2E" w14:textId="77777777" w:rsidTr="00A626B4">
            <w:tc>
              <w:tcPr>
                <w:tcW w:w="2718" w:type="dxa"/>
                <w:tcBorders>
                  <w:top w:val="single" w:sz="4" w:space="0" w:color="auto"/>
                  <w:left w:val="single" w:sz="4" w:space="0" w:color="auto"/>
                  <w:bottom w:val="single" w:sz="4" w:space="0" w:color="auto"/>
                  <w:right w:val="single" w:sz="4" w:space="0" w:color="auto"/>
                </w:tcBorders>
                <w:shd w:val="clear" w:color="auto" w:fill="002060"/>
              </w:tcPr>
              <w:p w14:paraId="757BB413" w14:textId="7909F0F0" w:rsidR="008B7490" w:rsidRPr="00FF027F" w:rsidRDefault="003503BE" w:rsidP="008B7490">
                <w:pPr>
                  <w:tabs>
                    <w:tab w:val="left" w:pos="720"/>
                  </w:tabs>
                  <w:autoSpaceDE w:val="0"/>
                  <w:autoSpaceDN w:val="0"/>
                  <w:adjustRightInd w:val="0"/>
                  <w:spacing w:before="120" w:after="120" w:line="240" w:lineRule="auto"/>
                  <w:rPr>
                    <w:rFonts w:cs="Arial"/>
                    <w:b/>
                    <w:lang w:val="en-GB"/>
                  </w:rPr>
                </w:pPr>
                <w:r w:rsidRPr="00FF027F">
                  <w:rPr>
                    <w:rFonts w:cs="Arial"/>
                    <w:b/>
                    <w:lang w:val="en-GB"/>
                  </w:rPr>
                  <w:t xml:space="preserve">Activity </w:t>
                </w:r>
              </w:p>
            </w:tc>
            <w:tc>
              <w:tcPr>
                <w:tcW w:w="6417" w:type="dxa"/>
                <w:tcBorders>
                  <w:top w:val="single" w:sz="4" w:space="0" w:color="auto"/>
                  <w:left w:val="single" w:sz="4" w:space="0" w:color="auto"/>
                  <w:bottom w:val="single" w:sz="4" w:space="0" w:color="auto"/>
                  <w:right w:val="single" w:sz="4" w:space="0" w:color="auto"/>
                </w:tcBorders>
                <w:shd w:val="clear" w:color="auto" w:fill="002060"/>
              </w:tcPr>
              <w:p w14:paraId="25B83B02" w14:textId="77777777" w:rsidR="008B7490" w:rsidRPr="00FF027F" w:rsidRDefault="008B7490" w:rsidP="008B7490">
                <w:pPr>
                  <w:tabs>
                    <w:tab w:val="left" w:pos="720"/>
                  </w:tabs>
                  <w:autoSpaceDE w:val="0"/>
                  <w:autoSpaceDN w:val="0"/>
                  <w:adjustRightInd w:val="0"/>
                  <w:spacing w:before="120" w:after="120" w:line="240" w:lineRule="auto"/>
                  <w:ind w:left="202"/>
                  <w:rPr>
                    <w:rFonts w:cs="Arial"/>
                    <w:b/>
                    <w:lang w:val="en-GB"/>
                  </w:rPr>
                </w:pPr>
                <w:r w:rsidRPr="00FF027F">
                  <w:rPr>
                    <w:rFonts w:cs="Arial"/>
                    <w:b/>
                    <w:lang w:val="en-GB"/>
                  </w:rPr>
                  <w:t xml:space="preserve">Agency Acts in the Gas field foreseen in the Work Programme and in the regulations relevant for the Agency </w:t>
                </w:r>
              </w:p>
            </w:tc>
          </w:tr>
          <w:tr w:rsidR="008B7490" w:rsidRPr="00FF027F" w14:paraId="2117BB59" w14:textId="77777777" w:rsidTr="001272EB">
            <w:trPr>
              <w:trHeight w:val="530"/>
            </w:trPr>
            <w:tc>
              <w:tcPr>
                <w:tcW w:w="2718" w:type="dxa"/>
                <w:tcBorders>
                  <w:top w:val="single" w:sz="4" w:space="0" w:color="auto"/>
                  <w:left w:val="single" w:sz="4" w:space="0" w:color="auto"/>
                  <w:bottom w:val="single" w:sz="4" w:space="0" w:color="auto"/>
                  <w:right w:val="single" w:sz="4" w:space="0" w:color="auto"/>
                </w:tcBorders>
              </w:tcPr>
              <w:p w14:paraId="070DC102" w14:textId="77777777" w:rsidR="008B7490" w:rsidRPr="00FF027F" w:rsidRDefault="008B7490" w:rsidP="008B7490">
                <w:pPr>
                  <w:tabs>
                    <w:tab w:val="left" w:pos="720"/>
                  </w:tabs>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417" w:type="dxa"/>
                <w:tcBorders>
                  <w:top w:val="single" w:sz="4" w:space="0" w:color="auto"/>
                  <w:left w:val="single" w:sz="4" w:space="0" w:color="auto"/>
                  <w:bottom w:val="single" w:sz="4" w:space="0" w:color="auto"/>
                  <w:right w:val="single" w:sz="4" w:space="0" w:color="auto"/>
                </w:tcBorders>
              </w:tcPr>
              <w:p w14:paraId="35B22957" w14:textId="77777777" w:rsidR="008B7490" w:rsidRPr="00FF027F" w:rsidRDefault="008B7490" w:rsidP="008B7490">
                <w:pPr>
                  <w:tabs>
                    <w:tab w:val="left" w:pos="720"/>
                  </w:tabs>
                  <w:autoSpaceDE w:val="0"/>
                  <w:autoSpaceDN w:val="0"/>
                  <w:adjustRightInd w:val="0"/>
                  <w:spacing w:before="120" w:after="120" w:line="240" w:lineRule="auto"/>
                  <w:ind w:left="202"/>
                  <w:rPr>
                    <w:rFonts w:eastAsia="Calibri" w:cs="Arial"/>
                    <w:bCs/>
                    <w:lang w:val="en-GB"/>
                  </w:rPr>
                </w:pPr>
                <w:r w:rsidRPr="00FF027F">
                  <w:rPr>
                    <w:rFonts w:eastAsia="Calibri" w:cs="Arial"/>
                    <w:bCs/>
                    <w:lang w:val="en-GB"/>
                  </w:rPr>
                  <w:t xml:space="preserve">Timely delivery of </w:t>
                </w:r>
              </w:p>
              <w:p w14:paraId="0EE8D09D" w14:textId="77777777" w:rsidR="008B7490" w:rsidRPr="00FF027F" w:rsidRDefault="008B7490" w:rsidP="006D214F">
                <w:pPr>
                  <w:numPr>
                    <w:ilvl w:val="0"/>
                    <w:numId w:val="28"/>
                  </w:numPr>
                  <w:tabs>
                    <w:tab w:val="left" w:pos="720"/>
                  </w:tabs>
                  <w:autoSpaceDE w:val="0"/>
                  <w:autoSpaceDN w:val="0"/>
                  <w:adjustRightInd w:val="0"/>
                  <w:spacing w:before="120" w:after="120" w:line="240" w:lineRule="auto"/>
                  <w:contextualSpacing/>
                  <w:rPr>
                    <w:rFonts w:eastAsia="Times New Roman" w:cs="Arial"/>
                    <w:lang w:val="en-GB" w:eastAsia="sl-SI"/>
                  </w:rPr>
                </w:pPr>
                <w:r w:rsidRPr="00FF027F">
                  <w:rPr>
                    <w:rFonts w:eastAsia="Calibri" w:cs="Arial"/>
                    <w:bCs/>
                    <w:lang w:val="en-GB" w:eastAsia="sl-SI"/>
                  </w:rPr>
                  <w:t xml:space="preserve">Scoping </w:t>
                </w:r>
                <w:r w:rsidRPr="00FF027F">
                  <w:rPr>
                    <w:rFonts w:eastAsia="Times New Roman" w:cs="Arial"/>
                    <w:lang w:val="en-GB" w:eastAsia="sl-SI"/>
                  </w:rPr>
                  <w:t>reports</w:t>
                </w:r>
              </w:p>
              <w:p w14:paraId="1497E0FE" w14:textId="77777777" w:rsidR="008B7490" w:rsidRPr="00FF027F" w:rsidRDefault="008B7490" w:rsidP="006D214F">
                <w:pPr>
                  <w:numPr>
                    <w:ilvl w:val="0"/>
                    <w:numId w:val="28"/>
                  </w:numPr>
                  <w:tabs>
                    <w:tab w:val="left" w:pos="720"/>
                  </w:tabs>
                  <w:autoSpaceDE w:val="0"/>
                  <w:autoSpaceDN w:val="0"/>
                  <w:adjustRightInd w:val="0"/>
                  <w:spacing w:before="120" w:after="120" w:line="240" w:lineRule="auto"/>
                  <w:contextualSpacing/>
                  <w:rPr>
                    <w:rFonts w:eastAsia="Times New Roman" w:cs="Arial"/>
                    <w:lang w:val="en-GB" w:eastAsia="sl-SI"/>
                  </w:rPr>
                </w:pPr>
                <w:r w:rsidRPr="00FF027F">
                  <w:rPr>
                    <w:rFonts w:eastAsia="Times New Roman" w:cs="Arial"/>
                    <w:lang w:val="en-GB" w:eastAsia="sl-SI"/>
                  </w:rPr>
                  <w:t xml:space="preserve">Framework Guidelines </w:t>
                </w:r>
              </w:p>
              <w:p w14:paraId="219F2E77" w14:textId="77777777" w:rsidR="008B7490" w:rsidRPr="00FF027F" w:rsidRDefault="008B7490" w:rsidP="006D214F">
                <w:pPr>
                  <w:numPr>
                    <w:ilvl w:val="0"/>
                    <w:numId w:val="28"/>
                  </w:numPr>
                  <w:tabs>
                    <w:tab w:val="left" w:pos="720"/>
                  </w:tabs>
                  <w:autoSpaceDE w:val="0"/>
                  <w:autoSpaceDN w:val="0"/>
                  <w:adjustRightInd w:val="0"/>
                  <w:spacing w:before="120" w:after="120" w:line="240" w:lineRule="auto"/>
                  <w:contextualSpacing/>
                  <w:rPr>
                    <w:rFonts w:eastAsia="Times New Roman" w:cs="Arial"/>
                    <w:lang w:val="en-GB" w:eastAsia="sl-SI"/>
                  </w:rPr>
                </w:pPr>
                <w:r w:rsidRPr="00FF027F">
                  <w:rPr>
                    <w:rFonts w:eastAsia="Times New Roman" w:cs="Arial"/>
                    <w:lang w:val="en-GB" w:eastAsia="sl-SI"/>
                  </w:rPr>
                  <w:t xml:space="preserve">Opinions and Recommendations on Network Codes (amendments) </w:t>
                </w:r>
              </w:p>
              <w:p w14:paraId="72C65BED" w14:textId="77777777" w:rsidR="008B7490" w:rsidRPr="00FF027F" w:rsidRDefault="008B7490" w:rsidP="006D214F">
                <w:pPr>
                  <w:numPr>
                    <w:ilvl w:val="0"/>
                    <w:numId w:val="28"/>
                  </w:numPr>
                  <w:tabs>
                    <w:tab w:val="left" w:pos="720"/>
                  </w:tabs>
                  <w:autoSpaceDE w:val="0"/>
                  <w:autoSpaceDN w:val="0"/>
                  <w:adjustRightInd w:val="0"/>
                  <w:spacing w:before="120" w:after="120" w:line="240" w:lineRule="auto"/>
                  <w:contextualSpacing/>
                  <w:rPr>
                    <w:rFonts w:eastAsia="Times New Roman" w:cs="Arial"/>
                    <w:lang w:val="en-GB" w:eastAsia="sl-SI"/>
                  </w:rPr>
                </w:pPr>
                <w:r w:rsidRPr="00FF027F">
                  <w:rPr>
                    <w:rFonts w:eastAsia="Times New Roman" w:cs="Arial"/>
                    <w:lang w:val="en-GB" w:eastAsia="sl-SI"/>
                  </w:rPr>
                  <w:t xml:space="preserve"> Support to comitology procedure</w:t>
                </w:r>
              </w:p>
              <w:p w14:paraId="3EC184FD" w14:textId="77777777" w:rsidR="008B7490" w:rsidRPr="00FF027F" w:rsidRDefault="008B7490" w:rsidP="006D214F">
                <w:pPr>
                  <w:numPr>
                    <w:ilvl w:val="0"/>
                    <w:numId w:val="28"/>
                  </w:numPr>
                  <w:tabs>
                    <w:tab w:val="left" w:pos="720"/>
                  </w:tabs>
                  <w:autoSpaceDE w:val="0"/>
                  <w:autoSpaceDN w:val="0"/>
                  <w:adjustRightInd w:val="0"/>
                  <w:spacing w:before="120" w:after="120" w:line="240" w:lineRule="auto"/>
                  <w:contextualSpacing/>
                  <w:rPr>
                    <w:rFonts w:eastAsia="Times New Roman" w:cs="Arial"/>
                    <w:lang w:val="en-GB" w:eastAsia="sl-SI"/>
                  </w:rPr>
                </w:pPr>
                <w:r w:rsidRPr="00FF027F">
                  <w:rPr>
                    <w:rFonts w:eastAsia="Times New Roman" w:cs="Arial"/>
                    <w:lang w:val="en-GB" w:eastAsia="sl-SI"/>
                  </w:rPr>
                  <w:t xml:space="preserve">Implementation monitoring reports  </w:t>
                </w:r>
              </w:p>
            </w:tc>
          </w:tr>
          <w:tr w:rsidR="008B7490" w:rsidRPr="00FF027F" w14:paraId="14C0DC16" w14:textId="77777777" w:rsidTr="00A626B4">
            <w:tc>
              <w:tcPr>
                <w:tcW w:w="2718" w:type="dxa"/>
                <w:tcBorders>
                  <w:top w:val="single" w:sz="4" w:space="0" w:color="auto"/>
                  <w:left w:val="single" w:sz="4" w:space="0" w:color="auto"/>
                  <w:bottom w:val="single" w:sz="4" w:space="0" w:color="auto"/>
                  <w:right w:val="single" w:sz="4" w:space="0" w:color="auto"/>
                </w:tcBorders>
              </w:tcPr>
              <w:p w14:paraId="267B0C37" w14:textId="77777777" w:rsidR="008B7490" w:rsidRPr="00FF027F" w:rsidRDefault="008B7490" w:rsidP="008B7490">
                <w:pPr>
                  <w:tabs>
                    <w:tab w:val="left" w:pos="720"/>
                  </w:tabs>
                  <w:autoSpaceDE w:val="0"/>
                  <w:autoSpaceDN w:val="0"/>
                  <w:adjustRightInd w:val="0"/>
                  <w:spacing w:before="120" w:after="120" w:line="240" w:lineRule="auto"/>
                  <w:rPr>
                    <w:rFonts w:cs="Arial"/>
                    <w:lang w:val="en-GB"/>
                  </w:rPr>
                </w:pPr>
                <w:r w:rsidRPr="00FF027F">
                  <w:rPr>
                    <w:rFonts w:cs="Arial"/>
                    <w:lang w:val="en-GB"/>
                  </w:rPr>
                  <w:t>KPI</w:t>
                </w:r>
              </w:p>
            </w:tc>
            <w:tc>
              <w:tcPr>
                <w:tcW w:w="6417" w:type="dxa"/>
                <w:tcBorders>
                  <w:top w:val="single" w:sz="4" w:space="0" w:color="auto"/>
                  <w:left w:val="single" w:sz="4" w:space="0" w:color="auto"/>
                  <w:bottom w:val="single" w:sz="4" w:space="0" w:color="auto"/>
                  <w:right w:val="single" w:sz="4" w:space="0" w:color="auto"/>
                </w:tcBorders>
              </w:tcPr>
              <w:p w14:paraId="59906D60" w14:textId="4519C5C5" w:rsidR="008B7490" w:rsidRPr="00FF027F" w:rsidRDefault="008B7490" w:rsidP="008C2987">
                <w:pPr>
                  <w:tabs>
                    <w:tab w:val="left" w:pos="720"/>
                  </w:tabs>
                  <w:autoSpaceDE w:val="0"/>
                  <w:autoSpaceDN w:val="0"/>
                  <w:adjustRightInd w:val="0"/>
                  <w:spacing w:before="120" w:after="120" w:line="240" w:lineRule="auto"/>
                  <w:ind w:left="202"/>
                  <w:rPr>
                    <w:rFonts w:cs="Arial"/>
                    <w:lang w:val="en-GB"/>
                  </w:rPr>
                </w:pPr>
                <w:r w:rsidRPr="00FF027F">
                  <w:rPr>
                    <w:rFonts w:eastAsia="Calibri" w:cs="Arial"/>
                    <w:b/>
                    <w:bCs/>
                    <w:lang w:val="en-GB"/>
                  </w:rPr>
                  <w:t>17.</w:t>
                </w:r>
                <w:r w:rsidRPr="00FF027F">
                  <w:rPr>
                    <w:rFonts w:eastAsia="Calibri" w:cs="Arial"/>
                    <w:bCs/>
                    <w:lang w:val="en-GB"/>
                  </w:rPr>
                  <w:t xml:space="preserve"> </w:t>
                </w:r>
                <w:r w:rsidR="00B937D0">
                  <w:rPr>
                    <w:rFonts w:eastAsia="Calibri" w:cs="Arial"/>
                    <w:bCs/>
                    <w:lang w:val="en-GB"/>
                  </w:rPr>
                  <w:t>9</w:t>
                </w:r>
                <w:r w:rsidR="00F4326A" w:rsidRPr="00FF027F">
                  <w:rPr>
                    <w:rFonts w:eastAsia="Calibri" w:cs="Arial"/>
                    <w:bCs/>
                    <w:lang w:val="en-GB"/>
                  </w:rPr>
                  <w:t>0</w:t>
                </w:r>
                <w:r w:rsidRPr="00FF027F">
                  <w:rPr>
                    <w:rFonts w:eastAsia="Calibri" w:cs="Arial"/>
                    <w:bCs/>
                    <w:lang w:val="en-GB"/>
                  </w:rPr>
                  <w:t xml:space="preserve">% of acts delivered according to the timelines indicated in the Work Programme (i.e. in line with the Three-Year Plan or legal deadlines set by the </w:t>
                </w:r>
                <w:r w:rsidR="00B937D0">
                  <w:rPr>
                    <w:rFonts w:eastAsia="Calibri" w:cs="Arial"/>
                    <w:bCs/>
                    <w:lang w:val="en-GB"/>
                  </w:rPr>
                  <w:t>R</w:t>
                </w:r>
                <w:r w:rsidRPr="00FF027F">
                  <w:rPr>
                    <w:rFonts w:eastAsia="Calibri" w:cs="Arial"/>
                    <w:bCs/>
                    <w:lang w:val="en-GB"/>
                  </w:rPr>
                  <w:t>egulations), as possibly updated by the Planning Group process.</w:t>
                </w:r>
                <w:r w:rsidR="00B937D0">
                  <w:rPr>
                    <w:rFonts w:eastAsia="Calibri" w:cs="Arial"/>
                    <w:bCs/>
                    <w:lang w:val="en-GB"/>
                  </w:rPr>
                  <w:t xml:space="preserve"> The Work Programme may be subject to revisions in case the resources assigned to the Agency by the Budgetary Authority are different from those on which the Work programme is based.</w:t>
                </w:r>
              </w:p>
            </w:tc>
          </w:tr>
        </w:tbl>
        <w:p w14:paraId="45C7F429" w14:textId="2770D9FD" w:rsidR="008B7490" w:rsidRPr="00FF027F" w:rsidRDefault="008B7490" w:rsidP="00996DC6">
          <w:pPr>
            <w:pStyle w:val="11ptVerdanaBold"/>
            <w:spacing w:before="360" w:after="240"/>
            <w:rPr>
              <w:rFonts w:ascii="Arial" w:hAnsi="Arial" w:cs="Arial"/>
              <w:szCs w:val="22"/>
              <w:u w:val="single"/>
            </w:rPr>
          </w:pPr>
          <w:bookmarkStart w:id="152" w:name="_Toc324162750"/>
          <w:bookmarkStart w:id="153" w:name="_Toc358640743"/>
          <w:bookmarkStart w:id="154" w:name="_Toc358640956"/>
          <w:bookmarkStart w:id="155" w:name="_Toc367347821"/>
          <w:bookmarkStart w:id="156" w:name="_Toc384206389"/>
          <w:r w:rsidRPr="00FF027F">
            <w:rPr>
              <w:rFonts w:ascii="Arial" w:hAnsi="Arial" w:cs="Arial"/>
              <w:szCs w:val="22"/>
              <w:u w:val="single"/>
            </w:rPr>
            <w:t xml:space="preserve">Cross-Sector Issues </w:t>
          </w:r>
          <w:bookmarkEnd w:id="152"/>
          <w:r w:rsidRPr="00FF027F">
            <w:rPr>
              <w:rFonts w:ascii="Arial" w:hAnsi="Arial" w:cs="Arial"/>
              <w:szCs w:val="22"/>
              <w:u w:val="single"/>
            </w:rPr>
            <w:t>(Electricity and Gas)</w:t>
          </w:r>
          <w:bookmarkEnd w:id="153"/>
          <w:bookmarkEnd w:id="154"/>
          <w:bookmarkEnd w:id="155"/>
          <w:bookmarkEnd w:id="156"/>
        </w:p>
        <w:p w14:paraId="6F47205A" w14:textId="77777777" w:rsidR="00996DC6" w:rsidRPr="00FF027F" w:rsidRDefault="00996DC6" w:rsidP="00996DC6">
          <w:pPr>
            <w:pStyle w:val="11ptVerdanaBold"/>
            <w:rPr>
              <w:rFonts w:ascii="Arial" w:hAnsi="Arial" w:cs="Arial"/>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39"/>
            <w:gridCol w:w="6270"/>
          </w:tblGrid>
          <w:tr w:rsidR="008B7490" w:rsidRPr="00FF027F" w14:paraId="2AE4D5D3" w14:textId="77777777" w:rsidTr="00A626B4">
            <w:trPr>
              <w:trHeight w:val="642"/>
            </w:trPr>
            <w:tc>
              <w:tcPr>
                <w:tcW w:w="2700" w:type="dxa"/>
                <w:shd w:val="clear" w:color="auto" w:fill="002060"/>
                <w:tcMar>
                  <w:top w:w="0" w:type="dxa"/>
                  <w:left w:w="108" w:type="dxa"/>
                  <w:bottom w:w="0" w:type="dxa"/>
                  <w:right w:w="108" w:type="dxa"/>
                </w:tcMar>
              </w:tcPr>
              <w:p w14:paraId="37140169" w14:textId="5426C38C" w:rsidR="008B7490" w:rsidRPr="00FF027F" w:rsidRDefault="003503BE" w:rsidP="008B7490">
                <w:pPr>
                  <w:autoSpaceDE w:val="0"/>
                  <w:autoSpaceDN w:val="0"/>
                  <w:snapToGrid w:val="0"/>
                  <w:spacing w:before="120" w:after="120" w:line="240" w:lineRule="auto"/>
                  <w:rPr>
                    <w:rFonts w:cs="Arial"/>
                    <w:b/>
                    <w:lang w:val="en-GB"/>
                  </w:rPr>
                </w:pPr>
                <w:r w:rsidRPr="00FF027F">
                  <w:rPr>
                    <w:rFonts w:cs="Arial"/>
                    <w:b/>
                    <w:lang w:val="en-GB"/>
                  </w:rPr>
                  <w:t>Activity</w:t>
                </w:r>
              </w:p>
            </w:tc>
            <w:tc>
              <w:tcPr>
                <w:tcW w:w="6435" w:type="dxa"/>
                <w:shd w:val="clear" w:color="auto" w:fill="002060"/>
                <w:tcMar>
                  <w:top w:w="0" w:type="dxa"/>
                  <w:left w:w="108" w:type="dxa"/>
                  <w:bottom w:w="0" w:type="dxa"/>
                  <w:right w:w="108" w:type="dxa"/>
                </w:tcMar>
              </w:tcPr>
              <w:p w14:paraId="1586EC78" w14:textId="77777777" w:rsidR="008B7490" w:rsidRPr="00FF027F" w:rsidRDefault="008B7490" w:rsidP="008B7490">
                <w:pPr>
                  <w:autoSpaceDE w:val="0"/>
                  <w:autoSpaceDN w:val="0"/>
                  <w:spacing w:before="120" w:after="120" w:line="240" w:lineRule="auto"/>
                  <w:ind w:left="202"/>
                  <w:rPr>
                    <w:rFonts w:cs="Arial"/>
                    <w:b/>
                    <w:lang w:val="en-GB"/>
                  </w:rPr>
                </w:pPr>
                <w:r w:rsidRPr="00FF027F">
                  <w:rPr>
                    <w:rFonts w:cs="Arial"/>
                    <w:b/>
                    <w:lang w:val="en-GB"/>
                  </w:rPr>
                  <w:t xml:space="preserve">Key reports produced by the Agency in the Gas and Electricity fields: </w:t>
                </w:r>
              </w:p>
              <w:p w14:paraId="742A6A78" w14:textId="77777777" w:rsidR="008B7490" w:rsidRPr="00FF027F" w:rsidRDefault="008B7490" w:rsidP="008B7490">
                <w:pPr>
                  <w:autoSpaceDE w:val="0"/>
                  <w:autoSpaceDN w:val="0"/>
                  <w:spacing w:before="120" w:after="120" w:line="240" w:lineRule="auto"/>
                  <w:ind w:left="202"/>
                  <w:rPr>
                    <w:rFonts w:cs="Arial"/>
                    <w:b/>
                    <w:lang w:val="en-GB"/>
                  </w:rPr>
                </w:pPr>
                <w:r w:rsidRPr="00FF027F">
                  <w:rPr>
                    <w:rFonts w:cs="Arial"/>
                    <w:b/>
                    <w:lang w:val="en-GB"/>
                  </w:rPr>
                  <w:t>Annual Market Monitoring Report</w:t>
                </w:r>
              </w:p>
              <w:p w14:paraId="1A436440" w14:textId="77777777" w:rsidR="008B7490" w:rsidRPr="00FF027F" w:rsidRDefault="008B7490" w:rsidP="008B7490">
                <w:pPr>
                  <w:autoSpaceDE w:val="0"/>
                  <w:autoSpaceDN w:val="0"/>
                  <w:spacing w:before="120" w:after="120" w:line="240" w:lineRule="auto"/>
                  <w:ind w:left="202"/>
                  <w:rPr>
                    <w:rFonts w:cs="Arial"/>
                    <w:b/>
                    <w:lang w:val="en-GB"/>
                  </w:rPr>
                </w:pPr>
                <w:r w:rsidRPr="00FF027F">
                  <w:rPr>
                    <w:rFonts w:cs="Arial"/>
                    <w:b/>
                    <w:lang w:val="en-GB"/>
                  </w:rPr>
                  <w:t>Regional Initiatives Annual Status Review Report</w:t>
                </w:r>
              </w:p>
              <w:p w14:paraId="26699908" w14:textId="77777777" w:rsidR="008B7490" w:rsidRPr="00FF027F" w:rsidRDefault="008B7490" w:rsidP="008B7490">
                <w:pPr>
                  <w:autoSpaceDE w:val="0"/>
                  <w:autoSpaceDN w:val="0"/>
                  <w:spacing w:before="120" w:after="120" w:line="240" w:lineRule="auto"/>
                  <w:ind w:left="202"/>
                  <w:rPr>
                    <w:rFonts w:cs="Arial"/>
                    <w:b/>
                    <w:lang w:val="en-GB"/>
                  </w:rPr>
                </w:pPr>
                <w:r w:rsidRPr="00FF027F">
                  <w:rPr>
                    <w:rFonts w:cs="Arial"/>
                    <w:b/>
                    <w:lang w:val="en-GB"/>
                  </w:rPr>
                  <w:t>On-line quarterly reports on the activities of the Electricity and Gas Regional Initiatives</w:t>
                </w:r>
              </w:p>
              <w:p w14:paraId="3C20A112" w14:textId="77777777" w:rsidR="008B7490" w:rsidRPr="00FF027F" w:rsidRDefault="008B7490" w:rsidP="008B7490">
                <w:pPr>
                  <w:autoSpaceDE w:val="0"/>
                  <w:autoSpaceDN w:val="0"/>
                  <w:spacing w:before="120" w:after="120" w:line="240" w:lineRule="auto"/>
                  <w:ind w:left="202"/>
                  <w:rPr>
                    <w:rFonts w:cs="Arial"/>
                    <w:b/>
                    <w:lang w:val="en-GB"/>
                  </w:rPr>
                </w:pPr>
                <w:r w:rsidRPr="00FF027F">
                  <w:rPr>
                    <w:rFonts w:cs="Arial"/>
                    <w:b/>
                    <w:lang w:val="en-GB"/>
                  </w:rPr>
                  <w:t xml:space="preserve">Annual Consolidated Report on progress of projects of common interest </w:t>
                </w:r>
              </w:p>
              <w:p w14:paraId="4AD00F39" w14:textId="77777777" w:rsidR="008B7490" w:rsidRPr="00FF027F" w:rsidRDefault="008B7490" w:rsidP="008B7490">
                <w:pPr>
                  <w:autoSpaceDE w:val="0"/>
                  <w:autoSpaceDN w:val="0"/>
                  <w:spacing w:before="120" w:after="120" w:line="240" w:lineRule="auto"/>
                  <w:ind w:left="202"/>
                  <w:rPr>
                    <w:rFonts w:cs="Arial"/>
                    <w:b/>
                    <w:lang w:val="en-GB"/>
                  </w:rPr>
                </w:pPr>
                <w:r w:rsidRPr="00FF027F">
                  <w:rPr>
                    <w:rFonts w:cs="Arial"/>
                    <w:b/>
                    <w:lang w:val="en-GB"/>
                  </w:rPr>
                  <w:t>Other key deliverables to be completed in the course of the year</w:t>
                </w:r>
              </w:p>
            </w:tc>
          </w:tr>
          <w:tr w:rsidR="008B7490" w:rsidRPr="00FF027F" w14:paraId="3FB43478" w14:textId="77777777" w:rsidTr="00A626B4">
            <w:tc>
              <w:tcPr>
                <w:tcW w:w="2700" w:type="dxa"/>
                <w:tcMar>
                  <w:top w:w="0" w:type="dxa"/>
                  <w:left w:w="108" w:type="dxa"/>
                  <w:bottom w:w="0" w:type="dxa"/>
                  <w:right w:w="108" w:type="dxa"/>
                </w:tcMar>
              </w:tcPr>
              <w:p w14:paraId="27EBCA82" w14:textId="77777777" w:rsidR="008B7490" w:rsidRPr="00FF027F" w:rsidRDefault="008B7490" w:rsidP="004553EA">
                <w:pPr>
                  <w:autoSpaceDE w:val="0"/>
                  <w:autoSpaceDN w:val="0"/>
                  <w:snapToGrid w:val="0"/>
                  <w:spacing w:before="120" w:after="120" w:line="240" w:lineRule="auto"/>
                  <w:rPr>
                    <w:rFonts w:cs="Arial"/>
                    <w:lang w:val="en-GB"/>
                  </w:rPr>
                </w:pPr>
                <w:r w:rsidRPr="00FF027F">
                  <w:rPr>
                    <w:rFonts w:cs="Arial"/>
                    <w:lang w:val="en-GB"/>
                  </w:rPr>
                  <w:t>Objectives and deadlines (indicative)</w:t>
                </w:r>
              </w:p>
            </w:tc>
            <w:tc>
              <w:tcPr>
                <w:tcW w:w="6435" w:type="dxa"/>
                <w:tcMar>
                  <w:top w:w="0" w:type="dxa"/>
                  <w:left w:w="108" w:type="dxa"/>
                  <w:bottom w:w="0" w:type="dxa"/>
                  <w:right w:w="108" w:type="dxa"/>
                </w:tcMar>
              </w:tcPr>
              <w:p w14:paraId="36A42CA1" w14:textId="6E0F23A1" w:rsidR="003503BE" w:rsidRPr="00FF027F" w:rsidRDefault="003503BE" w:rsidP="003503BE">
                <w:pPr>
                  <w:autoSpaceDE w:val="0"/>
                  <w:autoSpaceDN w:val="0"/>
                  <w:snapToGrid w:val="0"/>
                  <w:spacing w:before="120" w:after="120" w:line="240" w:lineRule="auto"/>
                  <w:ind w:left="202"/>
                  <w:rPr>
                    <w:rFonts w:eastAsia="Times New Roman" w:cs="Arial"/>
                    <w:lang w:val="en-GB" w:eastAsia="sl-SI"/>
                  </w:rPr>
                </w:pPr>
                <w:r w:rsidRPr="00FF027F">
                  <w:rPr>
                    <w:rFonts w:eastAsia="Times New Roman" w:cs="Arial"/>
                    <w:lang w:val="en-GB" w:eastAsia="sl-SI"/>
                  </w:rPr>
                  <w:t>Overall objective: timely preparation of high quality reports. More specifically:</w:t>
                </w:r>
              </w:p>
              <w:p w14:paraId="1BC4A250" w14:textId="221F5157" w:rsidR="008B7490" w:rsidRPr="00FF027F" w:rsidRDefault="008B7490" w:rsidP="006D214F">
                <w:pPr>
                  <w:numPr>
                    <w:ilvl w:val="0"/>
                    <w:numId w:val="27"/>
                  </w:numPr>
                  <w:autoSpaceDE w:val="0"/>
                  <w:autoSpaceDN w:val="0"/>
                  <w:snapToGrid w:val="0"/>
                  <w:spacing w:before="120" w:after="120" w:line="240" w:lineRule="auto"/>
                  <w:rPr>
                    <w:rFonts w:eastAsia="Times New Roman" w:cs="Arial"/>
                    <w:lang w:val="en-GB" w:eastAsia="sl-SI"/>
                  </w:rPr>
                </w:pPr>
                <w:r w:rsidRPr="00FF027F">
                  <w:rPr>
                    <w:rFonts w:eastAsia="Times New Roman" w:cs="Arial"/>
                    <w:lang w:val="en-GB" w:eastAsia="sl-SI"/>
                  </w:rPr>
                  <w:t xml:space="preserve">The </w:t>
                </w:r>
                <w:r w:rsidRPr="00FF027F">
                  <w:rPr>
                    <w:rFonts w:eastAsia="Times New Roman" w:cs="Arial"/>
                    <w:u w:val="single"/>
                    <w:lang w:val="en-GB" w:eastAsia="sl-SI"/>
                  </w:rPr>
                  <w:t>Annual Market Monitoring Report</w:t>
                </w:r>
                <w:r w:rsidRPr="00FF027F">
                  <w:rPr>
                    <w:rFonts w:eastAsia="Times New Roman" w:cs="Arial"/>
                    <w:lang w:val="en-GB" w:eastAsia="sl-SI"/>
                  </w:rPr>
                  <w:t xml:space="preserve"> is to provide in-depth analysis of barriers to</w:t>
                </w:r>
                <w:r w:rsidR="00B937D0">
                  <w:rPr>
                    <w:rFonts w:eastAsia="Times New Roman" w:cs="Arial"/>
                    <w:lang w:val="en-GB" w:eastAsia="sl-SI"/>
                  </w:rPr>
                  <w:t xml:space="preserve"> IEM</w:t>
                </w:r>
                <w:r w:rsidRPr="00FF027F">
                  <w:rPr>
                    <w:rFonts w:eastAsia="Times New Roman" w:cs="Arial"/>
                    <w:lang w:val="en-GB" w:eastAsia="sl-SI"/>
                  </w:rPr>
                  <w:t xml:space="preserve"> integration and give recommendations to the European Parliament and Commission on how to remove them. </w:t>
                </w:r>
              </w:p>
              <w:p w14:paraId="61939CAB" w14:textId="77777777" w:rsidR="008B7490" w:rsidRPr="00FF027F" w:rsidRDefault="008B7490" w:rsidP="004553EA">
                <w:pPr>
                  <w:autoSpaceDE w:val="0"/>
                  <w:autoSpaceDN w:val="0"/>
                  <w:snapToGrid w:val="0"/>
                  <w:spacing w:before="120" w:after="120" w:line="240" w:lineRule="auto"/>
                  <w:ind w:left="562"/>
                  <w:rPr>
                    <w:rFonts w:eastAsia="Times New Roman" w:cs="Arial"/>
                    <w:lang w:val="en-GB" w:eastAsia="sl-SI"/>
                  </w:rPr>
                </w:pPr>
                <w:r w:rsidRPr="00FF027F">
                  <w:rPr>
                    <w:rFonts w:eastAsia="Times New Roman" w:cs="Arial"/>
                    <w:lang w:val="en-GB" w:eastAsia="sl-SI"/>
                  </w:rPr>
                  <w:t>Expected completion date: November.</w:t>
                </w:r>
              </w:p>
              <w:p w14:paraId="2D7A4EC4" w14:textId="77777777" w:rsidR="008B7490" w:rsidRPr="00FF027F" w:rsidRDefault="008B7490" w:rsidP="006D214F">
                <w:pPr>
                  <w:numPr>
                    <w:ilvl w:val="0"/>
                    <w:numId w:val="27"/>
                  </w:numPr>
                  <w:autoSpaceDE w:val="0"/>
                  <w:autoSpaceDN w:val="0"/>
                  <w:snapToGrid w:val="0"/>
                  <w:spacing w:before="120" w:after="120" w:line="240" w:lineRule="auto"/>
                  <w:contextualSpacing/>
                  <w:rPr>
                    <w:rFonts w:eastAsia="Times New Roman" w:cs="Arial"/>
                    <w:lang w:val="en-GB" w:eastAsia="sl-SI"/>
                  </w:rPr>
                </w:pPr>
                <w:r w:rsidRPr="00FF027F">
                  <w:rPr>
                    <w:rFonts w:eastAsia="Times New Roman" w:cs="Arial"/>
                    <w:lang w:val="en-GB" w:eastAsia="sl-SI"/>
                  </w:rPr>
                  <w:t xml:space="preserve">The on-line </w:t>
                </w:r>
                <w:r w:rsidRPr="00FF027F">
                  <w:rPr>
                    <w:rFonts w:eastAsia="Times New Roman" w:cs="Arial"/>
                    <w:u w:val="single"/>
                    <w:lang w:val="en-GB" w:eastAsia="sl-SI"/>
                  </w:rPr>
                  <w:t>Regional Initiatives Annual Status Review Report</w:t>
                </w:r>
                <w:r w:rsidRPr="00FF027F">
                  <w:rPr>
                    <w:rFonts w:eastAsia="Times New Roman" w:cs="Arial"/>
                    <w:lang w:val="en-GB" w:eastAsia="sl-SI"/>
                  </w:rPr>
                  <w:t xml:space="preserve"> promotes transparency towards stakeholders, informing them on progress achieved in RIs, obstacles faced during the year and indicates the way forward.</w:t>
                </w:r>
              </w:p>
              <w:p w14:paraId="482C9171" w14:textId="3EC8DC5F" w:rsidR="008B7490" w:rsidRPr="00FF027F" w:rsidRDefault="008B7490" w:rsidP="004553EA">
                <w:pPr>
                  <w:autoSpaceDE w:val="0"/>
                  <w:autoSpaceDN w:val="0"/>
                  <w:snapToGrid w:val="0"/>
                  <w:spacing w:before="120" w:after="120" w:line="240" w:lineRule="auto"/>
                  <w:ind w:left="562"/>
                  <w:contextualSpacing/>
                  <w:rPr>
                    <w:rFonts w:eastAsia="Times New Roman" w:cs="Arial"/>
                    <w:lang w:val="en-GB" w:eastAsia="sl-SI"/>
                  </w:rPr>
                </w:pPr>
                <w:r w:rsidRPr="00FF027F">
                  <w:rPr>
                    <w:rFonts w:eastAsia="Times New Roman" w:cs="Arial"/>
                    <w:lang w:val="en-GB" w:eastAsia="sl-SI"/>
                  </w:rPr>
                  <w:t>Expected completion date: January.</w:t>
                </w:r>
              </w:p>
              <w:p w14:paraId="70D46687" w14:textId="77777777" w:rsidR="008B7490" w:rsidRPr="00FF027F" w:rsidRDefault="008B7490" w:rsidP="004553EA">
                <w:pPr>
                  <w:autoSpaceDE w:val="0"/>
                  <w:autoSpaceDN w:val="0"/>
                  <w:snapToGrid w:val="0"/>
                  <w:spacing w:before="120" w:after="120" w:line="240" w:lineRule="auto"/>
                  <w:ind w:left="562"/>
                  <w:contextualSpacing/>
                  <w:rPr>
                    <w:rFonts w:eastAsia="Times New Roman" w:cs="Arial"/>
                    <w:lang w:val="en-GB" w:eastAsia="sl-SI"/>
                  </w:rPr>
                </w:pPr>
              </w:p>
              <w:p w14:paraId="1F6E3804" w14:textId="6C2AA641" w:rsidR="008B7490" w:rsidRPr="00FF027F" w:rsidRDefault="008B7490" w:rsidP="006D214F">
                <w:pPr>
                  <w:numPr>
                    <w:ilvl w:val="0"/>
                    <w:numId w:val="27"/>
                  </w:numPr>
                  <w:autoSpaceDE w:val="0"/>
                  <w:autoSpaceDN w:val="0"/>
                  <w:snapToGrid w:val="0"/>
                  <w:spacing w:before="120" w:after="120" w:line="240" w:lineRule="auto"/>
                  <w:contextualSpacing/>
                  <w:rPr>
                    <w:rFonts w:eastAsia="Times New Roman" w:cs="Arial"/>
                    <w:lang w:val="en-GB" w:eastAsia="sl-SI"/>
                  </w:rPr>
                </w:pPr>
                <w:r w:rsidRPr="00FF027F">
                  <w:rPr>
                    <w:rFonts w:eastAsia="Times New Roman" w:cs="Arial"/>
                    <w:u w:val="single"/>
                    <w:lang w:val="en-GB" w:eastAsia="sl-SI"/>
                  </w:rPr>
                  <w:t xml:space="preserve">The on-line ERI and GRI </w:t>
                </w:r>
                <w:r w:rsidR="00B10589" w:rsidRPr="00FF027F">
                  <w:rPr>
                    <w:rFonts w:eastAsia="Times New Roman" w:cs="Arial"/>
                    <w:u w:val="single"/>
                    <w:lang w:val="en-GB" w:eastAsia="sl-SI"/>
                  </w:rPr>
                  <w:t xml:space="preserve">progress </w:t>
                </w:r>
                <w:r w:rsidRPr="00FF027F">
                  <w:rPr>
                    <w:rFonts w:eastAsia="Times New Roman" w:cs="Arial"/>
                    <w:u w:val="single"/>
                    <w:lang w:val="en-GB" w:eastAsia="sl-SI"/>
                  </w:rPr>
                  <w:t>reports</w:t>
                </w:r>
                <w:r w:rsidRPr="00FF027F">
                  <w:rPr>
                    <w:rFonts w:eastAsia="Times New Roman" w:cs="Arial"/>
                    <w:lang w:val="en-GB" w:eastAsia="sl-SI"/>
                  </w:rPr>
                  <w:t xml:space="preserve"> are complementary to the Regional Initiatives Annual Status Review Report, allowing for a more regular tracking of updated regional developments on a quarterly basis.</w:t>
                </w:r>
              </w:p>
              <w:p w14:paraId="6267A560" w14:textId="2EF1E7C2" w:rsidR="008B7490" w:rsidRPr="00FF027F" w:rsidRDefault="008B7490" w:rsidP="004553EA">
                <w:pPr>
                  <w:autoSpaceDE w:val="0"/>
                  <w:autoSpaceDN w:val="0"/>
                  <w:snapToGrid w:val="0"/>
                  <w:spacing w:before="120" w:after="120" w:line="240" w:lineRule="auto"/>
                  <w:ind w:left="562"/>
                  <w:contextualSpacing/>
                  <w:rPr>
                    <w:rFonts w:eastAsia="Times New Roman" w:cs="Arial"/>
                    <w:lang w:val="en-GB" w:eastAsia="sl-SI"/>
                  </w:rPr>
                </w:pPr>
                <w:r w:rsidRPr="00FF027F">
                  <w:rPr>
                    <w:rFonts w:eastAsia="Times New Roman" w:cs="Arial"/>
                    <w:lang w:val="en-GB" w:eastAsia="sl-SI"/>
                  </w:rPr>
                  <w:t xml:space="preserve">Expected timeframes: </w:t>
                </w:r>
                <w:r w:rsidR="00B10589" w:rsidRPr="00FF027F">
                  <w:rPr>
                    <w:rFonts w:eastAsia="Times New Roman" w:cs="Arial"/>
                    <w:lang w:val="en-GB" w:eastAsia="sl-SI"/>
                  </w:rPr>
                  <w:t>Spring and</w:t>
                </w:r>
                <w:r w:rsidR="007C16CF" w:rsidRPr="00FF027F">
                  <w:rPr>
                    <w:rFonts w:eastAsia="Times New Roman" w:cs="Arial"/>
                    <w:lang w:val="en-GB" w:eastAsia="sl-SI"/>
                  </w:rPr>
                  <w:t xml:space="preserve"> Autumn</w:t>
                </w:r>
                <w:r w:rsidRPr="00FF027F">
                  <w:rPr>
                    <w:rFonts w:eastAsia="Times New Roman" w:cs="Arial"/>
                    <w:lang w:val="en-GB" w:eastAsia="sl-SI"/>
                  </w:rPr>
                  <w:t>.</w:t>
                </w:r>
              </w:p>
              <w:p w14:paraId="3D404F5B" w14:textId="77777777" w:rsidR="008B7490" w:rsidRPr="00FF027F" w:rsidRDefault="008B7490" w:rsidP="004553EA">
                <w:pPr>
                  <w:autoSpaceDE w:val="0"/>
                  <w:autoSpaceDN w:val="0"/>
                  <w:snapToGrid w:val="0"/>
                  <w:spacing w:before="120" w:after="120" w:line="240" w:lineRule="auto"/>
                  <w:ind w:left="562"/>
                  <w:contextualSpacing/>
                  <w:rPr>
                    <w:rFonts w:eastAsia="Times New Roman" w:cs="Arial"/>
                    <w:lang w:val="en-GB" w:eastAsia="sl-SI"/>
                  </w:rPr>
                </w:pPr>
              </w:p>
              <w:p w14:paraId="67313D15" w14:textId="77777777" w:rsidR="008B7490" w:rsidRPr="00FF027F" w:rsidRDefault="008B7490" w:rsidP="006D214F">
                <w:pPr>
                  <w:numPr>
                    <w:ilvl w:val="0"/>
                    <w:numId w:val="27"/>
                  </w:numPr>
                  <w:autoSpaceDE w:val="0"/>
                  <w:autoSpaceDN w:val="0"/>
                  <w:snapToGrid w:val="0"/>
                  <w:spacing w:before="120" w:after="120" w:line="240" w:lineRule="auto"/>
                  <w:contextualSpacing/>
                  <w:rPr>
                    <w:rFonts w:eastAsia="Times New Roman" w:cs="Arial"/>
                    <w:u w:val="single"/>
                    <w:lang w:val="en-GB" w:eastAsia="sl-SI"/>
                  </w:rPr>
                </w:pPr>
                <w:r w:rsidRPr="00FF027F">
                  <w:rPr>
                    <w:rFonts w:eastAsia="Times New Roman" w:cs="Arial"/>
                    <w:u w:val="single"/>
                    <w:lang w:val="en-GB" w:eastAsia="sl-SI"/>
                  </w:rPr>
                  <w:t>Annual Consolidated Report on progress of projects of common interest</w:t>
                </w:r>
              </w:p>
              <w:p w14:paraId="67014577" w14:textId="77777777" w:rsidR="008B7490" w:rsidRPr="00FF027F" w:rsidRDefault="008B7490" w:rsidP="004553EA">
                <w:pPr>
                  <w:autoSpaceDE w:val="0"/>
                  <w:autoSpaceDN w:val="0"/>
                  <w:snapToGrid w:val="0"/>
                  <w:spacing w:before="120" w:after="120" w:line="240" w:lineRule="auto"/>
                  <w:ind w:left="562"/>
                  <w:contextualSpacing/>
                  <w:rPr>
                    <w:rFonts w:eastAsia="Times New Roman" w:cs="Arial"/>
                    <w:lang w:val="en-GB" w:eastAsia="sl-SI"/>
                  </w:rPr>
                </w:pPr>
                <w:r w:rsidRPr="00FF027F">
                  <w:rPr>
                    <w:rFonts w:eastAsia="Times New Roman" w:cs="Arial"/>
                    <w:lang w:val="en-GB" w:eastAsia="sl-SI"/>
                  </w:rPr>
                  <w:t>Report published within three months of the receipt of the annual reports by the project promoters.</w:t>
                </w:r>
              </w:p>
              <w:p w14:paraId="36D2C338" w14:textId="77777777" w:rsidR="008B7490" w:rsidRPr="00FF027F" w:rsidRDefault="008B7490" w:rsidP="004553EA">
                <w:pPr>
                  <w:autoSpaceDE w:val="0"/>
                  <w:autoSpaceDN w:val="0"/>
                  <w:snapToGrid w:val="0"/>
                  <w:spacing w:before="120" w:after="120" w:line="240" w:lineRule="auto"/>
                  <w:ind w:left="562"/>
                  <w:contextualSpacing/>
                  <w:rPr>
                    <w:rFonts w:eastAsia="Times New Roman" w:cs="Arial"/>
                    <w:lang w:val="en-GB" w:eastAsia="sl-SI"/>
                  </w:rPr>
                </w:pPr>
              </w:p>
              <w:p w14:paraId="4E97FEC7" w14:textId="77777777" w:rsidR="008B7490" w:rsidRPr="00FF027F" w:rsidRDefault="008B7490" w:rsidP="006D214F">
                <w:pPr>
                  <w:numPr>
                    <w:ilvl w:val="0"/>
                    <w:numId w:val="27"/>
                  </w:numPr>
                  <w:autoSpaceDE w:val="0"/>
                  <w:autoSpaceDN w:val="0"/>
                  <w:snapToGrid w:val="0"/>
                  <w:spacing w:before="120" w:after="120" w:line="240" w:lineRule="auto"/>
                  <w:contextualSpacing/>
                  <w:rPr>
                    <w:rFonts w:eastAsia="Times New Roman" w:cs="Arial"/>
                    <w:lang w:val="en-GB" w:eastAsia="sl-SI"/>
                  </w:rPr>
                </w:pPr>
                <w:r w:rsidRPr="00FF027F">
                  <w:rPr>
                    <w:rFonts w:eastAsia="Times New Roman" w:cs="Arial"/>
                    <w:u w:val="single"/>
                    <w:lang w:val="en-GB" w:eastAsia="sl-SI"/>
                  </w:rPr>
                  <w:t>Other key deliverables</w:t>
                </w:r>
                <w:r w:rsidRPr="00FF027F">
                  <w:rPr>
                    <w:rFonts w:eastAsia="Times New Roman" w:cs="Arial"/>
                    <w:lang w:val="en-GB" w:eastAsia="sl-SI"/>
                  </w:rPr>
                  <w:t xml:space="preserve"> to be completed in the year in question (to be determined beforehand on an annual basis).</w:t>
                </w:r>
              </w:p>
              <w:p w14:paraId="3816046A" w14:textId="77777777" w:rsidR="008B7490" w:rsidRPr="00FF027F" w:rsidRDefault="008B7490" w:rsidP="004553EA">
                <w:pPr>
                  <w:autoSpaceDE w:val="0"/>
                  <w:autoSpaceDN w:val="0"/>
                  <w:snapToGrid w:val="0"/>
                  <w:spacing w:before="120" w:after="120" w:line="240" w:lineRule="auto"/>
                  <w:ind w:left="562"/>
                  <w:contextualSpacing/>
                  <w:rPr>
                    <w:rFonts w:eastAsia="Times New Roman" w:cs="Arial"/>
                    <w:lang w:val="en-GB" w:eastAsia="sl-SI"/>
                  </w:rPr>
                </w:pPr>
                <w:r w:rsidRPr="00FF027F">
                  <w:rPr>
                    <w:rFonts w:eastAsia="Times New Roman" w:cs="Arial"/>
                    <w:lang w:val="en-GB" w:eastAsia="sl-SI"/>
                  </w:rPr>
                  <w:t>Expected timeframes to be determined on an annual basis.</w:t>
                </w:r>
              </w:p>
            </w:tc>
          </w:tr>
          <w:tr w:rsidR="008B7490" w:rsidRPr="00FF027F" w14:paraId="1E11DBA8" w14:textId="77777777" w:rsidTr="00A626B4">
            <w:tc>
              <w:tcPr>
                <w:tcW w:w="2700" w:type="dxa"/>
                <w:tcMar>
                  <w:top w:w="0" w:type="dxa"/>
                  <w:left w:w="108" w:type="dxa"/>
                  <w:bottom w:w="0" w:type="dxa"/>
                  <w:right w:w="108" w:type="dxa"/>
                </w:tcMar>
              </w:tcPr>
              <w:p w14:paraId="7F4DB0E3" w14:textId="77777777" w:rsidR="008B7490" w:rsidRPr="00FF027F" w:rsidRDefault="008B7490" w:rsidP="008B7490">
                <w:pPr>
                  <w:autoSpaceDE w:val="0"/>
                  <w:autoSpaceDN w:val="0"/>
                  <w:snapToGrid w:val="0"/>
                  <w:spacing w:before="120" w:after="120" w:line="240" w:lineRule="auto"/>
                  <w:rPr>
                    <w:rFonts w:cs="Arial"/>
                    <w:lang w:val="en-GB"/>
                  </w:rPr>
                </w:pPr>
                <w:r w:rsidRPr="00FF027F">
                  <w:rPr>
                    <w:rFonts w:cs="Arial"/>
                    <w:lang w:val="en-GB"/>
                  </w:rPr>
                  <w:t>KPIs</w:t>
                </w:r>
              </w:p>
            </w:tc>
            <w:tc>
              <w:tcPr>
                <w:tcW w:w="6435" w:type="dxa"/>
                <w:tcMar>
                  <w:top w:w="0" w:type="dxa"/>
                  <w:left w:w="108" w:type="dxa"/>
                  <w:bottom w:w="0" w:type="dxa"/>
                  <w:right w:w="108" w:type="dxa"/>
                </w:tcMar>
              </w:tcPr>
              <w:p w14:paraId="6287F7BD" w14:textId="0B1F7481" w:rsidR="008B7490" w:rsidRPr="00FF027F" w:rsidRDefault="008B7490" w:rsidP="008B7490">
                <w:pPr>
                  <w:autoSpaceDE w:val="0"/>
                  <w:autoSpaceDN w:val="0"/>
                  <w:snapToGrid w:val="0"/>
                  <w:spacing w:before="120" w:after="120" w:line="240" w:lineRule="auto"/>
                  <w:ind w:left="202"/>
                  <w:rPr>
                    <w:rFonts w:cs="Arial"/>
                    <w:lang w:val="en-GB"/>
                  </w:rPr>
                </w:pPr>
                <w:r w:rsidRPr="00FF027F">
                  <w:rPr>
                    <w:rFonts w:cs="Arial"/>
                    <w:b/>
                    <w:lang w:val="en-GB"/>
                  </w:rPr>
                  <w:t>18.</w:t>
                </w:r>
                <w:r w:rsidRPr="00FF027F">
                  <w:rPr>
                    <w:rFonts w:cs="Arial"/>
                    <w:lang w:val="en-GB"/>
                  </w:rPr>
                  <w:t xml:space="preserve"> </w:t>
                </w:r>
                <w:r w:rsidR="00B937D0" w:rsidRPr="00FF027F">
                  <w:rPr>
                    <w:rFonts w:cs="Arial"/>
                    <w:lang w:val="en-GB"/>
                  </w:rPr>
                  <w:t xml:space="preserve">80% of the above-mentioned reports </w:t>
                </w:r>
                <w:r w:rsidR="00B937D0">
                  <w:rPr>
                    <w:rFonts w:cs="Arial"/>
                    <w:lang w:val="en-GB"/>
                  </w:rPr>
                  <w:t>timely published</w:t>
                </w:r>
                <w:r w:rsidRPr="00FF027F">
                  <w:rPr>
                    <w:rFonts w:cs="Arial"/>
                    <w:lang w:val="en-GB"/>
                  </w:rPr>
                  <w:t>.</w:t>
                </w:r>
              </w:p>
              <w:p w14:paraId="1537F07E" w14:textId="324B735B" w:rsidR="008B7490" w:rsidRPr="00FF027F" w:rsidRDefault="008B7490" w:rsidP="008B7490">
                <w:pPr>
                  <w:autoSpaceDE w:val="0"/>
                  <w:autoSpaceDN w:val="0"/>
                  <w:snapToGrid w:val="0"/>
                  <w:spacing w:before="120" w:after="120" w:line="240" w:lineRule="auto"/>
                  <w:ind w:left="202"/>
                  <w:rPr>
                    <w:rFonts w:cs="Arial"/>
                    <w:lang w:val="en-GB"/>
                  </w:rPr>
                </w:pPr>
                <w:r w:rsidRPr="00FF027F">
                  <w:rPr>
                    <w:rFonts w:cs="Arial"/>
                    <w:b/>
                    <w:lang w:val="en-GB"/>
                  </w:rPr>
                  <w:t>19.</w:t>
                </w:r>
                <w:r w:rsidRPr="00FF027F">
                  <w:rPr>
                    <w:rFonts w:cs="Arial"/>
                    <w:lang w:val="en-GB"/>
                  </w:rPr>
                  <w:t xml:space="preserve"> Positive feedback to selected reports based on online surveys (</w:t>
                </w:r>
                <w:r w:rsidR="00745F87" w:rsidRPr="00FF027F">
                  <w:rPr>
                    <w:rFonts w:cs="Arial"/>
                    <w:lang w:val="en-GB"/>
                  </w:rPr>
                  <w:t>70</w:t>
                </w:r>
                <w:r w:rsidRPr="00FF027F">
                  <w:rPr>
                    <w:rFonts w:cs="Arial"/>
                    <w:lang w:val="en-GB"/>
                  </w:rPr>
                  <w:t xml:space="preserve">% satisfied or very satisfied). </w:t>
                </w:r>
              </w:p>
            </w:tc>
          </w:tr>
        </w:tbl>
        <w:p w14:paraId="1DEB0601" w14:textId="6292D17C" w:rsidR="00E932AB" w:rsidRPr="00FF027F" w:rsidRDefault="00E932AB">
          <w:pPr>
            <w:rPr>
              <w:rFonts w:ascii="Arial" w:eastAsia="Times New Roman" w:hAnsi="Arial" w:cs="Arial"/>
              <w:b/>
              <w:noProof/>
              <w:snapToGrid w:val="0"/>
              <w:u w:val="single"/>
              <w:lang w:val="en-GB" w:eastAsia="fi-FI"/>
            </w:rPr>
          </w:pPr>
          <w:bookmarkStart w:id="157" w:name="_Toc358640747"/>
          <w:bookmarkStart w:id="158" w:name="_Toc358640960"/>
          <w:bookmarkStart w:id="159" w:name="_Toc367347825"/>
          <w:bookmarkStart w:id="160" w:name="_Toc384206390"/>
          <w:r w:rsidRPr="00FF027F">
            <w:rPr>
              <w:rFonts w:ascii="Arial" w:hAnsi="Arial" w:cs="Arial"/>
              <w:u w:val="single"/>
              <w:lang w:val="en-GB"/>
            </w:rPr>
            <w:br w:type="page"/>
          </w:r>
        </w:p>
        <w:p w14:paraId="4766596F" w14:textId="10B9CC8A" w:rsidR="008B7490" w:rsidRPr="00FF027F" w:rsidRDefault="008B7490" w:rsidP="007C16CF">
          <w:pPr>
            <w:pStyle w:val="11ptVerdanaBold"/>
            <w:spacing w:before="240" w:after="240"/>
            <w:rPr>
              <w:rFonts w:ascii="Arial" w:hAnsi="Arial" w:cs="Arial"/>
              <w:szCs w:val="22"/>
              <w:u w:val="single"/>
            </w:rPr>
          </w:pPr>
          <w:r w:rsidRPr="00FF027F">
            <w:rPr>
              <w:rFonts w:ascii="Arial" w:hAnsi="Arial" w:cs="Arial"/>
              <w:szCs w:val="22"/>
              <w:u w:val="single"/>
            </w:rPr>
            <w:t>Opinion on ENTSO-E and ENTSOG Relevant Documents</w:t>
          </w:r>
          <w:bookmarkEnd w:id="157"/>
          <w:bookmarkEnd w:id="158"/>
          <w:bookmarkEnd w:id="159"/>
          <w:bookmarkEnd w:id="160"/>
        </w:p>
        <w:p w14:paraId="3C81C27A" w14:textId="77777777" w:rsidR="0059751D" w:rsidRPr="00FF027F" w:rsidRDefault="0059751D" w:rsidP="0059751D">
          <w:pPr>
            <w:pStyle w:val="11ptVerdanaBold"/>
            <w:rPr>
              <w:rFonts w:asciiTheme="minorHAnsi" w:hAnsiTheme="minorHAns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251"/>
          </w:tblGrid>
          <w:tr w:rsidR="008B7490" w:rsidRPr="00FF027F" w14:paraId="6B26CD6A" w14:textId="77777777" w:rsidTr="00A626B4">
            <w:tc>
              <w:tcPr>
                <w:tcW w:w="2700" w:type="dxa"/>
                <w:shd w:val="clear" w:color="auto" w:fill="002060"/>
              </w:tcPr>
              <w:p w14:paraId="590EA347" w14:textId="2F3928E4" w:rsidR="008B7490" w:rsidRPr="00FF027F" w:rsidRDefault="003503BE" w:rsidP="008B7490">
                <w:pPr>
                  <w:autoSpaceDE w:val="0"/>
                  <w:autoSpaceDN w:val="0"/>
                  <w:adjustRightInd w:val="0"/>
                  <w:spacing w:before="120" w:after="120" w:line="240" w:lineRule="auto"/>
                  <w:rPr>
                    <w:rFonts w:cs="Arial"/>
                    <w:b/>
                    <w:lang w:val="en-GB"/>
                  </w:rPr>
                </w:pPr>
                <w:r w:rsidRPr="00FF027F">
                  <w:rPr>
                    <w:rFonts w:cs="Arial"/>
                    <w:b/>
                    <w:lang w:val="en-GB"/>
                  </w:rPr>
                  <w:t>Activity</w:t>
                </w:r>
              </w:p>
            </w:tc>
            <w:tc>
              <w:tcPr>
                <w:tcW w:w="6372" w:type="dxa"/>
                <w:shd w:val="clear" w:color="auto" w:fill="002060"/>
              </w:tcPr>
              <w:p w14:paraId="120DA6E3" w14:textId="2DA8241B" w:rsidR="003503BE" w:rsidRPr="00FF027F" w:rsidRDefault="003503BE" w:rsidP="008B7490">
                <w:pPr>
                  <w:autoSpaceDE w:val="0"/>
                  <w:autoSpaceDN w:val="0"/>
                  <w:adjustRightInd w:val="0"/>
                  <w:spacing w:before="120" w:after="120" w:line="240" w:lineRule="auto"/>
                  <w:ind w:left="202"/>
                  <w:rPr>
                    <w:rFonts w:cs="Arial"/>
                    <w:b/>
                    <w:bCs/>
                    <w:lang w:val="en-GB"/>
                  </w:rPr>
                </w:pPr>
                <w:r w:rsidRPr="00FF027F">
                  <w:rPr>
                    <w:rFonts w:cs="Arial"/>
                    <w:b/>
                    <w:bCs/>
                    <w:lang w:val="en-GB"/>
                  </w:rPr>
                  <w:t>ENSTO-E related opinions</w:t>
                </w:r>
                <w:r w:rsidR="009304EA">
                  <w:rPr>
                    <w:rFonts w:cs="Arial"/>
                    <w:b/>
                    <w:bCs/>
                    <w:lang w:val="en-GB"/>
                  </w:rPr>
                  <w:t>,</w:t>
                </w:r>
                <w:r w:rsidRPr="00FF027F">
                  <w:rPr>
                    <w:rFonts w:cs="Arial"/>
                    <w:b/>
                    <w:bCs/>
                    <w:lang w:val="en-GB"/>
                  </w:rPr>
                  <w:t xml:space="preserve"> </w:t>
                </w:r>
                <w:r w:rsidR="009304EA" w:rsidRPr="00FF027F">
                  <w:rPr>
                    <w:rFonts w:cs="Arial"/>
                    <w:b/>
                    <w:bCs/>
                    <w:lang w:val="en-GB"/>
                  </w:rPr>
                  <w:t xml:space="preserve">reviews, recommendations </w:t>
                </w:r>
                <w:r w:rsidRPr="00FF027F">
                  <w:rPr>
                    <w:rFonts w:cs="Arial"/>
                    <w:b/>
                    <w:bCs/>
                    <w:lang w:val="en-GB"/>
                  </w:rPr>
                  <w:t>and reports:</w:t>
                </w:r>
              </w:p>
              <w:p w14:paraId="219AB648" w14:textId="77777777"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Annual monitoring report on the implementation and management of the inter-TSO compensation fund</w:t>
                </w:r>
              </w:p>
              <w:p w14:paraId="474FB9AE" w14:textId="77777777"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Opinions on ENTSO-E’s annual work programme and ENTSO-E’s annual report</w:t>
                </w:r>
              </w:p>
              <w:p w14:paraId="589313AA" w14:textId="77777777" w:rsidR="008B7490"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Opinions on ENTSO-E’s annual Summer and Winter supply outlooks</w:t>
                </w:r>
              </w:p>
              <w:p w14:paraId="36CC9476" w14:textId="616845BC" w:rsidR="009304EA" w:rsidRDefault="009304EA"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 on the electricity Community–wide Ten-Year Network Development Plan (TYNDP)</w:t>
                </w:r>
              </w:p>
              <w:p w14:paraId="6A79AE30" w14:textId="591C4AF1" w:rsidR="009304EA" w:rsidRPr="00FF027F" w:rsidRDefault="009304EA" w:rsidP="008B7490">
                <w:pPr>
                  <w:autoSpaceDE w:val="0"/>
                  <w:autoSpaceDN w:val="0"/>
                  <w:adjustRightInd w:val="0"/>
                  <w:spacing w:before="120" w:after="120" w:line="240" w:lineRule="auto"/>
                  <w:ind w:left="202"/>
                  <w:rPr>
                    <w:rFonts w:cs="Arial"/>
                    <w:b/>
                    <w:bCs/>
                    <w:lang w:val="en-GB"/>
                  </w:rPr>
                </w:pPr>
                <w:r w:rsidRPr="00FF027F">
                  <w:rPr>
                    <w:rFonts w:cs="Arial"/>
                    <w:b/>
                    <w:bCs/>
                    <w:lang w:val="en-GB"/>
                  </w:rPr>
                  <w:t>Reviews and recommendations on national TYNDP regarding their (in)consistency with the Community-wide TYNDP</w:t>
                </w:r>
              </w:p>
              <w:p w14:paraId="3721E6EC" w14:textId="369BA325" w:rsidR="008B7490" w:rsidRPr="00FF027F" w:rsidRDefault="008B7490">
                <w:pPr>
                  <w:autoSpaceDE w:val="0"/>
                  <w:autoSpaceDN w:val="0"/>
                  <w:adjustRightInd w:val="0"/>
                  <w:spacing w:before="120" w:after="120" w:line="240" w:lineRule="auto"/>
                  <w:ind w:left="202"/>
                  <w:rPr>
                    <w:rFonts w:cs="Arial"/>
                    <w:b/>
                    <w:bCs/>
                    <w:lang w:val="en-GB"/>
                  </w:rPr>
                </w:pPr>
                <w:r w:rsidRPr="00FF027F">
                  <w:rPr>
                    <w:rFonts w:cs="Arial"/>
                    <w:b/>
                    <w:bCs/>
                    <w:lang w:val="en-GB"/>
                  </w:rPr>
                  <w:t>Opinion on ENTSO-E’s common network operation tools including a common incidents classification scale</w:t>
                </w:r>
              </w:p>
              <w:p w14:paraId="70AD5263" w14:textId="77777777" w:rsidR="009304EA" w:rsidRDefault="009304EA"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 on ENTSO-E’s research and development plan</w:t>
                </w:r>
              </w:p>
              <w:p w14:paraId="2AA4CF77" w14:textId="443E9168"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 on ENTSO-E’s recommendations relating to the coordination of technical cooperation between Community and third-country transmission system operators</w:t>
                </w:r>
              </w:p>
              <w:p w14:paraId="0FB7D902" w14:textId="77777777"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Report on monitoring the implementation of the electricity Community–wide TYNDP and the progress as regards the implementation of projects to create new interconnector capacity</w:t>
                </w:r>
              </w:p>
              <w:p w14:paraId="1B0CCDDD" w14:textId="77777777"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 on ENTSO-E‘s draft Scenario Outlook &amp; Adequacy Forecast</w:t>
                </w:r>
              </w:p>
              <w:p w14:paraId="55424A3C" w14:textId="0BCE8B34"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 xml:space="preserve">Opinion on the draft regional lists of proposed </w:t>
                </w:r>
                <w:r w:rsidR="009304EA">
                  <w:rPr>
                    <w:rFonts w:cs="Arial"/>
                    <w:b/>
                    <w:bCs/>
                    <w:lang w:val="en-GB"/>
                  </w:rPr>
                  <w:t xml:space="preserve">electricity </w:t>
                </w:r>
                <w:r w:rsidRPr="00FF027F">
                  <w:rPr>
                    <w:rFonts w:cs="Arial"/>
                    <w:b/>
                    <w:bCs/>
                    <w:lang w:val="en-GB"/>
                  </w:rPr>
                  <w:t>projects of common interest</w:t>
                </w:r>
              </w:p>
            </w:tc>
          </w:tr>
          <w:tr w:rsidR="008B7490" w:rsidRPr="00FF027F" w14:paraId="1F177E6F" w14:textId="77777777" w:rsidTr="00A626B4">
            <w:tc>
              <w:tcPr>
                <w:tcW w:w="2700" w:type="dxa"/>
                <w:shd w:val="clear" w:color="auto" w:fill="auto"/>
              </w:tcPr>
              <w:p w14:paraId="4AA351BF"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372" w:type="dxa"/>
                <w:shd w:val="clear" w:color="auto" w:fill="auto"/>
              </w:tcPr>
              <w:p w14:paraId="7683D823" w14:textId="0DBEFC52" w:rsidR="008B7490" w:rsidRPr="00FF027F" w:rsidRDefault="008B7490" w:rsidP="008B7490">
                <w:pPr>
                  <w:spacing w:before="120" w:after="120" w:line="240" w:lineRule="auto"/>
                  <w:ind w:left="202"/>
                  <w:rPr>
                    <w:rFonts w:cs="Arial"/>
                    <w:bCs/>
                    <w:lang w:val="en-GB"/>
                  </w:rPr>
                </w:pPr>
                <w:r w:rsidRPr="00FF027F">
                  <w:rPr>
                    <w:rFonts w:cs="Arial"/>
                    <w:bCs/>
                    <w:lang w:val="en-GB"/>
                  </w:rPr>
                  <w:t xml:space="preserve">To meet the legal reporting requirements foreseen in various </w:t>
                </w:r>
                <w:r w:rsidR="00B937D0">
                  <w:rPr>
                    <w:rFonts w:cs="Arial"/>
                    <w:bCs/>
                    <w:lang w:val="en-GB"/>
                  </w:rPr>
                  <w:t>R</w:t>
                </w:r>
                <w:r w:rsidRPr="00FF027F">
                  <w:rPr>
                    <w:rFonts w:cs="Arial"/>
                    <w:bCs/>
                    <w:lang w:val="en-GB"/>
                  </w:rPr>
                  <w:t xml:space="preserve">egulations. </w:t>
                </w:r>
              </w:p>
              <w:p w14:paraId="3B07A90E" w14:textId="1154CF60" w:rsidR="008B7490" w:rsidRPr="00FF027F" w:rsidRDefault="008B7490" w:rsidP="008B7490">
                <w:pPr>
                  <w:spacing w:before="120" w:after="120" w:line="240" w:lineRule="auto"/>
                  <w:ind w:left="202"/>
                  <w:rPr>
                    <w:rFonts w:cs="Arial"/>
                    <w:bCs/>
                    <w:lang w:val="en-GB"/>
                  </w:rPr>
                </w:pPr>
                <w:r w:rsidRPr="00FF027F">
                  <w:rPr>
                    <w:rFonts w:cs="Arial"/>
                    <w:lang w:val="en-GB"/>
                  </w:rPr>
                  <w:t>Activities to be carried out upon submission of the relevant documents by ENTSO-E</w:t>
                </w:r>
                <w:r w:rsidR="007C16CF" w:rsidRPr="00FF027F">
                  <w:rPr>
                    <w:rFonts w:cs="Arial"/>
                    <w:lang w:val="en-GB"/>
                  </w:rPr>
                  <w:t>.</w:t>
                </w:r>
              </w:p>
              <w:p w14:paraId="2FED5F1F" w14:textId="77777777" w:rsidR="008B7490" w:rsidRPr="00FF027F" w:rsidRDefault="008B7490" w:rsidP="008B7490">
                <w:pPr>
                  <w:spacing w:before="120" w:after="120" w:line="240" w:lineRule="auto"/>
                  <w:ind w:left="202"/>
                  <w:rPr>
                    <w:rFonts w:cs="Arial"/>
                    <w:bCs/>
                    <w:lang w:val="en-GB"/>
                  </w:rPr>
                </w:pPr>
                <w:r w:rsidRPr="00FF027F">
                  <w:rPr>
                    <w:rFonts w:cs="Arial"/>
                    <w:bCs/>
                    <w:lang w:val="en-GB"/>
                  </w:rPr>
                  <w:t>E.g. Monitoring report on ITC implementation: September.</w:t>
                </w:r>
              </w:p>
              <w:p w14:paraId="4066E45B" w14:textId="72E292A1" w:rsidR="008B7490" w:rsidRPr="00FF027F" w:rsidRDefault="008B7490" w:rsidP="008B7490">
                <w:pPr>
                  <w:spacing w:before="120" w:after="120" w:line="240" w:lineRule="auto"/>
                  <w:ind w:left="202"/>
                  <w:rPr>
                    <w:rFonts w:cs="Arial"/>
                    <w:bCs/>
                    <w:lang w:val="en-GB"/>
                  </w:rPr>
                </w:pPr>
                <w:r w:rsidRPr="00FF027F">
                  <w:rPr>
                    <w:rFonts w:cs="Arial"/>
                    <w:bCs/>
                    <w:lang w:val="en-GB"/>
                  </w:rPr>
                  <w:t xml:space="preserve">Opinion on ENTSO-E’s Work Programme: within two months after receipt of the document </w:t>
                </w:r>
                <w:r w:rsidR="009304EA">
                  <w:rPr>
                    <w:rFonts w:cs="Arial"/>
                    <w:bCs/>
                    <w:lang w:val="en-GB"/>
                  </w:rPr>
                  <w:t>from</w:t>
                </w:r>
                <w:r w:rsidRPr="00FF027F">
                  <w:rPr>
                    <w:rFonts w:cs="Arial"/>
                    <w:bCs/>
                    <w:lang w:val="en-GB"/>
                  </w:rPr>
                  <w:t xml:space="preserve"> ENTSO-E.</w:t>
                </w:r>
              </w:p>
              <w:p w14:paraId="46534476" w14:textId="5F273BAC" w:rsidR="008B7490" w:rsidRPr="00FF027F" w:rsidRDefault="008B7490" w:rsidP="008B7490">
                <w:pPr>
                  <w:spacing w:before="120" w:after="120" w:line="240" w:lineRule="auto"/>
                  <w:ind w:left="202"/>
                  <w:rPr>
                    <w:rFonts w:cs="Arial"/>
                    <w:bCs/>
                    <w:lang w:val="en-GB"/>
                  </w:rPr>
                </w:pPr>
                <w:r w:rsidRPr="00FF027F">
                  <w:rPr>
                    <w:rFonts w:cs="Arial"/>
                    <w:bCs/>
                    <w:lang w:val="en-GB"/>
                  </w:rPr>
                  <w:t xml:space="preserve">Opinion on </w:t>
                </w:r>
                <w:r w:rsidR="009304EA">
                  <w:rPr>
                    <w:rFonts w:cs="Arial"/>
                    <w:bCs/>
                    <w:lang w:val="en-GB"/>
                  </w:rPr>
                  <w:t>the electricity</w:t>
                </w:r>
                <w:r w:rsidRPr="00FF027F">
                  <w:rPr>
                    <w:rFonts w:cs="Arial"/>
                    <w:bCs/>
                    <w:lang w:val="en-GB"/>
                  </w:rPr>
                  <w:t xml:space="preserve"> TYNDP: within two months after receipt of the document </w:t>
                </w:r>
                <w:r w:rsidR="009304EA">
                  <w:rPr>
                    <w:rFonts w:cs="Arial"/>
                    <w:bCs/>
                    <w:lang w:val="en-GB"/>
                  </w:rPr>
                  <w:t>from</w:t>
                </w:r>
                <w:r w:rsidRPr="00FF027F">
                  <w:rPr>
                    <w:rFonts w:cs="Arial"/>
                    <w:bCs/>
                    <w:lang w:val="en-GB"/>
                  </w:rPr>
                  <w:t xml:space="preserve"> ENTSO-E.</w:t>
                </w:r>
              </w:p>
              <w:p w14:paraId="03762EB3" w14:textId="7F291337" w:rsidR="008B7490" w:rsidRPr="00FF027F" w:rsidRDefault="008B7490" w:rsidP="008B7490">
                <w:pPr>
                  <w:spacing w:before="120" w:after="120" w:line="240" w:lineRule="auto"/>
                  <w:ind w:left="202"/>
                  <w:rPr>
                    <w:rFonts w:cs="Arial"/>
                    <w:bCs/>
                    <w:lang w:val="en-GB"/>
                  </w:rPr>
                </w:pPr>
                <w:r w:rsidRPr="00FF027F">
                  <w:rPr>
                    <w:rFonts w:cs="Arial"/>
                    <w:bCs/>
                    <w:lang w:val="en-GB"/>
                  </w:rPr>
                  <w:t xml:space="preserve">Opinion on ENTSO-E’s other documents: after receipt of the document </w:t>
                </w:r>
                <w:r w:rsidR="009304EA">
                  <w:rPr>
                    <w:rFonts w:cs="Arial"/>
                    <w:bCs/>
                    <w:lang w:val="en-GB"/>
                  </w:rPr>
                  <w:t>from</w:t>
                </w:r>
                <w:r w:rsidRPr="00FF027F">
                  <w:rPr>
                    <w:rFonts w:cs="Arial"/>
                    <w:bCs/>
                    <w:lang w:val="en-GB"/>
                  </w:rPr>
                  <w:t xml:space="preserve"> ENTSO-E.</w:t>
                </w:r>
              </w:p>
              <w:p w14:paraId="67EA359C" w14:textId="65D32E19" w:rsidR="008B7490" w:rsidRPr="00FF027F" w:rsidRDefault="008B7490" w:rsidP="008B7490">
                <w:pPr>
                  <w:spacing w:before="120" w:after="120" w:line="240" w:lineRule="auto"/>
                  <w:ind w:left="202"/>
                  <w:rPr>
                    <w:rFonts w:cs="Arial"/>
                    <w:bCs/>
                    <w:lang w:val="en-GB"/>
                  </w:rPr>
                </w:pPr>
                <w:r w:rsidRPr="00FF027F">
                  <w:rPr>
                    <w:rFonts w:cs="Arial"/>
                    <w:bCs/>
                    <w:lang w:val="en-GB"/>
                  </w:rPr>
                  <w:t xml:space="preserve">Opinion on the draft regional lists of proposed </w:t>
                </w:r>
                <w:r w:rsidR="00B937D0">
                  <w:rPr>
                    <w:rFonts w:cs="Arial"/>
                    <w:bCs/>
                    <w:lang w:val="en-GB"/>
                  </w:rPr>
                  <w:t xml:space="preserve">electricity </w:t>
                </w:r>
                <w:r w:rsidRPr="00FF027F">
                  <w:rPr>
                    <w:rFonts w:cs="Arial"/>
                    <w:bCs/>
                    <w:lang w:val="en-GB"/>
                  </w:rPr>
                  <w:t>projects of common interest: within three months of the date of receipt.</w:t>
                </w:r>
              </w:p>
            </w:tc>
          </w:tr>
          <w:tr w:rsidR="008B7490" w:rsidRPr="00FF027F" w14:paraId="3BBA3511" w14:textId="77777777" w:rsidTr="00A626B4">
            <w:tc>
              <w:tcPr>
                <w:tcW w:w="2700" w:type="dxa"/>
                <w:shd w:val="clear" w:color="auto" w:fill="auto"/>
              </w:tcPr>
              <w:p w14:paraId="635A3D37"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KPI</w:t>
                </w:r>
              </w:p>
            </w:tc>
            <w:tc>
              <w:tcPr>
                <w:tcW w:w="6372" w:type="dxa"/>
                <w:shd w:val="clear" w:color="auto" w:fill="auto"/>
              </w:tcPr>
              <w:p w14:paraId="17EB5F78" w14:textId="776D81E6" w:rsidR="008B7490" w:rsidRPr="00FF027F" w:rsidRDefault="008B7490">
                <w:pPr>
                  <w:autoSpaceDE w:val="0"/>
                  <w:autoSpaceDN w:val="0"/>
                  <w:adjustRightInd w:val="0"/>
                  <w:spacing w:before="120" w:after="120" w:line="240" w:lineRule="auto"/>
                  <w:ind w:left="202"/>
                  <w:rPr>
                    <w:rFonts w:cs="Arial"/>
                    <w:lang w:val="en-GB"/>
                  </w:rPr>
                </w:pPr>
                <w:r w:rsidRPr="00FF027F">
                  <w:rPr>
                    <w:rFonts w:cs="Arial"/>
                    <w:b/>
                    <w:lang w:val="en-GB"/>
                  </w:rPr>
                  <w:t>20.</w:t>
                </w:r>
                <w:r w:rsidRPr="00FF027F">
                  <w:rPr>
                    <w:rFonts w:cs="Arial"/>
                    <w:lang w:val="en-GB"/>
                  </w:rPr>
                  <w:t xml:space="preserve"> </w:t>
                </w:r>
                <w:r w:rsidR="00CA593B">
                  <w:rPr>
                    <w:rFonts w:cs="Arial"/>
                    <w:lang w:val="en-GB"/>
                  </w:rPr>
                  <w:t xml:space="preserve">90% the opinions, reviews, recommendations and </w:t>
                </w:r>
                <w:r w:rsidR="00B937D0" w:rsidRPr="00FF027F">
                  <w:rPr>
                    <w:rFonts w:cs="Arial"/>
                    <w:lang w:val="en-GB"/>
                  </w:rPr>
                  <w:t xml:space="preserve">reports </w:t>
                </w:r>
                <w:r w:rsidR="00B937D0">
                  <w:rPr>
                    <w:rFonts w:cs="Arial"/>
                    <w:lang w:val="en-GB"/>
                  </w:rPr>
                  <w:t>t</w:t>
                </w:r>
                <w:r w:rsidRPr="00FF027F">
                  <w:rPr>
                    <w:rFonts w:cs="Arial"/>
                    <w:lang w:val="en-GB"/>
                  </w:rPr>
                  <w:t>imely delive</w:t>
                </w:r>
                <w:r w:rsidR="00B937D0">
                  <w:rPr>
                    <w:rFonts w:cs="Arial"/>
                    <w:lang w:val="en-GB"/>
                  </w:rPr>
                  <w:t>red</w:t>
                </w:r>
                <w:r w:rsidRPr="00FF027F">
                  <w:rPr>
                    <w:rFonts w:cs="Arial"/>
                    <w:lang w:val="en-GB"/>
                  </w:rPr>
                  <w:t>.</w:t>
                </w:r>
              </w:p>
            </w:tc>
          </w:tr>
        </w:tbl>
        <w:p w14:paraId="7192A909" w14:textId="77777777" w:rsidR="008B7490" w:rsidRPr="00FF027F" w:rsidRDefault="008B7490" w:rsidP="008B7490">
          <w:pPr>
            <w:spacing w:after="0"/>
            <w:ind w:left="1282" w:hanging="1282"/>
            <w:rPr>
              <w:rFonts w:ascii="Arial" w:hAnsi="Arial" w:cs="Arial"/>
              <w:b/>
              <w:bCs/>
              <w:i/>
              <w:iCs/>
              <w:color w:val="808080" w:themeColor="background1" w:themeShade="80"/>
              <w:sz w:val="26"/>
              <w:szCs w:val="26"/>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251"/>
          </w:tblGrid>
          <w:tr w:rsidR="008B7490" w:rsidRPr="00FF027F" w14:paraId="31762AA3" w14:textId="77777777" w:rsidTr="00A626B4">
            <w:tc>
              <w:tcPr>
                <w:tcW w:w="2700" w:type="dxa"/>
                <w:shd w:val="clear" w:color="auto" w:fill="002060"/>
              </w:tcPr>
              <w:p w14:paraId="226BB2A3" w14:textId="02148692" w:rsidR="008B7490" w:rsidRPr="00FF027F" w:rsidRDefault="003503BE" w:rsidP="008B7490">
                <w:pPr>
                  <w:autoSpaceDE w:val="0"/>
                  <w:autoSpaceDN w:val="0"/>
                  <w:adjustRightInd w:val="0"/>
                  <w:spacing w:before="120" w:after="120" w:line="240" w:lineRule="auto"/>
                  <w:rPr>
                    <w:rFonts w:cs="Arial"/>
                    <w:b/>
                    <w:lang w:val="en-GB"/>
                  </w:rPr>
                </w:pPr>
                <w:r w:rsidRPr="00FF027F">
                  <w:rPr>
                    <w:rFonts w:cs="Arial"/>
                    <w:b/>
                    <w:lang w:val="en-GB"/>
                  </w:rPr>
                  <w:t>Activity</w:t>
                </w:r>
              </w:p>
            </w:tc>
            <w:tc>
              <w:tcPr>
                <w:tcW w:w="6372" w:type="dxa"/>
                <w:shd w:val="clear" w:color="auto" w:fill="002060"/>
              </w:tcPr>
              <w:p w14:paraId="63229248" w14:textId="72D5F6CB" w:rsidR="003503BE" w:rsidRPr="00FF027F" w:rsidRDefault="003503BE" w:rsidP="008B7490">
                <w:pPr>
                  <w:autoSpaceDE w:val="0"/>
                  <w:autoSpaceDN w:val="0"/>
                  <w:adjustRightInd w:val="0"/>
                  <w:spacing w:before="120" w:after="120" w:line="240" w:lineRule="auto"/>
                  <w:ind w:left="202"/>
                  <w:rPr>
                    <w:rFonts w:cs="Arial"/>
                    <w:b/>
                    <w:bCs/>
                    <w:lang w:val="en-GB"/>
                  </w:rPr>
                </w:pPr>
                <w:r w:rsidRPr="00FF027F">
                  <w:rPr>
                    <w:rFonts w:cs="Arial"/>
                    <w:b/>
                    <w:bCs/>
                    <w:lang w:val="en-GB"/>
                  </w:rPr>
                  <w:t>ENTSO-G related opinions, reviews, recommendations and reports:</w:t>
                </w:r>
              </w:p>
              <w:p w14:paraId="18B0CE24" w14:textId="77777777"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Opinions on ENTSOG’s annual work programme and ENTSOG’s annual report</w:t>
                </w:r>
              </w:p>
              <w:p w14:paraId="51E0F406" w14:textId="77777777" w:rsidR="008B7490"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Opinions on ENTSOG’s annual Summer and Winter supply outlooks</w:t>
                </w:r>
              </w:p>
              <w:p w14:paraId="78483973" w14:textId="6067A5EB" w:rsidR="009304EA" w:rsidRPr="00FF027F" w:rsidRDefault="009304EA" w:rsidP="008B7490">
                <w:pPr>
                  <w:autoSpaceDE w:val="0"/>
                  <w:autoSpaceDN w:val="0"/>
                  <w:adjustRightInd w:val="0"/>
                  <w:spacing w:before="120" w:after="120" w:line="240" w:lineRule="auto"/>
                  <w:ind w:left="202"/>
                  <w:rPr>
                    <w:rFonts w:cs="Arial"/>
                    <w:b/>
                    <w:bCs/>
                    <w:lang w:val="en-GB"/>
                  </w:rPr>
                </w:pPr>
                <w:r>
                  <w:rPr>
                    <w:rFonts w:cs="Arial"/>
                    <w:b/>
                    <w:bCs/>
                    <w:lang w:val="en-GB"/>
                  </w:rPr>
                  <w:t>Opinion on the gas</w:t>
                </w:r>
                <w:r w:rsidRPr="00FF027F">
                  <w:rPr>
                    <w:rFonts w:cs="Arial"/>
                    <w:b/>
                    <w:bCs/>
                    <w:lang w:val="en-GB"/>
                  </w:rPr>
                  <w:t xml:space="preserve"> Community–wide Ten-Year Network Development Plan (TYNDP)</w:t>
                </w:r>
              </w:p>
              <w:p w14:paraId="3DFE65D1" w14:textId="77777777"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Reviews and recommendations on national TYNDP regarding their (in)consistency with the Community-wide TYNDP</w:t>
                </w:r>
              </w:p>
              <w:p w14:paraId="2AF6F338" w14:textId="77777777" w:rsidR="009304EA"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Opinions on ENTSOG’s common network operation tools including a common incidents classification scale</w:t>
                </w:r>
              </w:p>
              <w:p w14:paraId="6394E262" w14:textId="0BB68BE3" w:rsidR="008B7490" w:rsidRPr="00FF027F" w:rsidRDefault="009304EA"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Opinions on ENTSOG’s</w:t>
                </w:r>
                <w:r>
                  <w:rPr>
                    <w:rFonts w:cs="Arial"/>
                    <w:b/>
                    <w:bCs/>
                    <w:lang w:val="en-GB"/>
                  </w:rPr>
                  <w:t xml:space="preserve"> </w:t>
                </w:r>
                <w:r w:rsidR="008B7490" w:rsidRPr="00FF027F">
                  <w:rPr>
                    <w:rFonts w:cs="Arial"/>
                    <w:b/>
                    <w:bCs/>
                    <w:lang w:val="en-GB"/>
                  </w:rPr>
                  <w:t xml:space="preserve">research </w:t>
                </w:r>
                <w:r w:rsidRPr="00FF027F">
                  <w:rPr>
                    <w:rFonts w:cs="Arial"/>
                    <w:b/>
                    <w:bCs/>
                    <w:lang w:val="en-GB"/>
                  </w:rPr>
                  <w:t xml:space="preserve">and development </w:t>
                </w:r>
                <w:r w:rsidR="008B7490" w:rsidRPr="00FF027F">
                  <w:rPr>
                    <w:rFonts w:cs="Arial"/>
                    <w:b/>
                    <w:bCs/>
                    <w:lang w:val="en-GB"/>
                  </w:rPr>
                  <w:t>plans</w:t>
                </w:r>
              </w:p>
              <w:p w14:paraId="61BDB32C" w14:textId="77777777" w:rsidR="008B7490" w:rsidRPr="00FF027F"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Opinions on ENTSOG’s recommendations relating to the coordination of technical cooperation between Community and third-country transmission system operators</w:t>
                </w:r>
              </w:p>
              <w:p w14:paraId="5CE45A4E" w14:textId="77777777" w:rsidR="008B7490" w:rsidRDefault="008B7490" w:rsidP="008B7490">
                <w:pPr>
                  <w:autoSpaceDE w:val="0"/>
                  <w:autoSpaceDN w:val="0"/>
                  <w:adjustRightInd w:val="0"/>
                  <w:spacing w:before="120" w:after="120" w:line="240" w:lineRule="auto"/>
                  <w:ind w:left="202"/>
                  <w:rPr>
                    <w:rFonts w:cs="Arial"/>
                    <w:b/>
                    <w:bCs/>
                    <w:lang w:val="en-GB"/>
                  </w:rPr>
                </w:pPr>
                <w:r w:rsidRPr="00FF027F">
                  <w:rPr>
                    <w:rFonts w:cs="Arial"/>
                    <w:b/>
                    <w:bCs/>
                    <w:lang w:val="en-GB"/>
                  </w:rPr>
                  <w:t>Report on monitoring the implementation of the Community-wide TYNDP and the progress as regards the implementation of projects to create new interconnector capacity</w:t>
                </w:r>
              </w:p>
              <w:p w14:paraId="458F9C90" w14:textId="06D7CED9" w:rsidR="009304EA" w:rsidRPr="00FF027F" w:rsidRDefault="009304EA" w:rsidP="008B7490">
                <w:pPr>
                  <w:autoSpaceDE w:val="0"/>
                  <w:autoSpaceDN w:val="0"/>
                  <w:adjustRightInd w:val="0"/>
                  <w:spacing w:before="120" w:after="120" w:line="240" w:lineRule="auto"/>
                  <w:ind w:left="202"/>
                  <w:rPr>
                    <w:rFonts w:cs="Arial"/>
                    <w:b/>
                    <w:bCs/>
                    <w:lang w:val="en-GB"/>
                  </w:rPr>
                </w:pPr>
                <w:r w:rsidRPr="00FF027F">
                  <w:rPr>
                    <w:rFonts w:cs="Arial"/>
                    <w:b/>
                    <w:bCs/>
                    <w:lang w:val="en-GB"/>
                  </w:rPr>
                  <w:t xml:space="preserve">Opinion on the draft regional lists of proposed </w:t>
                </w:r>
                <w:r>
                  <w:rPr>
                    <w:rFonts w:cs="Arial"/>
                    <w:b/>
                    <w:bCs/>
                    <w:lang w:val="en-GB"/>
                  </w:rPr>
                  <w:t xml:space="preserve">gas </w:t>
                </w:r>
                <w:r w:rsidRPr="00FF027F">
                  <w:rPr>
                    <w:rFonts w:cs="Arial"/>
                    <w:b/>
                    <w:bCs/>
                    <w:lang w:val="en-GB"/>
                  </w:rPr>
                  <w:t>projects of common interest</w:t>
                </w:r>
              </w:p>
            </w:tc>
          </w:tr>
          <w:tr w:rsidR="008B7490" w:rsidRPr="00FF027F" w14:paraId="65B36808" w14:textId="77777777" w:rsidTr="00A626B4">
            <w:tc>
              <w:tcPr>
                <w:tcW w:w="2700" w:type="dxa"/>
                <w:shd w:val="clear" w:color="auto" w:fill="auto"/>
              </w:tcPr>
              <w:p w14:paraId="1D4E7F64"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372" w:type="dxa"/>
                <w:shd w:val="clear" w:color="auto" w:fill="auto"/>
              </w:tcPr>
              <w:p w14:paraId="6779E070" w14:textId="77777777" w:rsidR="008B7490" w:rsidRPr="00FF027F" w:rsidRDefault="008B7490" w:rsidP="008B7490">
                <w:pPr>
                  <w:spacing w:before="120" w:after="120" w:line="240" w:lineRule="auto"/>
                  <w:ind w:left="202"/>
                  <w:rPr>
                    <w:rFonts w:cs="Arial"/>
                    <w:bCs/>
                    <w:lang w:val="en-GB"/>
                  </w:rPr>
                </w:pPr>
                <w:r w:rsidRPr="00FF027F">
                  <w:rPr>
                    <w:rFonts w:cs="Arial"/>
                    <w:bCs/>
                    <w:lang w:val="en-GB"/>
                  </w:rPr>
                  <w:t xml:space="preserve">To meet the legal reporting requirements foreseen in various regulations. </w:t>
                </w:r>
              </w:p>
              <w:p w14:paraId="49A422F8" w14:textId="7DA45DCD" w:rsidR="008B7490" w:rsidRPr="00FF027F" w:rsidRDefault="008B7490" w:rsidP="008B7490">
                <w:pPr>
                  <w:spacing w:before="120" w:after="120" w:line="240" w:lineRule="auto"/>
                  <w:ind w:left="202"/>
                  <w:rPr>
                    <w:rFonts w:cs="Arial"/>
                    <w:bCs/>
                    <w:lang w:val="en-GB"/>
                  </w:rPr>
                </w:pPr>
                <w:r w:rsidRPr="00FF027F">
                  <w:rPr>
                    <w:rFonts w:cs="Arial"/>
                    <w:bCs/>
                    <w:lang w:val="en-GB"/>
                  </w:rPr>
                  <w:t>Activities to be carried out upon submission of the relevant documents by ENTSOG</w:t>
                </w:r>
                <w:r w:rsidR="007C16CF" w:rsidRPr="00FF027F">
                  <w:rPr>
                    <w:rFonts w:cs="Arial"/>
                    <w:bCs/>
                    <w:lang w:val="en-GB"/>
                  </w:rPr>
                  <w:t>.</w:t>
                </w:r>
              </w:p>
              <w:p w14:paraId="38DE6EB8" w14:textId="75213810" w:rsidR="008B7490" w:rsidRPr="00FF027F" w:rsidRDefault="009304EA" w:rsidP="008B7490">
                <w:pPr>
                  <w:spacing w:before="120" w:after="120" w:line="240" w:lineRule="auto"/>
                  <w:ind w:left="202"/>
                  <w:rPr>
                    <w:rFonts w:cs="Arial"/>
                    <w:bCs/>
                    <w:lang w:val="en-GB"/>
                  </w:rPr>
                </w:pPr>
                <w:r>
                  <w:rPr>
                    <w:rFonts w:cs="Arial"/>
                    <w:bCs/>
                    <w:lang w:val="en-GB"/>
                  </w:rPr>
                  <w:t>Opinion on ENTSO-G</w:t>
                </w:r>
                <w:r w:rsidRPr="00FF027F">
                  <w:rPr>
                    <w:rFonts w:cs="Arial"/>
                    <w:bCs/>
                    <w:lang w:val="en-GB"/>
                  </w:rPr>
                  <w:t xml:space="preserve">’s Work Programme: within two months after receipt of the document </w:t>
                </w:r>
                <w:r>
                  <w:rPr>
                    <w:rFonts w:cs="Arial"/>
                    <w:bCs/>
                    <w:lang w:val="en-GB"/>
                  </w:rPr>
                  <w:t>from ENTSO-G</w:t>
                </w:r>
                <w:r w:rsidRPr="00FF027F">
                  <w:rPr>
                    <w:rFonts w:cs="Arial"/>
                    <w:bCs/>
                    <w:lang w:val="en-GB"/>
                  </w:rPr>
                  <w:t>.</w:t>
                </w:r>
              </w:p>
              <w:p w14:paraId="54A5C40F" w14:textId="54A6D40F" w:rsidR="009304EA" w:rsidRDefault="009304EA" w:rsidP="008B7490">
                <w:pPr>
                  <w:spacing w:before="120" w:after="120" w:line="240" w:lineRule="auto"/>
                  <w:ind w:left="202"/>
                  <w:rPr>
                    <w:rFonts w:cs="Arial"/>
                    <w:bCs/>
                    <w:lang w:val="en-GB"/>
                  </w:rPr>
                </w:pPr>
                <w:r>
                  <w:rPr>
                    <w:rFonts w:cs="Arial"/>
                    <w:bCs/>
                    <w:lang w:val="en-GB"/>
                  </w:rPr>
                  <w:t xml:space="preserve">Opinion on the gas </w:t>
                </w:r>
                <w:r w:rsidRPr="00FF027F">
                  <w:rPr>
                    <w:rFonts w:cs="Arial"/>
                    <w:bCs/>
                    <w:lang w:val="en-GB"/>
                  </w:rPr>
                  <w:t>TYNDP: within two months after re</w:t>
                </w:r>
                <w:r>
                  <w:rPr>
                    <w:rFonts w:cs="Arial"/>
                    <w:bCs/>
                    <w:lang w:val="en-GB"/>
                  </w:rPr>
                  <w:t>ceipt of the document from ENTSOG</w:t>
                </w:r>
                <w:r w:rsidRPr="00FF027F">
                  <w:rPr>
                    <w:rFonts w:cs="Arial"/>
                    <w:bCs/>
                    <w:lang w:val="en-GB"/>
                  </w:rPr>
                  <w:t>.</w:t>
                </w:r>
              </w:p>
              <w:p w14:paraId="7C20BE14" w14:textId="7B67D187" w:rsidR="008B7490" w:rsidRDefault="009304EA" w:rsidP="008B7490">
                <w:pPr>
                  <w:spacing w:before="120" w:after="120" w:line="240" w:lineRule="auto"/>
                  <w:ind w:left="202"/>
                  <w:rPr>
                    <w:rFonts w:cs="Arial"/>
                    <w:bCs/>
                    <w:lang w:val="en-GB"/>
                  </w:rPr>
                </w:pPr>
                <w:r>
                  <w:rPr>
                    <w:rFonts w:cs="Arial"/>
                    <w:bCs/>
                    <w:lang w:val="en-GB"/>
                  </w:rPr>
                  <w:t>Opinion on ENTSOG</w:t>
                </w:r>
                <w:r w:rsidRPr="00FF027F">
                  <w:rPr>
                    <w:rFonts w:cs="Arial"/>
                    <w:bCs/>
                    <w:lang w:val="en-GB"/>
                  </w:rPr>
                  <w:t>’s other documents: after re</w:t>
                </w:r>
                <w:r>
                  <w:rPr>
                    <w:rFonts w:cs="Arial"/>
                    <w:bCs/>
                    <w:lang w:val="en-GB"/>
                  </w:rPr>
                  <w:t>ceipt of the document from ENTSOG</w:t>
                </w:r>
                <w:r w:rsidRPr="00FF027F">
                  <w:rPr>
                    <w:rFonts w:cs="Arial"/>
                    <w:bCs/>
                    <w:lang w:val="en-GB"/>
                  </w:rPr>
                  <w:t>.</w:t>
                </w:r>
              </w:p>
              <w:p w14:paraId="484A4E87" w14:textId="3FDA2950" w:rsidR="00B937D0" w:rsidRPr="00FF027F" w:rsidRDefault="00B937D0">
                <w:pPr>
                  <w:spacing w:before="120" w:after="120" w:line="240" w:lineRule="auto"/>
                  <w:ind w:left="202"/>
                  <w:rPr>
                    <w:rFonts w:cs="Arial"/>
                    <w:bCs/>
                    <w:lang w:val="en-GB"/>
                  </w:rPr>
                </w:pPr>
                <w:r w:rsidRPr="00FF027F">
                  <w:rPr>
                    <w:rFonts w:cs="Arial"/>
                    <w:bCs/>
                    <w:lang w:val="en-GB"/>
                  </w:rPr>
                  <w:t xml:space="preserve">Opinion on the draft regional lists of proposed </w:t>
                </w:r>
                <w:r>
                  <w:rPr>
                    <w:rFonts w:cs="Arial"/>
                    <w:bCs/>
                    <w:lang w:val="en-GB"/>
                  </w:rPr>
                  <w:t xml:space="preserve">gas </w:t>
                </w:r>
                <w:r w:rsidRPr="00FF027F">
                  <w:rPr>
                    <w:rFonts w:cs="Arial"/>
                    <w:bCs/>
                    <w:lang w:val="en-GB"/>
                  </w:rPr>
                  <w:t>projects of common interest: within three months of the date of receipt.</w:t>
                </w:r>
              </w:p>
            </w:tc>
          </w:tr>
          <w:tr w:rsidR="008B7490" w:rsidRPr="00FF027F" w14:paraId="3120FA4F" w14:textId="77777777" w:rsidTr="00A626B4">
            <w:tc>
              <w:tcPr>
                <w:tcW w:w="2700" w:type="dxa"/>
                <w:shd w:val="clear" w:color="auto" w:fill="auto"/>
              </w:tcPr>
              <w:p w14:paraId="2EAAF6B0"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KPI</w:t>
                </w:r>
              </w:p>
            </w:tc>
            <w:tc>
              <w:tcPr>
                <w:tcW w:w="6372" w:type="dxa"/>
                <w:shd w:val="clear" w:color="auto" w:fill="auto"/>
              </w:tcPr>
              <w:p w14:paraId="6FC69A79" w14:textId="04AD7853" w:rsidR="008B7490" w:rsidRPr="00FF027F" w:rsidRDefault="008B7490" w:rsidP="007E6703">
                <w:pPr>
                  <w:autoSpaceDE w:val="0"/>
                  <w:autoSpaceDN w:val="0"/>
                  <w:adjustRightInd w:val="0"/>
                  <w:spacing w:before="120" w:after="120" w:line="240" w:lineRule="auto"/>
                  <w:ind w:left="202"/>
                  <w:rPr>
                    <w:rFonts w:cs="Arial"/>
                    <w:lang w:val="en-GB"/>
                  </w:rPr>
                </w:pPr>
                <w:r w:rsidRPr="00FF027F">
                  <w:rPr>
                    <w:rFonts w:cs="Arial"/>
                    <w:b/>
                    <w:lang w:val="en-GB"/>
                  </w:rPr>
                  <w:t>21.</w:t>
                </w:r>
                <w:r w:rsidRPr="00FF027F">
                  <w:rPr>
                    <w:rFonts w:cs="Arial"/>
                    <w:lang w:val="en-GB"/>
                  </w:rPr>
                  <w:t xml:space="preserve"> </w:t>
                </w:r>
                <w:r w:rsidR="00CA593B">
                  <w:rPr>
                    <w:rFonts w:cs="Arial"/>
                    <w:lang w:val="en-GB"/>
                  </w:rPr>
                  <w:t xml:space="preserve">90% the opinions, reviews, recommendations and </w:t>
                </w:r>
                <w:r w:rsidR="00CA593B" w:rsidRPr="00FF027F">
                  <w:rPr>
                    <w:rFonts w:cs="Arial"/>
                    <w:lang w:val="en-GB"/>
                  </w:rPr>
                  <w:t xml:space="preserve">reports </w:t>
                </w:r>
                <w:r w:rsidR="00CA593B">
                  <w:rPr>
                    <w:rFonts w:cs="Arial"/>
                    <w:lang w:val="en-GB"/>
                  </w:rPr>
                  <w:t>t</w:t>
                </w:r>
                <w:r w:rsidR="00CA593B" w:rsidRPr="00FF027F">
                  <w:rPr>
                    <w:rFonts w:cs="Arial"/>
                    <w:lang w:val="en-GB"/>
                  </w:rPr>
                  <w:t>imely delive</w:t>
                </w:r>
                <w:r w:rsidR="00CA593B">
                  <w:rPr>
                    <w:rFonts w:cs="Arial"/>
                    <w:lang w:val="en-GB"/>
                  </w:rPr>
                  <w:t>red</w:t>
                </w:r>
                <w:r w:rsidR="00CA593B" w:rsidRPr="00FF027F">
                  <w:rPr>
                    <w:rFonts w:cs="Arial"/>
                    <w:lang w:val="en-GB"/>
                  </w:rPr>
                  <w:t>.</w:t>
                </w:r>
              </w:p>
            </w:tc>
          </w:tr>
        </w:tbl>
        <w:p w14:paraId="592F8755" w14:textId="77777777" w:rsidR="008B7490" w:rsidRPr="00FF027F" w:rsidRDefault="008B7490" w:rsidP="008B7490">
          <w:pPr>
            <w:keepNext/>
            <w:spacing w:after="0" w:line="240" w:lineRule="auto"/>
            <w:outlineLvl w:val="1"/>
            <w:rPr>
              <w:rFonts w:ascii="Arial" w:hAnsi="Arial" w:cs="Arial"/>
              <w:lang w:val="en-GB"/>
            </w:rPr>
          </w:pPr>
        </w:p>
        <w:p w14:paraId="0F67B188" w14:textId="5C521746" w:rsidR="008B7490" w:rsidRPr="00FF027F" w:rsidRDefault="008B7490" w:rsidP="007C16CF">
          <w:pPr>
            <w:pStyle w:val="11ptVerdanaBold"/>
            <w:spacing w:before="240" w:after="240"/>
            <w:rPr>
              <w:rFonts w:ascii="Arial" w:hAnsi="Arial" w:cs="Arial"/>
              <w:szCs w:val="22"/>
              <w:u w:val="single"/>
            </w:rPr>
          </w:pPr>
          <w:bookmarkStart w:id="161" w:name="_Toc384206391"/>
          <w:r w:rsidRPr="00FF027F">
            <w:rPr>
              <w:rFonts w:ascii="Arial" w:hAnsi="Arial" w:cs="Arial"/>
              <w:szCs w:val="22"/>
              <w:u w:val="single"/>
            </w:rPr>
            <w:t>Wholesale Market Monitoring – REMIT</w:t>
          </w:r>
          <w:bookmarkEnd w:id="161"/>
        </w:p>
        <w:p w14:paraId="1812663B" w14:textId="77777777" w:rsidR="0059751D" w:rsidRPr="00196477" w:rsidRDefault="0059751D" w:rsidP="0059751D">
          <w:pPr>
            <w:pStyle w:val="11ptVerdanaBold"/>
            <w:rPr>
              <w:rFonts w:asciiTheme="minorHAnsi" w:hAnsiTheme="minorHAns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263"/>
          </w:tblGrid>
          <w:tr w:rsidR="008B7490" w:rsidRPr="00FF027F" w14:paraId="2F91E0C7" w14:textId="77777777" w:rsidTr="00A626B4">
            <w:tc>
              <w:tcPr>
                <w:tcW w:w="2700" w:type="dxa"/>
                <w:shd w:val="clear" w:color="auto" w:fill="002060"/>
              </w:tcPr>
              <w:p w14:paraId="14E8A547" w14:textId="77777777" w:rsidR="008B7490" w:rsidRPr="00FF027F" w:rsidRDefault="008B7490" w:rsidP="003503BE">
                <w:pPr>
                  <w:spacing w:before="120"/>
                  <w:rPr>
                    <w:rFonts w:cs="Arial"/>
                    <w:b/>
                    <w:lang w:val="en-GB"/>
                  </w:rPr>
                </w:pPr>
                <w:r w:rsidRPr="00FF027F">
                  <w:rPr>
                    <w:rFonts w:cs="Arial"/>
                    <w:b/>
                    <w:lang w:val="en-GB"/>
                  </w:rPr>
                  <w:t>Activity</w:t>
                </w:r>
              </w:p>
            </w:tc>
            <w:tc>
              <w:tcPr>
                <w:tcW w:w="6435" w:type="dxa"/>
                <w:shd w:val="clear" w:color="auto" w:fill="002060"/>
              </w:tcPr>
              <w:p w14:paraId="3C193EFA" w14:textId="77777777" w:rsidR="008B7490" w:rsidRPr="00FF027F" w:rsidRDefault="008B7490" w:rsidP="008B7490">
                <w:pPr>
                  <w:spacing w:before="120" w:after="120"/>
                  <w:rPr>
                    <w:rFonts w:cs="Arial"/>
                    <w:b/>
                    <w:lang w:val="en-GB"/>
                  </w:rPr>
                </w:pPr>
                <w:r w:rsidRPr="00FF027F">
                  <w:rPr>
                    <w:rFonts w:cs="Arial"/>
                    <w:b/>
                    <w:lang w:val="en-GB"/>
                  </w:rPr>
                  <w:t>Establishment, further development and operation of a Centralised European Registry for Energy Market Participants (CEREMP) and of the Agency’s REMIT information system (ARIS) for collection of trade, fundamental and other data and for the data sharing with NRAs, in connection with the REMIT implementing acts</w:t>
                </w:r>
              </w:p>
            </w:tc>
          </w:tr>
          <w:tr w:rsidR="008B7490" w:rsidRPr="00FF027F" w14:paraId="24342090" w14:textId="77777777" w:rsidTr="00A626B4">
            <w:trPr>
              <w:trHeight w:val="575"/>
            </w:trPr>
            <w:tc>
              <w:tcPr>
                <w:tcW w:w="2700" w:type="dxa"/>
                <w:shd w:val="clear" w:color="auto" w:fill="auto"/>
              </w:tcPr>
              <w:p w14:paraId="0A68F19C" w14:textId="77777777" w:rsidR="008B7490" w:rsidRPr="00FF027F" w:rsidRDefault="008B7490" w:rsidP="008B7490">
                <w:pPr>
                  <w:spacing w:before="120"/>
                  <w:rPr>
                    <w:rFonts w:cs="Arial"/>
                    <w:lang w:val="en-GB"/>
                  </w:rPr>
                </w:pPr>
                <w:r w:rsidRPr="00FF027F">
                  <w:rPr>
                    <w:rFonts w:cs="Arial"/>
                    <w:lang w:val="en-GB"/>
                  </w:rPr>
                  <w:t>Objectives and deadlines (indicative)</w:t>
                </w:r>
              </w:p>
            </w:tc>
            <w:tc>
              <w:tcPr>
                <w:tcW w:w="6435" w:type="dxa"/>
                <w:shd w:val="clear" w:color="auto" w:fill="auto"/>
              </w:tcPr>
              <w:p w14:paraId="102403A1" w14:textId="69058386" w:rsidR="00CA593B" w:rsidRDefault="00CA593B" w:rsidP="008B7490">
                <w:pPr>
                  <w:spacing w:before="120" w:after="120"/>
                  <w:ind w:left="202"/>
                  <w:rPr>
                    <w:rFonts w:cs="Arial"/>
                    <w:lang w:val="en-GB"/>
                  </w:rPr>
                </w:pPr>
                <w:r>
                  <w:rPr>
                    <w:rFonts w:cs="Arial"/>
                    <w:lang w:val="en-GB"/>
                  </w:rPr>
                  <w:t>To operate CEREMP and its interfaces with the registration system of NRAs</w:t>
                </w:r>
                <w:r w:rsidR="00016A74">
                  <w:rPr>
                    <w:rFonts w:cs="Arial"/>
                    <w:lang w:val="en-GB"/>
                  </w:rPr>
                  <w:t>.</w:t>
                </w:r>
              </w:p>
              <w:p w14:paraId="7709B3CD" w14:textId="77777777" w:rsidR="008B7490" w:rsidRPr="00FF027F" w:rsidRDefault="008B7490" w:rsidP="008B7490">
                <w:pPr>
                  <w:spacing w:before="120" w:after="120"/>
                  <w:ind w:left="202"/>
                  <w:rPr>
                    <w:rFonts w:cs="Arial"/>
                    <w:lang w:val="en-GB"/>
                  </w:rPr>
                </w:pPr>
                <w:r w:rsidRPr="00FF027F">
                  <w:rPr>
                    <w:rFonts w:cs="Arial"/>
                    <w:lang w:val="en-GB"/>
                  </w:rPr>
                  <w:t>To collect and make data available for internal assessment and for sharing with NRAs for REMIT purposes.</w:t>
                </w:r>
              </w:p>
              <w:p w14:paraId="4A43C046" w14:textId="77777777" w:rsidR="008B7490" w:rsidRPr="00FF027F" w:rsidRDefault="008B7490" w:rsidP="008B7490">
                <w:pPr>
                  <w:spacing w:after="120"/>
                  <w:ind w:left="202"/>
                  <w:rPr>
                    <w:rFonts w:cs="Arial"/>
                    <w:b/>
                    <w:iCs/>
                    <w:lang w:val="en-GB"/>
                  </w:rPr>
                </w:pPr>
                <w:r w:rsidRPr="00FF027F">
                  <w:rPr>
                    <w:rFonts w:cs="Arial"/>
                    <w:lang w:val="en-GB"/>
                  </w:rPr>
                  <w:t xml:space="preserve">Data collection and sharing shall start 6 months after the implementing acts are adopted. </w:t>
                </w:r>
              </w:p>
            </w:tc>
          </w:tr>
          <w:tr w:rsidR="008B7490" w:rsidRPr="00FF027F" w14:paraId="5D4342A8" w14:textId="77777777" w:rsidTr="00A626B4">
            <w:trPr>
              <w:trHeight w:val="908"/>
            </w:trPr>
            <w:tc>
              <w:tcPr>
                <w:tcW w:w="2700" w:type="dxa"/>
                <w:shd w:val="clear" w:color="auto" w:fill="auto"/>
              </w:tcPr>
              <w:p w14:paraId="7ED1F3B3" w14:textId="77777777" w:rsidR="008B7490" w:rsidRPr="00FF027F" w:rsidRDefault="008B7490" w:rsidP="008B7490">
                <w:pPr>
                  <w:rPr>
                    <w:rFonts w:cs="Arial"/>
                    <w:lang w:val="en-GB"/>
                  </w:rPr>
                </w:pPr>
                <w:r w:rsidRPr="00FF027F">
                  <w:rPr>
                    <w:rFonts w:cs="Arial"/>
                    <w:lang w:val="en-GB"/>
                  </w:rPr>
                  <w:t>KPI</w:t>
                </w:r>
              </w:p>
            </w:tc>
            <w:tc>
              <w:tcPr>
                <w:tcW w:w="6435" w:type="dxa"/>
                <w:shd w:val="clear" w:color="auto" w:fill="auto"/>
              </w:tcPr>
              <w:p w14:paraId="577F0D7E" w14:textId="4F841B95" w:rsidR="008B7490" w:rsidRPr="00FF027F" w:rsidRDefault="008B7490" w:rsidP="008B7490">
                <w:pPr>
                  <w:spacing w:before="120" w:after="0"/>
                  <w:ind w:left="202"/>
                  <w:rPr>
                    <w:rFonts w:cs="Arial"/>
                    <w:lang w:val="en-GB"/>
                  </w:rPr>
                </w:pPr>
                <w:r w:rsidRPr="00FF027F">
                  <w:rPr>
                    <w:rFonts w:cs="Arial"/>
                    <w:b/>
                    <w:lang w:val="en-GB"/>
                  </w:rPr>
                  <w:t xml:space="preserve">22. </w:t>
                </w:r>
                <w:r w:rsidR="00FE4B50" w:rsidRPr="00FF027F">
                  <w:rPr>
                    <w:rFonts w:cs="Arial"/>
                    <w:lang w:val="en-GB"/>
                  </w:rPr>
                  <w:t>99</w:t>
                </w:r>
                <w:r w:rsidRPr="00FF027F">
                  <w:rPr>
                    <w:rFonts w:cs="Arial"/>
                    <w:lang w:val="en-GB"/>
                  </w:rPr>
                  <w:t xml:space="preserve">% system availability. </w:t>
                </w:r>
              </w:p>
              <w:p w14:paraId="4035712B" w14:textId="22895689" w:rsidR="008B7490" w:rsidRPr="00FF027F" w:rsidRDefault="00B937D0" w:rsidP="00FE4B50">
                <w:pPr>
                  <w:spacing w:before="120" w:after="0"/>
                  <w:ind w:left="202"/>
                  <w:rPr>
                    <w:rFonts w:cs="Arial"/>
                    <w:lang w:val="en-GB"/>
                  </w:rPr>
                </w:pPr>
                <w:r w:rsidRPr="00016A74">
                  <w:rPr>
                    <w:rFonts w:cs="Arial"/>
                    <w:b/>
                    <w:lang w:val="en-GB"/>
                  </w:rPr>
                  <w:t>23.</w:t>
                </w:r>
                <w:r>
                  <w:rPr>
                    <w:rFonts w:cs="Arial"/>
                    <w:lang w:val="en-GB"/>
                  </w:rPr>
                  <w:t xml:space="preserve"> </w:t>
                </w:r>
                <w:r w:rsidR="00FE4B50" w:rsidRPr="00FF027F">
                  <w:rPr>
                    <w:rFonts w:cs="Arial"/>
                    <w:lang w:val="en-GB"/>
                  </w:rPr>
                  <w:t xml:space="preserve">0 </w:t>
                </w:r>
                <w:r w:rsidR="008B7490" w:rsidRPr="00FF027F">
                  <w:rPr>
                    <w:rFonts w:cs="Arial"/>
                    <w:lang w:val="en-GB"/>
                  </w:rPr>
                  <w:t>breaches of the security system with a data leakage involved.</w:t>
                </w:r>
              </w:p>
            </w:tc>
          </w:tr>
        </w:tbl>
        <w:p w14:paraId="7860FE2B" w14:textId="77777777" w:rsidR="008B7490" w:rsidRPr="00FF027F" w:rsidRDefault="008B7490" w:rsidP="008B7490">
          <w:pPr>
            <w:rPr>
              <w:rFonts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264"/>
          </w:tblGrid>
          <w:tr w:rsidR="008B7490" w:rsidRPr="00FF027F" w14:paraId="2DD7F066" w14:textId="77777777" w:rsidTr="00A626B4">
            <w:tc>
              <w:tcPr>
                <w:tcW w:w="2700" w:type="dxa"/>
                <w:shd w:val="clear" w:color="auto" w:fill="002060"/>
              </w:tcPr>
              <w:p w14:paraId="3C03C157" w14:textId="77777777" w:rsidR="008B7490" w:rsidRPr="00FF027F" w:rsidRDefault="008B7490" w:rsidP="008B7490">
                <w:pPr>
                  <w:spacing w:before="120" w:after="120" w:line="240" w:lineRule="auto"/>
                  <w:rPr>
                    <w:rFonts w:cs="Arial"/>
                    <w:b/>
                    <w:lang w:val="en-GB"/>
                  </w:rPr>
                </w:pPr>
                <w:bookmarkStart w:id="162" w:name="_Toc294003726"/>
                <w:bookmarkStart w:id="163" w:name="_Toc294003550"/>
                <w:bookmarkStart w:id="164" w:name="_Toc294003463"/>
                <w:bookmarkStart w:id="165" w:name="_Toc294002609"/>
                <w:bookmarkStart w:id="166" w:name="_Toc264468698"/>
                <w:r w:rsidRPr="00FF027F">
                  <w:rPr>
                    <w:rFonts w:cs="Arial"/>
                    <w:b/>
                    <w:lang w:val="en-GB"/>
                  </w:rPr>
                  <w:t>Activity</w:t>
                </w:r>
              </w:p>
            </w:tc>
            <w:tc>
              <w:tcPr>
                <w:tcW w:w="6435" w:type="dxa"/>
                <w:shd w:val="clear" w:color="auto" w:fill="002060"/>
              </w:tcPr>
              <w:p w14:paraId="771CFB0C" w14:textId="4A873135" w:rsidR="008B7490" w:rsidRPr="00FF027F" w:rsidRDefault="00FE4B50" w:rsidP="008B7490">
                <w:pPr>
                  <w:autoSpaceDE w:val="0"/>
                  <w:autoSpaceDN w:val="0"/>
                  <w:adjustRightInd w:val="0"/>
                  <w:spacing w:before="120" w:after="120" w:line="240" w:lineRule="auto"/>
                  <w:ind w:left="202"/>
                  <w:rPr>
                    <w:rFonts w:cs="Arial"/>
                    <w:b/>
                    <w:lang w:val="en-GB"/>
                  </w:rPr>
                </w:pPr>
                <w:r w:rsidRPr="00FF027F">
                  <w:rPr>
                    <w:rFonts w:cs="Arial"/>
                    <w:b/>
                    <w:lang w:val="en-GB"/>
                  </w:rPr>
                  <w:t>Market monitoring of trading activity in wholesale energy markets to detect and prevent trading based on inside information and market manipulation, in cooperation with NRAs, on the basis of data collected in connection with the REMIT implementing acts, and establishment, further development and operation of the Agency’s market surveillance solution to perform its market monitoring activity</w:t>
                </w:r>
              </w:p>
            </w:tc>
          </w:tr>
          <w:tr w:rsidR="008B7490" w:rsidRPr="00FF027F" w14:paraId="00BFCAFC" w14:textId="77777777" w:rsidTr="00A626B4">
            <w:trPr>
              <w:trHeight w:val="998"/>
            </w:trPr>
            <w:tc>
              <w:tcPr>
                <w:tcW w:w="2700" w:type="dxa"/>
                <w:shd w:val="clear" w:color="auto" w:fill="auto"/>
              </w:tcPr>
              <w:p w14:paraId="502E4867"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435" w:type="dxa"/>
                <w:shd w:val="clear" w:color="auto" w:fill="auto"/>
              </w:tcPr>
              <w:p w14:paraId="1A9C7EF9" w14:textId="09C989E2" w:rsidR="008B7490" w:rsidRPr="00FF027F" w:rsidRDefault="008B7490" w:rsidP="008B7490">
                <w:pPr>
                  <w:autoSpaceDE w:val="0"/>
                  <w:autoSpaceDN w:val="0"/>
                  <w:adjustRightInd w:val="0"/>
                  <w:spacing w:before="120" w:after="120" w:line="240" w:lineRule="auto"/>
                  <w:ind w:left="202"/>
                  <w:rPr>
                    <w:rFonts w:cs="Arial"/>
                    <w:lang w:val="en-GB"/>
                  </w:rPr>
                </w:pPr>
                <w:r w:rsidRPr="00FF027F">
                  <w:rPr>
                    <w:rFonts w:cs="Arial"/>
                    <w:lang w:val="en-GB"/>
                  </w:rPr>
                  <w:t>Market Monitoring of the data collected according to Article 8 of R</w:t>
                </w:r>
                <w:r w:rsidR="00CA593B">
                  <w:rPr>
                    <w:rFonts w:cs="Arial"/>
                    <w:lang w:val="en-GB"/>
                  </w:rPr>
                  <w:t>EMIT</w:t>
                </w:r>
                <w:r w:rsidRPr="00FF027F">
                  <w:rPr>
                    <w:rFonts w:cs="Arial"/>
                    <w:lang w:val="en-GB"/>
                  </w:rPr>
                  <w:t>. Increased integrity and transparency of wholesale energy markets. Detection of abusive practices.</w:t>
                </w:r>
              </w:p>
            </w:tc>
          </w:tr>
          <w:tr w:rsidR="008B7490" w:rsidRPr="00FF027F" w14:paraId="01D85393" w14:textId="77777777" w:rsidTr="00A626B4">
            <w:trPr>
              <w:trHeight w:val="728"/>
            </w:trPr>
            <w:tc>
              <w:tcPr>
                <w:tcW w:w="2700" w:type="dxa"/>
                <w:shd w:val="clear" w:color="auto" w:fill="auto"/>
              </w:tcPr>
              <w:p w14:paraId="58DAE5AF"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KPI</w:t>
                </w:r>
              </w:p>
            </w:tc>
            <w:tc>
              <w:tcPr>
                <w:tcW w:w="6435" w:type="dxa"/>
                <w:shd w:val="clear" w:color="auto" w:fill="auto"/>
              </w:tcPr>
              <w:p w14:paraId="60AA56FF" w14:textId="3378EEAC" w:rsidR="008B7490" w:rsidRPr="00FF027F" w:rsidRDefault="008B7490" w:rsidP="00FE4B50">
                <w:pPr>
                  <w:autoSpaceDE w:val="0"/>
                  <w:autoSpaceDN w:val="0"/>
                  <w:adjustRightInd w:val="0"/>
                  <w:spacing w:before="120" w:after="120" w:line="240" w:lineRule="auto"/>
                  <w:ind w:left="202"/>
                  <w:rPr>
                    <w:rFonts w:cs="Arial"/>
                    <w:lang w:val="en-GB"/>
                  </w:rPr>
                </w:pPr>
                <w:r w:rsidRPr="00FF027F">
                  <w:rPr>
                    <w:rFonts w:cs="Arial"/>
                    <w:b/>
                    <w:lang w:val="en-GB"/>
                  </w:rPr>
                  <w:t>2</w:t>
                </w:r>
                <w:r w:rsidR="00FE4B50" w:rsidRPr="00FF027F">
                  <w:rPr>
                    <w:rFonts w:cs="Arial"/>
                    <w:b/>
                    <w:lang w:val="en-GB"/>
                  </w:rPr>
                  <w:t>3</w:t>
                </w:r>
                <w:r w:rsidRPr="00FF027F">
                  <w:rPr>
                    <w:rFonts w:cs="Arial"/>
                    <w:b/>
                    <w:lang w:val="en-GB"/>
                  </w:rPr>
                  <w:t xml:space="preserve">. </w:t>
                </w:r>
                <w:r w:rsidR="00FE4B50" w:rsidRPr="00FF027F">
                  <w:rPr>
                    <w:rFonts w:cs="Arial"/>
                    <w:lang w:val="en-GB"/>
                  </w:rPr>
                  <w:t>75</w:t>
                </w:r>
                <w:r w:rsidRPr="00FF027F">
                  <w:rPr>
                    <w:rFonts w:cs="Arial"/>
                    <w:lang w:val="en-GB"/>
                  </w:rPr>
                  <w:t>% of alerts assessed in a preliminar</w:t>
                </w:r>
                <w:r w:rsidR="00FE4B50" w:rsidRPr="00FF027F">
                  <w:rPr>
                    <w:rFonts w:cs="Arial"/>
                    <w:lang w:val="en-GB"/>
                  </w:rPr>
                  <w:t>y initial assessment (PIA) and 75</w:t>
                </w:r>
                <w:r w:rsidRPr="00FF027F">
                  <w:rPr>
                    <w:rFonts w:cs="Arial"/>
                    <w:lang w:val="en-GB"/>
                  </w:rPr>
                  <w:t>% of PIAs reviewed.</w:t>
                </w:r>
                <w:r w:rsidR="00CA593B">
                  <w:rPr>
                    <w:rFonts w:cs="Arial"/>
                    <w:lang w:val="en-GB"/>
                  </w:rPr>
                  <w:t xml:space="preserve"> The actual approach to market monitoring will depend on the level of resources available to the Agency.</w:t>
                </w:r>
              </w:p>
            </w:tc>
          </w:tr>
        </w:tbl>
        <w:p w14:paraId="630AE732" w14:textId="77777777" w:rsidR="008B7490" w:rsidRPr="00016A74" w:rsidRDefault="008B7490" w:rsidP="008B7490">
          <w:pPr>
            <w:spacing w:before="120" w:after="120" w:line="360" w:lineRule="auto"/>
            <w:rPr>
              <w:rFonts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264"/>
          </w:tblGrid>
          <w:tr w:rsidR="008B7490" w:rsidRPr="00FF027F" w14:paraId="6BEB23B0" w14:textId="77777777" w:rsidTr="00E932AB">
            <w:tc>
              <w:tcPr>
                <w:tcW w:w="2645" w:type="dxa"/>
                <w:shd w:val="clear" w:color="auto" w:fill="002060"/>
              </w:tcPr>
              <w:p w14:paraId="34545D3B" w14:textId="2B18A529" w:rsidR="008B7490" w:rsidRPr="00FF027F" w:rsidRDefault="008B7490" w:rsidP="008B7490">
                <w:pPr>
                  <w:spacing w:before="120" w:after="120" w:line="240" w:lineRule="auto"/>
                  <w:rPr>
                    <w:rFonts w:cs="Arial"/>
                    <w:b/>
                    <w:lang w:val="en-GB"/>
                  </w:rPr>
                </w:pPr>
                <w:r w:rsidRPr="00FF027F">
                  <w:rPr>
                    <w:rFonts w:cs="Arial"/>
                    <w:b/>
                    <w:lang w:val="en-GB"/>
                  </w:rPr>
                  <w:t>Activity</w:t>
                </w:r>
              </w:p>
            </w:tc>
            <w:tc>
              <w:tcPr>
                <w:tcW w:w="6264" w:type="dxa"/>
                <w:shd w:val="clear" w:color="auto" w:fill="002060"/>
              </w:tcPr>
              <w:p w14:paraId="238978C7" w14:textId="77777777" w:rsidR="008B7490" w:rsidRPr="00FF027F" w:rsidRDefault="008B7490" w:rsidP="008B7490">
                <w:pPr>
                  <w:autoSpaceDE w:val="0"/>
                  <w:autoSpaceDN w:val="0"/>
                  <w:adjustRightInd w:val="0"/>
                  <w:spacing w:before="120" w:after="120" w:line="240" w:lineRule="auto"/>
                  <w:ind w:left="202"/>
                  <w:rPr>
                    <w:rFonts w:cs="Arial"/>
                    <w:b/>
                    <w:lang w:val="en-GB"/>
                  </w:rPr>
                </w:pPr>
                <w:r w:rsidRPr="00FF027F">
                  <w:rPr>
                    <w:rFonts w:cs="Arial"/>
                    <w:b/>
                    <w:lang w:val="en-GB"/>
                  </w:rPr>
                  <w:t>Coordination of NRAs and other relevant authorities, including at the regional level, without prejudice to their responsibilities</w:t>
                </w:r>
              </w:p>
            </w:tc>
          </w:tr>
          <w:tr w:rsidR="008B7490" w:rsidRPr="00FF027F" w14:paraId="0BA42646" w14:textId="77777777" w:rsidTr="00E932AB">
            <w:trPr>
              <w:trHeight w:val="998"/>
            </w:trPr>
            <w:tc>
              <w:tcPr>
                <w:tcW w:w="2645" w:type="dxa"/>
                <w:shd w:val="clear" w:color="auto" w:fill="auto"/>
              </w:tcPr>
              <w:p w14:paraId="36C4F606"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264" w:type="dxa"/>
                <w:shd w:val="clear" w:color="auto" w:fill="auto"/>
              </w:tcPr>
              <w:p w14:paraId="3D1F0AFD" w14:textId="2CF05ED9" w:rsidR="008B7490" w:rsidRPr="00FF027F" w:rsidRDefault="008B7490" w:rsidP="008B7490">
                <w:pPr>
                  <w:autoSpaceDE w:val="0"/>
                  <w:autoSpaceDN w:val="0"/>
                  <w:adjustRightInd w:val="0"/>
                  <w:spacing w:before="120" w:after="120" w:line="240" w:lineRule="auto"/>
                  <w:ind w:left="202"/>
                  <w:rPr>
                    <w:rFonts w:cs="Arial"/>
                    <w:lang w:val="en-GB"/>
                  </w:rPr>
                </w:pPr>
                <w:r w:rsidRPr="00FF027F">
                  <w:rPr>
                    <w:rFonts w:cs="Arial"/>
                    <w:lang w:val="en-GB"/>
                  </w:rPr>
                  <w:t>To ensur</w:t>
                </w:r>
                <w:r w:rsidR="00CA593B">
                  <w:rPr>
                    <w:rFonts w:cs="Arial"/>
                    <w:lang w:val="en-GB"/>
                  </w:rPr>
                  <w:t>e</w:t>
                </w:r>
                <w:r w:rsidRPr="00FF027F">
                  <w:rPr>
                    <w:rFonts w:cs="Arial"/>
                    <w:lang w:val="en-GB"/>
                  </w:rPr>
                  <w:t xml:space="preserve"> that NRAs and other relevant authorities carry out their tasks under REMIT in a coordinated and consistent way, including the update of the Agency’s </w:t>
                </w:r>
                <w:r w:rsidR="00CA593B">
                  <w:rPr>
                    <w:rFonts w:cs="Arial"/>
                    <w:lang w:val="en-GB"/>
                  </w:rPr>
                  <w:t>G</w:t>
                </w:r>
                <w:r w:rsidRPr="00FF027F">
                  <w:rPr>
                    <w:rFonts w:cs="Arial"/>
                    <w:lang w:val="en-GB"/>
                  </w:rPr>
                  <w:t>uidance on the application of REMIT definitions and coordination of NRAs’ investigation activities on cross-border market abuse instances.</w:t>
                </w:r>
              </w:p>
              <w:p w14:paraId="614ABF92" w14:textId="77777777" w:rsidR="008B7490" w:rsidRPr="00FF027F" w:rsidRDefault="008B7490" w:rsidP="008B7490">
                <w:pPr>
                  <w:autoSpaceDE w:val="0"/>
                  <w:autoSpaceDN w:val="0"/>
                  <w:adjustRightInd w:val="0"/>
                  <w:spacing w:before="120" w:after="120" w:line="240" w:lineRule="auto"/>
                  <w:ind w:left="202"/>
                  <w:rPr>
                    <w:rFonts w:eastAsia="Times New Roman" w:cs="Arial"/>
                    <w:b/>
                    <w:iCs/>
                    <w:lang w:val="en-GB"/>
                  </w:rPr>
                </w:pPr>
                <w:r w:rsidRPr="00FF027F">
                  <w:rPr>
                    <w:rFonts w:cs="Arial"/>
                    <w:lang w:val="en-GB"/>
                  </w:rPr>
                  <w:t>Coordination of investigation of alleged cross-border market abuse instances as required.</w:t>
                </w:r>
              </w:p>
            </w:tc>
          </w:tr>
          <w:tr w:rsidR="008B7490" w:rsidRPr="00FF027F" w14:paraId="658FAFB4" w14:textId="77777777" w:rsidTr="00E932AB">
            <w:trPr>
              <w:trHeight w:val="998"/>
            </w:trPr>
            <w:tc>
              <w:tcPr>
                <w:tcW w:w="2645" w:type="dxa"/>
                <w:shd w:val="clear" w:color="auto" w:fill="auto"/>
              </w:tcPr>
              <w:p w14:paraId="335D03ED"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KPIs</w:t>
                </w:r>
              </w:p>
            </w:tc>
            <w:tc>
              <w:tcPr>
                <w:tcW w:w="6264" w:type="dxa"/>
                <w:shd w:val="clear" w:color="auto" w:fill="auto"/>
              </w:tcPr>
              <w:p w14:paraId="126C734B" w14:textId="376186B0" w:rsidR="008B7490" w:rsidRPr="00FF027F" w:rsidRDefault="00FE4B50" w:rsidP="008B7490">
                <w:pPr>
                  <w:autoSpaceDE w:val="0"/>
                  <w:autoSpaceDN w:val="0"/>
                  <w:adjustRightInd w:val="0"/>
                  <w:spacing w:before="120" w:after="120" w:line="240" w:lineRule="auto"/>
                  <w:ind w:left="202"/>
                  <w:rPr>
                    <w:lang w:val="en-GB"/>
                  </w:rPr>
                </w:pPr>
                <w:r w:rsidRPr="00FF027F">
                  <w:rPr>
                    <w:rFonts w:cs="Arial"/>
                    <w:b/>
                    <w:lang w:val="en-GB"/>
                  </w:rPr>
                  <w:t>24</w:t>
                </w:r>
                <w:r w:rsidR="008B7490" w:rsidRPr="00FF027F">
                  <w:rPr>
                    <w:rFonts w:cs="Arial"/>
                    <w:b/>
                    <w:lang w:val="en-GB"/>
                  </w:rPr>
                  <w:t xml:space="preserve">. </w:t>
                </w:r>
                <w:r w:rsidRPr="00FF027F">
                  <w:rPr>
                    <w:rFonts w:cs="Arial"/>
                    <w:lang w:val="en-GB"/>
                  </w:rPr>
                  <w:t>80</w:t>
                </w:r>
                <w:r w:rsidR="008B7490" w:rsidRPr="00FF027F">
                  <w:rPr>
                    <w:rFonts w:cs="Arial"/>
                    <w:lang w:val="en-GB"/>
                  </w:rPr>
                  <w:t>% of cross-border investigatory groups established within 30 working days of the reviewed initial assessment referrals to relevant NRAs and other relevant authorities.</w:t>
                </w:r>
                <w:r w:rsidR="00CA593B">
                  <w:rPr>
                    <w:rFonts w:cs="Arial"/>
                    <w:lang w:val="en-GB"/>
                  </w:rPr>
                  <w:t xml:space="preserve"> The actual approach to market monitoring will depend on the level of resources available to the Agency.</w:t>
                </w:r>
              </w:p>
            </w:tc>
          </w:tr>
        </w:tbl>
        <w:p w14:paraId="545473B7" w14:textId="77777777" w:rsidR="008B7490" w:rsidRPr="00FF027F" w:rsidRDefault="008B7490" w:rsidP="008B7490">
          <w:pPr>
            <w:spacing w:before="120" w:after="120" w:line="360" w:lineRule="auto"/>
            <w:rPr>
              <w:rFonts w:cs="Arial"/>
              <w:bCs/>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264"/>
          </w:tblGrid>
          <w:tr w:rsidR="000C3385" w:rsidRPr="00FF027F" w14:paraId="317CEE62" w14:textId="77777777" w:rsidTr="00C1130D">
            <w:tc>
              <w:tcPr>
                <w:tcW w:w="2700" w:type="dxa"/>
                <w:shd w:val="clear" w:color="auto" w:fill="002060"/>
              </w:tcPr>
              <w:p w14:paraId="25D8BFE4" w14:textId="77777777" w:rsidR="000C3385" w:rsidRPr="00FF027F" w:rsidRDefault="000C3385" w:rsidP="000C3385">
                <w:pPr>
                  <w:spacing w:before="120" w:after="120" w:line="240" w:lineRule="auto"/>
                  <w:rPr>
                    <w:rFonts w:cs="Arial"/>
                    <w:b/>
                    <w:lang w:val="en-GB"/>
                  </w:rPr>
                </w:pPr>
                <w:r w:rsidRPr="00FF027F">
                  <w:rPr>
                    <w:rFonts w:cs="Arial"/>
                    <w:b/>
                    <w:lang w:val="en-GB"/>
                  </w:rPr>
                  <w:t>Activity</w:t>
                </w:r>
              </w:p>
            </w:tc>
            <w:tc>
              <w:tcPr>
                <w:tcW w:w="6434" w:type="dxa"/>
                <w:shd w:val="clear" w:color="auto" w:fill="002060"/>
              </w:tcPr>
              <w:p w14:paraId="07465D7B" w14:textId="126B7D90" w:rsidR="000C3385" w:rsidRPr="00FF027F" w:rsidRDefault="000C3385" w:rsidP="00016A74">
                <w:pPr>
                  <w:autoSpaceDE w:val="0"/>
                  <w:autoSpaceDN w:val="0"/>
                  <w:adjustRightInd w:val="0"/>
                  <w:spacing w:before="120" w:after="120" w:line="240" w:lineRule="auto"/>
                  <w:ind w:left="202"/>
                  <w:rPr>
                    <w:rFonts w:cs="Arial"/>
                    <w:b/>
                    <w:lang w:val="en-GB"/>
                  </w:rPr>
                </w:pPr>
                <w:r w:rsidRPr="00FF027F">
                  <w:rPr>
                    <w:rFonts w:cs="Arial"/>
                    <w:b/>
                    <w:lang w:val="en-GB"/>
                  </w:rPr>
                  <w:t xml:space="preserve">Cooperation with ESMA, competent national financial market authorities and other authorities and with supervisory authorities, international organisations and the administrations of third countries to </w:t>
                </w:r>
                <w:r w:rsidR="00CA593B">
                  <w:rPr>
                    <w:rFonts w:cs="Arial"/>
                    <w:b/>
                    <w:lang w:val="en-GB"/>
                  </w:rPr>
                  <w:t>promote</w:t>
                </w:r>
                <w:r w:rsidRPr="00FF027F">
                  <w:rPr>
                    <w:rFonts w:cs="Arial"/>
                    <w:b/>
                    <w:lang w:val="en-GB"/>
                  </w:rPr>
                  <w:t xml:space="preserve"> a coordinated approach is taken to the enforcement of market abuse rules where actions relate to one or more wholesale energy products which are financial instruments to which Article 9 of Directive 2003/6/EC applies and also to one or more wholesale energy products to which Articles 3, 4 and 5 of REMIT applies</w:t>
                </w:r>
              </w:p>
            </w:tc>
          </w:tr>
          <w:tr w:rsidR="000C3385" w:rsidRPr="00FF027F" w14:paraId="3891F70A" w14:textId="77777777" w:rsidTr="00C1130D">
            <w:trPr>
              <w:trHeight w:val="998"/>
            </w:trPr>
            <w:tc>
              <w:tcPr>
                <w:tcW w:w="2700" w:type="dxa"/>
                <w:shd w:val="clear" w:color="auto" w:fill="auto"/>
              </w:tcPr>
              <w:p w14:paraId="20D1F002" w14:textId="77777777" w:rsidR="000C3385" w:rsidRPr="00FF027F" w:rsidRDefault="000C3385" w:rsidP="000C3385">
                <w:pPr>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434" w:type="dxa"/>
                <w:shd w:val="clear" w:color="auto" w:fill="auto"/>
              </w:tcPr>
              <w:p w14:paraId="30F13E5D" w14:textId="77777777" w:rsidR="000C3385" w:rsidRPr="00FF027F" w:rsidRDefault="000C3385" w:rsidP="000C3385">
                <w:pPr>
                  <w:autoSpaceDE w:val="0"/>
                  <w:autoSpaceDN w:val="0"/>
                  <w:adjustRightInd w:val="0"/>
                  <w:spacing w:before="120" w:after="120" w:line="240" w:lineRule="auto"/>
                  <w:ind w:left="202"/>
                  <w:rPr>
                    <w:rFonts w:cs="Arial"/>
                    <w:lang w:val="en-GB"/>
                  </w:rPr>
                </w:pPr>
                <w:r w:rsidRPr="00FF027F">
                  <w:rPr>
                    <w:rFonts w:cs="Arial"/>
                    <w:lang w:val="en-GB"/>
                  </w:rPr>
                  <w:t>Cooperation on the basis of Memoranda of Understanding (MoUs);</w:t>
                </w:r>
              </w:p>
              <w:p w14:paraId="31F2541F" w14:textId="77777777" w:rsidR="000C3385" w:rsidRPr="00FF027F" w:rsidRDefault="000C3385" w:rsidP="000C3385">
                <w:pPr>
                  <w:autoSpaceDE w:val="0"/>
                  <w:autoSpaceDN w:val="0"/>
                  <w:adjustRightInd w:val="0"/>
                  <w:spacing w:before="120" w:after="120" w:line="240" w:lineRule="auto"/>
                  <w:ind w:left="202"/>
                  <w:rPr>
                    <w:rFonts w:eastAsia="Times New Roman" w:cs="Arial"/>
                    <w:b/>
                    <w:iCs/>
                    <w:lang w:val="en-GB"/>
                  </w:rPr>
                </w:pPr>
                <w:r w:rsidRPr="00FF027F">
                  <w:rPr>
                    <w:rFonts w:cs="Arial"/>
                    <w:lang w:val="en-GB"/>
                  </w:rPr>
                  <w:t>Coordination of investigation of alleged cross-border market abuse instances as required.</w:t>
                </w:r>
              </w:p>
            </w:tc>
          </w:tr>
          <w:tr w:rsidR="000C3385" w:rsidRPr="00FF027F" w14:paraId="36E32A77" w14:textId="77777777" w:rsidTr="00C1130D">
            <w:trPr>
              <w:trHeight w:val="998"/>
            </w:trPr>
            <w:tc>
              <w:tcPr>
                <w:tcW w:w="2700" w:type="dxa"/>
                <w:shd w:val="clear" w:color="auto" w:fill="auto"/>
              </w:tcPr>
              <w:p w14:paraId="52BF02F0" w14:textId="77777777" w:rsidR="000C3385" w:rsidRPr="00FF027F" w:rsidRDefault="000C3385" w:rsidP="000C3385">
                <w:pPr>
                  <w:autoSpaceDE w:val="0"/>
                  <w:autoSpaceDN w:val="0"/>
                  <w:adjustRightInd w:val="0"/>
                  <w:spacing w:before="120" w:after="120" w:line="240" w:lineRule="auto"/>
                  <w:rPr>
                    <w:rFonts w:cs="Arial"/>
                    <w:lang w:val="en-GB"/>
                  </w:rPr>
                </w:pPr>
                <w:r w:rsidRPr="00FF027F">
                  <w:rPr>
                    <w:rFonts w:cs="Arial"/>
                    <w:lang w:val="en-GB"/>
                  </w:rPr>
                  <w:t>KPIs</w:t>
                </w:r>
              </w:p>
            </w:tc>
            <w:tc>
              <w:tcPr>
                <w:tcW w:w="6434" w:type="dxa"/>
                <w:shd w:val="clear" w:color="auto" w:fill="auto"/>
              </w:tcPr>
              <w:p w14:paraId="04E095E5" w14:textId="242BD824" w:rsidR="000C3385" w:rsidRPr="00FF027F" w:rsidRDefault="000C3385" w:rsidP="000C3385">
                <w:pPr>
                  <w:autoSpaceDE w:val="0"/>
                  <w:autoSpaceDN w:val="0"/>
                  <w:adjustRightInd w:val="0"/>
                  <w:spacing w:before="120" w:after="120" w:line="240" w:lineRule="auto"/>
                  <w:ind w:left="202"/>
                  <w:rPr>
                    <w:rFonts w:cs="Arial"/>
                    <w:lang w:val="en-GB"/>
                  </w:rPr>
                </w:pPr>
                <w:r w:rsidRPr="00FF027F">
                  <w:rPr>
                    <w:rFonts w:cs="Arial"/>
                    <w:b/>
                    <w:lang w:val="en-GB"/>
                  </w:rPr>
                  <w:t>25.</w:t>
                </w:r>
                <w:r w:rsidRPr="00FF027F">
                  <w:rPr>
                    <w:rFonts w:cs="Arial"/>
                    <w:lang w:val="en-GB"/>
                  </w:rPr>
                  <w:t xml:space="preserve"> Conclusion of MoUs with relevant authorities and implementation of the MoUs in practice through regular meetings with the relevant authorities.</w:t>
                </w:r>
              </w:p>
            </w:tc>
          </w:tr>
        </w:tbl>
        <w:p w14:paraId="6C79BB17" w14:textId="72B10296" w:rsidR="00E932AB" w:rsidRPr="00FF027F" w:rsidRDefault="00E932AB">
          <w:pPr>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6267"/>
          </w:tblGrid>
          <w:tr w:rsidR="008B7490" w:rsidRPr="00FF027F" w14:paraId="43FAB740" w14:textId="77777777" w:rsidTr="00E932AB">
            <w:tc>
              <w:tcPr>
                <w:tcW w:w="2642" w:type="dxa"/>
                <w:shd w:val="clear" w:color="auto" w:fill="002060"/>
              </w:tcPr>
              <w:p w14:paraId="46E81FD4" w14:textId="479CFBEE" w:rsidR="008B7490" w:rsidRPr="00FF027F" w:rsidRDefault="003503BE" w:rsidP="008B7490">
                <w:pPr>
                  <w:spacing w:before="120" w:after="120" w:line="240" w:lineRule="auto"/>
                  <w:rPr>
                    <w:rFonts w:cs="Arial"/>
                    <w:b/>
                    <w:lang w:val="en-GB"/>
                  </w:rPr>
                </w:pPr>
                <w:r w:rsidRPr="00FF027F">
                  <w:rPr>
                    <w:rFonts w:cs="Arial"/>
                    <w:b/>
                    <w:lang w:val="en-GB"/>
                  </w:rPr>
                  <w:t>Activity</w:t>
                </w:r>
              </w:p>
            </w:tc>
            <w:tc>
              <w:tcPr>
                <w:tcW w:w="6267" w:type="dxa"/>
                <w:shd w:val="clear" w:color="auto" w:fill="002060"/>
              </w:tcPr>
              <w:p w14:paraId="1569B56C" w14:textId="5FF199F9" w:rsidR="003503BE" w:rsidRPr="00FF027F" w:rsidRDefault="003503BE" w:rsidP="008B7490">
                <w:pPr>
                  <w:autoSpaceDE w:val="0"/>
                  <w:autoSpaceDN w:val="0"/>
                  <w:adjustRightInd w:val="0"/>
                  <w:spacing w:before="120" w:after="120" w:line="240" w:lineRule="auto"/>
                  <w:ind w:left="202"/>
                  <w:rPr>
                    <w:rFonts w:cs="Arial"/>
                    <w:b/>
                    <w:lang w:val="en-GB"/>
                  </w:rPr>
                </w:pPr>
                <w:r w:rsidRPr="00FF027F">
                  <w:rPr>
                    <w:rFonts w:cs="Arial"/>
                    <w:b/>
                    <w:lang w:val="en-GB"/>
                  </w:rPr>
                  <w:t>Reporting on REMIT:</w:t>
                </w:r>
              </w:p>
              <w:p w14:paraId="5219D484" w14:textId="77777777" w:rsidR="008B7490" w:rsidRPr="00FF027F" w:rsidRDefault="008B7490" w:rsidP="008B7490">
                <w:pPr>
                  <w:autoSpaceDE w:val="0"/>
                  <w:autoSpaceDN w:val="0"/>
                  <w:adjustRightInd w:val="0"/>
                  <w:spacing w:before="120" w:after="120" w:line="240" w:lineRule="auto"/>
                  <w:ind w:left="202"/>
                  <w:rPr>
                    <w:rFonts w:cs="Arial"/>
                    <w:b/>
                    <w:lang w:val="en-GB"/>
                  </w:rPr>
                </w:pPr>
                <w:r w:rsidRPr="00FF027F">
                  <w:rPr>
                    <w:rFonts w:cs="Arial"/>
                    <w:b/>
                    <w:lang w:val="en-GB"/>
                  </w:rPr>
                  <w:t xml:space="preserve">Annual Report on the Agency activities under REMIT </w:t>
                </w:r>
              </w:p>
            </w:tc>
          </w:tr>
          <w:tr w:rsidR="008B7490" w:rsidRPr="00FF027F" w14:paraId="7E356B23" w14:textId="77777777" w:rsidTr="00E932AB">
            <w:trPr>
              <w:trHeight w:val="485"/>
            </w:trPr>
            <w:tc>
              <w:tcPr>
                <w:tcW w:w="2642" w:type="dxa"/>
                <w:shd w:val="clear" w:color="auto" w:fill="auto"/>
              </w:tcPr>
              <w:p w14:paraId="0454F04A"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Objectives and deadlines (indicative)</w:t>
                </w:r>
              </w:p>
            </w:tc>
            <w:tc>
              <w:tcPr>
                <w:tcW w:w="6267" w:type="dxa"/>
                <w:shd w:val="clear" w:color="auto" w:fill="auto"/>
              </w:tcPr>
              <w:p w14:paraId="4992F8C9" w14:textId="77777777" w:rsidR="008B7490" w:rsidRPr="00FF027F" w:rsidRDefault="008B7490" w:rsidP="008B7490">
                <w:pPr>
                  <w:autoSpaceDE w:val="0"/>
                  <w:autoSpaceDN w:val="0"/>
                  <w:adjustRightInd w:val="0"/>
                  <w:spacing w:before="120" w:after="120" w:line="240" w:lineRule="auto"/>
                  <w:ind w:left="202"/>
                  <w:rPr>
                    <w:rFonts w:cs="Arial"/>
                    <w:lang w:val="en-GB"/>
                  </w:rPr>
                </w:pPr>
                <w:r w:rsidRPr="00FF027F">
                  <w:rPr>
                    <w:rFonts w:cs="Arial"/>
                    <w:lang w:val="en-GB"/>
                  </w:rPr>
                  <w:t>The Agency shall submit at least on an annual basis a Report to the Commission in which the Agency shall assess the operation and transparency of different categories of market places and ways of trading and may make recommendations to the Commission as regards market rules, standards, and procedures which could improve market integrity and the functioning of the internal market. It may also evaluate whether any minimum requirements for organised markets could contribute to enhanced market transparency.</w:t>
                </w:r>
              </w:p>
              <w:p w14:paraId="265F0FD0" w14:textId="77777777" w:rsidR="008B7490" w:rsidRPr="00FF027F" w:rsidRDefault="008B7490" w:rsidP="008B7490">
                <w:pPr>
                  <w:autoSpaceDE w:val="0"/>
                  <w:autoSpaceDN w:val="0"/>
                  <w:adjustRightInd w:val="0"/>
                  <w:spacing w:before="120" w:after="120" w:line="240" w:lineRule="auto"/>
                  <w:ind w:left="202"/>
                  <w:rPr>
                    <w:rFonts w:cs="Arial"/>
                    <w:lang w:val="en-GB"/>
                  </w:rPr>
                </w:pPr>
                <w:r w:rsidRPr="00FF027F">
                  <w:rPr>
                    <w:rFonts w:cs="Arial"/>
                    <w:lang w:val="en-GB"/>
                  </w:rPr>
                  <w:t xml:space="preserve">Recommendations for potential reviews of REMIT, in particular according to Article 6 of REMIT, in view of potential needs to align REMIT definitions with new relevant Union legislation in the fields of financial services and energy, or in view of new developments on wholesale energy markets or of REMIT implementing acts </w:t>
                </w:r>
              </w:p>
              <w:p w14:paraId="27EE5B68" w14:textId="77777777" w:rsidR="008B7490" w:rsidRPr="00FF027F" w:rsidRDefault="008B7490" w:rsidP="008B7490">
                <w:pPr>
                  <w:autoSpaceDE w:val="0"/>
                  <w:autoSpaceDN w:val="0"/>
                  <w:adjustRightInd w:val="0"/>
                  <w:spacing w:before="120" w:after="120" w:line="240" w:lineRule="auto"/>
                  <w:ind w:left="202"/>
                  <w:rPr>
                    <w:rFonts w:cs="Arial"/>
                    <w:lang w:val="en-GB"/>
                  </w:rPr>
                </w:pPr>
                <w:r w:rsidRPr="00FF027F">
                  <w:rPr>
                    <w:rFonts w:cs="Arial"/>
                    <w:lang w:val="en-GB"/>
                  </w:rPr>
                  <w:t>Expected submission of the Annual Report of REMIT: Q2/Q3.</w:t>
                </w:r>
              </w:p>
            </w:tc>
          </w:tr>
          <w:tr w:rsidR="008B7490" w:rsidRPr="00FF027F" w14:paraId="5C84BF59" w14:textId="77777777" w:rsidTr="00E932AB">
            <w:trPr>
              <w:trHeight w:val="575"/>
            </w:trPr>
            <w:tc>
              <w:tcPr>
                <w:tcW w:w="2642" w:type="dxa"/>
                <w:shd w:val="clear" w:color="auto" w:fill="auto"/>
              </w:tcPr>
              <w:p w14:paraId="625C0D0E" w14:textId="77777777" w:rsidR="008B7490" w:rsidRPr="00FF027F" w:rsidRDefault="008B7490" w:rsidP="008B7490">
                <w:pPr>
                  <w:autoSpaceDE w:val="0"/>
                  <w:autoSpaceDN w:val="0"/>
                  <w:adjustRightInd w:val="0"/>
                  <w:spacing w:before="120" w:after="120" w:line="240" w:lineRule="auto"/>
                  <w:rPr>
                    <w:rFonts w:cs="Arial"/>
                    <w:lang w:val="en-GB"/>
                  </w:rPr>
                </w:pPr>
                <w:r w:rsidRPr="00FF027F">
                  <w:rPr>
                    <w:rFonts w:cs="Arial"/>
                    <w:lang w:val="en-GB"/>
                  </w:rPr>
                  <w:t>KPI</w:t>
                </w:r>
              </w:p>
            </w:tc>
            <w:tc>
              <w:tcPr>
                <w:tcW w:w="6267" w:type="dxa"/>
                <w:shd w:val="clear" w:color="auto" w:fill="auto"/>
              </w:tcPr>
              <w:p w14:paraId="0FB637BB" w14:textId="6382B7A0" w:rsidR="008B7490" w:rsidRPr="00FF027F" w:rsidRDefault="008B7490" w:rsidP="000C3385">
                <w:pPr>
                  <w:autoSpaceDE w:val="0"/>
                  <w:autoSpaceDN w:val="0"/>
                  <w:adjustRightInd w:val="0"/>
                  <w:spacing w:before="120" w:after="120" w:line="240" w:lineRule="auto"/>
                  <w:ind w:left="202"/>
                  <w:rPr>
                    <w:rFonts w:cs="Arial"/>
                    <w:lang w:val="en-GB"/>
                  </w:rPr>
                </w:pPr>
                <w:r w:rsidRPr="00FF027F">
                  <w:rPr>
                    <w:rFonts w:cs="Arial"/>
                    <w:b/>
                    <w:lang w:val="en-GB"/>
                  </w:rPr>
                  <w:t>26.</w:t>
                </w:r>
                <w:r w:rsidRPr="00FF027F">
                  <w:rPr>
                    <w:rFonts w:cs="Arial"/>
                    <w:lang w:val="en-GB"/>
                  </w:rPr>
                  <w:t xml:space="preserve"> Submission of the A</w:t>
                </w:r>
                <w:r w:rsidR="00CA593B">
                  <w:rPr>
                    <w:rFonts w:cs="Arial"/>
                    <w:lang w:val="en-GB"/>
                  </w:rPr>
                  <w:t xml:space="preserve">nnual </w:t>
                </w:r>
                <w:r w:rsidRPr="00FF027F">
                  <w:rPr>
                    <w:rFonts w:cs="Arial"/>
                    <w:lang w:val="en-GB"/>
                  </w:rPr>
                  <w:t>R</w:t>
                </w:r>
                <w:r w:rsidR="00CA593B">
                  <w:rPr>
                    <w:rFonts w:cs="Arial"/>
                    <w:lang w:val="en-GB"/>
                  </w:rPr>
                  <w:t>eport</w:t>
                </w:r>
                <w:r w:rsidRPr="00FF027F">
                  <w:rPr>
                    <w:rFonts w:cs="Arial"/>
                    <w:lang w:val="en-GB"/>
                  </w:rPr>
                  <w:t xml:space="preserve"> on </w:t>
                </w:r>
                <w:r w:rsidR="000C3385" w:rsidRPr="00FF027F">
                  <w:rPr>
                    <w:rFonts w:cs="Arial"/>
                    <w:lang w:val="en-GB"/>
                  </w:rPr>
                  <w:t>REMIT implementation by end Q3.</w:t>
                </w:r>
              </w:p>
            </w:tc>
          </w:tr>
          <w:bookmarkEnd w:id="162"/>
          <w:bookmarkEnd w:id="163"/>
          <w:bookmarkEnd w:id="164"/>
          <w:bookmarkEnd w:id="165"/>
          <w:bookmarkEnd w:id="166"/>
        </w:tbl>
        <w:p w14:paraId="6BADAA6F" w14:textId="77777777" w:rsidR="008B7490" w:rsidRPr="00FF027F" w:rsidRDefault="008B7490" w:rsidP="008B7490">
          <w:pPr>
            <w:spacing w:after="0"/>
            <w:jc w:val="both"/>
            <w:rPr>
              <w:rFonts w:ascii="Arial" w:hAnsi="Arial" w:cs="Arial"/>
              <w:b/>
              <w:u w:val="single"/>
              <w:lang w:val="en-GB"/>
            </w:rPr>
          </w:pPr>
        </w:p>
        <w:p w14:paraId="00705878" w14:textId="77777777" w:rsidR="008B7490" w:rsidRPr="00FF027F" w:rsidRDefault="008B7490" w:rsidP="008B7490">
          <w:pPr>
            <w:spacing w:after="0"/>
            <w:jc w:val="both"/>
            <w:rPr>
              <w:rFonts w:ascii="Arial" w:hAnsi="Arial" w:cs="Arial"/>
              <w:b/>
              <w:u w:val="single"/>
              <w:lang w:val="en-GB"/>
            </w:rPr>
          </w:pPr>
        </w:p>
        <w:p w14:paraId="70FE95AF" w14:textId="166D74BC" w:rsidR="00B77347" w:rsidRPr="00FF027F" w:rsidRDefault="008B7490">
          <w:pPr>
            <w:rPr>
              <w:rFonts w:ascii="Verdana" w:eastAsia="Times New Roman" w:hAnsi="Verdana" w:cs="Times New Roman Bold"/>
              <w:b/>
              <w:bCs/>
              <w:caps/>
              <w:snapToGrid w:val="0"/>
              <w:color w:val="004494"/>
              <w:sz w:val="32"/>
              <w:szCs w:val="44"/>
              <w:lang w:val="en-GB" w:eastAsia="en-GB"/>
            </w:rPr>
          </w:pPr>
          <w:r w:rsidRPr="00FF027F">
            <w:rPr>
              <w:snapToGrid w:val="0"/>
              <w:lang w:val="en-GB"/>
            </w:rPr>
            <w:br w:type="page"/>
          </w:r>
        </w:p>
        <w:p w14:paraId="49F312B5" w14:textId="77777777" w:rsidR="004A5542" w:rsidRPr="00FF027F" w:rsidRDefault="004A5542" w:rsidP="008B7490">
          <w:pPr>
            <w:pStyle w:val="Heading1"/>
            <w:numPr>
              <w:ilvl w:val="0"/>
              <w:numId w:val="0"/>
            </w:numPr>
            <w:ind w:left="90"/>
            <w:rPr>
              <w:snapToGrid w:val="0"/>
            </w:rPr>
            <w:sectPr w:rsidR="004A5542" w:rsidRPr="00FF027F" w:rsidSect="00B30F57">
              <w:pgSz w:w="11907" w:h="16839" w:code="9"/>
              <w:pgMar w:top="1440" w:right="1440" w:bottom="1440" w:left="1440" w:header="720" w:footer="720" w:gutter="0"/>
              <w:cols w:space="720"/>
              <w:titlePg/>
              <w:docGrid w:linePitch="360"/>
            </w:sectPr>
          </w:pPr>
        </w:p>
        <w:p w14:paraId="2D5341AE" w14:textId="77777777" w:rsidR="00F36DF1" w:rsidRPr="00FF027F" w:rsidRDefault="00B77347" w:rsidP="00F36DF1">
          <w:pPr>
            <w:pStyle w:val="Heading1"/>
            <w:numPr>
              <w:ilvl w:val="0"/>
              <w:numId w:val="0"/>
            </w:numPr>
            <w:jc w:val="center"/>
            <w:rPr>
              <w:sz w:val="28"/>
              <w:szCs w:val="28"/>
            </w:rPr>
          </w:pPr>
          <w:bookmarkStart w:id="167" w:name="_Toc396913830"/>
          <w:r w:rsidRPr="00FF027F">
            <w:rPr>
              <w:snapToGrid w:val="0"/>
            </w:rPr>
            <w:t xml:space="preserve">Annex Ix: </w:t>
          </w:r>
          <w:r w:rsidR="00F36DF1" w:rsidRPr="00FF027F">
            <w:rPr>
              <w:sz w:val="28"/>
              <w:szCs w:val="28"/>
            </w:rPr>
            <w:t>ACER Risk Register 2015</w:t>
          </w:r>
          <w:r w:rsidR="00F36DF1" w:rsidRPr="00FF027F">
            <w:rPr>
              <w:rStyle w:val="FootnoteReference"/>
              <w:sz w:val="28"/>
              <w:szCs w:val="28"/>
            </w:rPr>
            <w:footnoteReference w:id="11"/>
          </w:r>
          <w:bookmarkEnd w:id="167"/>
        </w:p>
        <w:p w14:paraId="6AAB0AF5" w14:textId="77777777" w:rsidR="004A5542" w:rsidRPr="00FF027F" w:rsidRDefault="004A5542" w:rsidP="004A5542">
          <w:pPr>
            <w:pStyle w:val="Text1"/>
            <w:rPr>
              <w:sz w:val="2"/>
              <w:szCs w:val="2"/>
            </w:rPr>
          </w:pPr>
          <w:bookmarkStart w:id="168" w:name="_Toc141519054"/>
          <w:bookmarkStart w:id="169" w:name="_Toc141519179"/>
        </w:p>
        <w:tbl>
          <w:tblPr>
            <w:tblW w:w="156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44"/>
            <w:gridCol w:w="1701"/>
            <w:gridCol w:w="2165"/>
            <w:gridCol w:w="15"/>
            <w:gridCol w:w="1135"/>
            <w:gridCol w:w="15"/>
            <w:gridCol w:w="3185"/>
            <w:gridCol w:w="7"/>
            <w:gridCol w:w="1694"/>
            <w:gridCol w:w="7"/>
            <w:gridCol w:w="2301"/>
            <w:gridCol w:w="21"/>
            <w:gridCol w:w="9"/>
          </w:tblGrid>
          <w:tr w:rsidR="004A5542" w:rsidRPr="00FF027F" w14:paraId="0C49AC14" w14:textId="77777777" w:rsidTr="006D42BD">
            <w:trPr>
              <w:gridAfter w:val="1"/>
              <w:wAfter w:w="9" w:type="dxa"/>
              <w:trHeight w:val="578"/>
              <w:jc w:val="center"/>
            </w:trPr>
            <w:tc>
              <w:tcPr>
                <w:tcW w:w="3444" w:type="dxa"/>
                <w:vMerge w:val="restart"/>
                <w:shd w:val="clear" w:color="auto" w:fill="C6D9F1"/>
                <w:vAlign w:val="center"/>
              </w:tcPr>
              <w:p w14:paraId="3ED0456D"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Risk Description</w:t>
                </w:r>
                <w:r w:rsidRPr="00FF027F">
                  <w:rPr>
                    <w:rStyle w:val="FootnoteReference"/>
                    <w:rFonts w:ascii="Calibri" w:hAnsi="Calibri" w:cs="Calibri"/>
                    <w:b w:val="0"/>
                    <w:lang w:val="en-GB"/>
                  </w:rPr>
                  <w:footnoteReference w:id="12"/>
                </w:r>
              </w:p>
              <w:p w14:paraId="57043A11" w14:textId="77777777" w:rsidR="004A5542" w:rsidRPr="00FF027F" w:rsidRDefault="004A5542" w:rsidP="006D42BD">
                <w:pPr>
                  <w:spacing w:after="0"/>
                  <w:jc w:val="center"/>
                  <w:rPr>
                    <w:rFonts w:ascii="Calibri" w:hAnsi="Calibri" w:cs="Calibri"/>
                    <w:lang w:val="en-GB"/>
                  </w:rPr>
                </w:pPr>
              </w:p>
            </w:tc>
            <w:tc>
              <w:tcPr>
                <w:tcW w:w="1701" w:type="dxa"/>
                <w:vMerge w:val="restart"/>
                <w:shd w:val="clear" w:color="auto" w:fill="C6D9F1"/>
                <w:vAlign w:val="center"/>
              </w:tcPr>
              <w:p w14:paraId="5834855A"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Risk type</w:t>
                </w:r>
                <w:r w:rsidRPr="00FF027F">
                  <w:rPr>
                    <w:rStyle w:val="FootnoteReference"/>
                    <w:rFonts w:ascii="Calibri" w:hAnsi="Calibri" w:cs="Calibri"/>
                    <w:b w:val="0"/>
                    <w:lang w:val="en-GB"/>
                  </w:rPr>
                  <w:footnoteReference w:id="13"/>
                </w:r>
              </w:p>
              <w:p w14:paraId="71ECAC1A" w14:textId="77777777" w:rsidR="004A5542" w:rsidRPr="00FF027F" w:rsidRDefault="004A5542" w:rsidP="006D42BD">
                <w:pPr>
                  <w:spacing w:after="0"/>
                  <w:jc w:val="center"/>
                  <w:rPr>
                    <w:rFonts w:ascii="Calibri" w:hAnsi="Calibri" w:cs="Calibri"/>
                    <w:lang w:val="en-GB"/>
                  </w:rPr>
                </w:pPr>
              </w:p>
            </w:tc>
            <w:tc>
              <w:tcPr>
                <w:tcW w:w="2180" w:type="dxa"/>
                <w:gridSpan w:val="2"/>
                <w:vMerge w:val="restart"/>
                <w:shd w:val="clear" w:color="auto" w:fill="C6D9F1"/>
                <w:vAlign w:val="center"/>
              </w:tcPr>
              <w:p w14:paraId="1F935C8E"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Activity/Objective</w:t>
                </w:r>
              </w:p>
              <w:p w14:paraId="735277D8"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affected</w:t>
                </w:r>
              </w:p>
            </w:tc>
            <w:tc>
              <w:tcPr>
                <w:tcW w:w="1150" w:type="dxa"/>
                <w:gridSpan w:val="2"/>
                <w:vMerge w:val="restart"/>
                <w:shd w:val="clear" w:color="auto" w:fill="C6D9F1"/>
                <w:vAlign w:val="center"/>
              </w:tcPr>
              <w:p w14:paraId="3DCC8584"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Risk Response</w:t>
                </w:r>
                <w:r w:rsidRPr="00FF027F">
                  <w:rPr>
                    <w:rStyle w:val="FootnoteReference"/>
                    <w:rFonts w:ascii="Calibri" w:hAnsi="Calibri" w:cs="Calibri"/>
                    <w:b w:val="0"/>
                    <w:lang w:val="en-GB"/>
                  </w:rPr>
                  <w:footnoteReference w:id="14"/>
                </w:r>
              </w:p>
            </w:tc>
            <w:tc>
              <w:tcPr>
                <w:tcW w:w="7215" w:type="dxa"/>
                <w:gridSpan w:val="6"/>
                <w:shd w:val="clear" w:color="auto" w:fill="C6D9F1"/>
                <w:vAlign w:val="center"/>
              </w:tcPr>
              <w:p w14:paraId="6A2AF018"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Action Plan Summary</w:t>
                </w:r>
              </w:p>
            </w:tc>
          </w:tr>
          <w:tr w:rsidR="004A5542" w:rsidRPr="00FF027F" w14:paraId="6F66F3EC" w14:textId="77777777" w:rsidTr="006D42BD">
            <w:trPr>
              <w:trHeight w:val="577"/>
              <w:jc w:val="center"/>
            </w:trPr>
            <w:tc>
              <w:tcPr>
                <w:tcW w:w="3444" w:type="dxa"/>
                <w:vMerge/>
                <w:shd w:val="clear" w:color="auto" w:fill="C6D9F1"/>
                <w:vAlign w:val="center"/>
              </w:tcPr>
              <w:p w14:paraId="015B2933" w14:textId="77777777" w:rsidR="004A5542" w:rsidRPr="00FF027F" w:rsidRDefault="004A5542" w:rsidP="006D42BD">
                <w:pPr>
                  <w:spacing w:after="0"/>
                  <w:jc w:val="center"/>
                  <w:rPr>
                    <w:rFonts w:ascii="Calibri" w:hAnsi="Calibri" w:cs="Calibri"/>
                    <w:b/>
                    <w:lang w:val="en-GB"/>
                  </w:rPr>
                </w:pPr>
              </w:p>
            </w:tc>
            <w:tc>
              <w:tcPr>
                <w:tcW w:w="1701" w:type="dxa"/>
                <w:vMerge/>
                <w:shd w:val="clear" w:color="auto" w:fill="C6D9F1"/>
                <w:vAlign w:val="center"/>
              </w:tcPr>
              <w:p w14:paraId="21484A45" w14:textId="77777777" w:rsidR="004A5542" w:rsidRPr="00FF027F" w:rsidRDefault="004A5542" w:rsidP="006D42BD">
                <w:pPr>
                  <w:spacing w:after="0"/>
                  <w:jc w:val="center"/>
                  <w:rPr>
                    <w:rFonts w:ascii="Calibri" w:hAnsi="Calibri" w:cs="Calibri"/>
                    <w:b/>
                    <w:lang w:val="en-GB"/>
                  </w:rPr>
                </w:pPr>
              </w:p>
            </w:tc>
            <w:tc>
              <w:tcPr>
                <w:tcW w:w="2180" w:type="dxa"/>
                <w:gridSpan w:val="2"/>
                <w:vMerge/>
                <w:shd w:val="clear" w:color="auto" w:fill="C6D9F1"/>
                <w:vAlign w:val="center"/>
              </w:tcPr>
              <w:p w14:paraId="6D55EA25" w14:textId="77777777" w:rsidR="004A5542" w:rsidRPr="00FF027F" w:rsidRDefault="004A5542" w:rsidP="006D42BD">
                <w:pPr>
                  <w:spacing w:after="0"/>
                  <w:jc w:val="center"/>
                  <w:rPr>
                    <w:rFonts w:ascii="Calibri" w:hAnsi="Calibri" w:cs="Calibri"/>
                    <w:b/>
                    <w:lang w:val="en-GB"/>
                  </w:rPr>
                </w:pPr>
              </w:p>
            </w:tc>
            <w:tc>
              <w:tcPr>
                <w:tcW w:w="1150" w:type="dxa"/>
                <w:gridSpan w:val="2"/>
                <w:vMerge/>
                <w:shd w:val="clear" w:color="auto" w:fill="C6D9F1"/>
                <w:vAlign w:val="center"/>
              </w:tcPr>
              <w:p w14:paraId="140471D0" w14:textId="77777777" w:rsidR="004A5542" w:rsidRPr="00FF027F" w:rsidRDefault="004A5542" w:rsidP="006D42BD">
                <w:pPr>
                  <w:spacing w:after="0"/>
                  <w:jc w:val="center"/>
                  <w:rPr>
                    <w:rFonts w:ascii="Calibri" w:hAnsi="Calibri" w:cs="Calibri"/>
                    <w:b/>
                    <w:lang w:val="en-GB"/>
                  </w:rPr>
                </w:pPr>
              </w:p>
            </w:tc>
            <w:tc>
              <w:tcPr>
                <w:tcW w:w="3192" w:type="dxa"/>
                <w:gridSpan w:val="2"/>
                <w:shd w:val="clear" w:color="auto" w:fill="C6D9F1"/>
                <w:vAlign w:val="center"/>
              </w:tcPr>
              <w:p w14:paraId="098EE4B3"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Brief description of action to be taken</w:t>
                </w:r>
              </w:p>
            </w:tc>
            <w:tc>
              <w:tcPr>
                <w:tcW w:w="1701" w:type="dxa"/>
                <w:gridSpan w:val="2"/>
                <w:shd w:val="clear" w:color="auto" w:fill="C6D9F1"/>
                <w:vAlign w:val="center"/>
              </w:tcPr>
              <w:p w14:paraId="49E859FA"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Responsible</w:t>
                </w:r>
              </w:p>
            </w:tc>
            <w:tc>
              <w:tcPr>
                <w:tcW w:w="2331" w:type="dxa"/>
                <w:gridSpan w:val="3"/>
                <w:shd w:val="clear" w:color="auto" w:fill="C6D9F1"/>
                <w:vAlign w:val="center"/>
              </w:tcPr>
              <w:p w14:paraId="71D0B970" w14:textId="77777777" w:rsidR="004A5542" w:rsidRPr="00FF027F" w:rsidRDefault="004A5542" w:rsidP="006D42BD">
                <w:pPr>
                  <w:spacing w:after="0"/>
                  <w:jc w:val="center"/>
                  <w:rPr>
                    <w:rFonts w:ascii="Calibri" w:hAnsi="Calibri" w:cs="Calibri"/>
                    <w:b/>
                    <w:lang w:val="en-GB"/>
                  </w:rPr>
                </w:pPr>
                <w:r w:rsidRPr="00FF027F">
                  <w:rPr>
                    <w:rFonts w:ascii="Calibri" w:hAnsi="Calibri" w:cs="Calibri"/>
                    <w:b/>
                    <w:lang w:val="en-GB"/>
                  </w:rPr>
                  <w:t>Implementation Target Date</w:t>
                </w:r>
              </w:p>
            </w:tc>
          </w:tr>
          <w:tr w:rsidR="004A5542" w:rsidRPr="00FF027F" w14:paraId="155F7836" w14:textId="77777777" w:rsidTr="006D42BD">
            <w:trPr>
              <w:gridAfter w:val="2"/>
              <w:wAfter w:w="30" w:type="dxa"/>
              <w:jc w:val="center"/>
            </w:trPr>
            <w:tc>
              <w:tcPr>
                <w:tcW w:w="15669" w:type="dxa"/>
                <w:gridSpan w:val="11"/>
              </w:tcPr>
              <w:p w14:paraId="5BA896D9" w14:textId="77777777" w:rsidR="004A5542" w:rsidRPr="00FF027F" w:rsidRDefault="004A5542" w:rsidP="006D42BD">
                <w:pPr>
                  <w:spacing w:after="0"/>
                  <w:rPr>
                    <w:rFonts w:ascii="Calibri" w:hAnsi="Calibri" w:cs="Calibri"/>
                    <w:b/>
                    <w:sz w:val="12"/>
                    <w:szCs w:val="12"/>
                    <w:u w:val="single"/>
                    <w:lang w:val="en-GB"/>
                  </w:rPr>
                </w:pPr>
              </w:p>
              <w:p w14:paraId="6DAFF53F" w14:textId="77777777" w:rsidR="004A5542" w:rsidRPr="00FF027F" w:rsidRDefault="004A5542" w:rsidP="006D42BD">
                <w:pPr>
                  <w:spacing w:after="0"/>
                  <w:rPr>
                    <w:rFonts w:ascii="Calibri" w:hAnsi="Calibri" w:cs="Calibri"/>
                    <w:b/>
                    <w:szCs w:val="24"/>
                    <w:u w:val="single"/>
                    <w:lang w:val="en-GB"/>
                  </w:rPr>
                </w:pPr>
                <w:r w:rsidRPr="00FF027F">
                  <w:rPr>
                    <w:rFonts w:ascii="Calibri" w:hAnsi="Calibri" w:cs="Calibri"/>
                    <w:b/>
                    <w:szCs w:val="24"/>
                    <w:u w:val="single"/>
                    <w:lang w:val="en-GB"/>
                  </w:rPr>
                  <w:t>REGULATORY ACTIVITIES</w:t>
                </w:r>
              </w:p>
              <w:p w14:paraId="126059BE" w14:textId="77777777" w:rsidR="004A5542" w:rsidRPr="00FF027F" w:rsidRDefault="004A5542" w:rsidP="006D42BD">
                <w:pPr>
                  <w:spacing w:after="0"/>
                  <w:rPr>
                    <w:rFonts w:ascii="Calibri" w:hAnsi="Calibri" w:cs="Calibri"/>
                    <w:b/>
                    <w:sz w:val="12"/>
                    <w:szCs w:val="12"/>
                    <w:u w:val="single"/>
                    <w:lang w:val="en-GB"/>
                  </w:rPr>
                </w:pPr>
              </w:p>
            </w:tc>
          </w:tr>
          <w:tr w:rsidR="004A5542" w:rsidRPr="00FF027F" w14:paraId="5D903DE6" w14:textId="77777777" w:rsidTr="006D42BD">
            <w:trPr>
              <w:gridAfter w:val="2"/>
              <w:wAfter w:w="30" w:type="dxa"/>
              <w:jc w:val="center"/>
            </w:trPr>
            <w:tc>
              <w:tcPr>
                <w:tcW w:w="3444" w:type="dxa"/>
              </w:tcPr>
              <w:p w14:paraId="0A936D36" w14:textId="77777777" w:rsidR="004A5542" w:rsidRPr="00FF027F" w:rsidRDefault="004A5542" w:rsidP="006D42BD">
                <w:pPr>
                  <w:spacing w:after="0"/>
                  <w:ind w:left="720"/>
                  <w:rPr>
                    <w:rFonts w:ascii="Calibri" w:hAnsi="Calibri" w:cs="Calibri"/>
                    <w:b/>
                    <w:sz w:val="12"/>
                    <w:szCs w:val="12"/>
                    <w:lang w:val="en-GB"/>
                  </w:rPr>
                </w:pPr>
              </w:p>
              <w:p w14:paraId="54D16FEE" w14:textId="77777777" w:rsidR="004A5542" w:rsidRPr="00FF027F" w:rsidRDefault="004A5542" w:rsidP="004A5542">
                <w:pPr>
                  <w:numPr>
                    <w:ilvl w:val="0"/>
                    <w:numId w:val="65"/>
                  </w:numPr>
                  <w:spacing w:after="0" w:line="240" w:lineRule="auto"/>
                  <w:jc w:val="both"/>
                  <w:rPr>
                    <w:rFonts w:ascii="Calibri" w:hAnsi="Calibri" w:cs="Calibri"/>
                    <w:b/>
                    <w:lang w:val="en-GB"/>
                  </w:rPr>
                </w:pPr>
                <w:r w:rsidRPr="00FF027F">
                  <w:rPr>
                    <w:rFonts w:ascii="Calibri" w:hAnsi="Calibri" w:cs="Calibri"/>
                    <w:b/>
                    <w:lang w:val="en-GB"/>
                  </w:rPr>
                  <w:t>Implementation of REMIT</w:t>
                </w:r>
              </w:p>
              <w:p w14:paraId="01BFE9F6" w14:textId="77777777" w:rsidR="004A5542" w:rsidRPr="00FF027F" w:rsidRDefault="004A5542" w:rsidP="006D42BD">
                <w:pPr>
                  <w:spacing w:after="0"/>
                  <w:ind w:left="720"/>
                  <w:rPr>
                    <w:rFonts w:ascii="Calibri" w:hAnsi="Calibri" w:cs="Calibri"/>
                    <w:sz w:val="8"/>
                    <w:szCs w:val="8"/>
                    <w:lang w:val="en-GB"/>
                  </w:rPr>
                </w:pPr>
              </w:p>
              <w:p w14:paraId="3A7F3671"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 xml:space="preserve">In 2015 the Agency plans to continue its activities for the full implementation of REMIT. At the time in which the 2015 WP was planned there was a considerable divergence between the minimum allocation of human resources which the Agency considered necessary to fulfil its role in meeting the objectives of REMIT and the Commission’s staffing proposal. </w:t>
                </w:r>
              </w:p>
              <w:p w14:paraId="3D58701C" w14:textId="77777777" w:rsidR="004A5542" w:rsidRPr="00FF027F" w:rsidRDefault="004A5542" w:rsidP="006D42BD">
                <w:pPr>
                  <w:spacing w:after="0"/>
                  <w:rPr>
                    <w:rFonts w:ascii="Calibri" w:hAnsi="Calibri" w:cs="Calibri"/>
                    <w:lang w:val="en-GB"/>
                  </w:rPr>
                </w:pPr>
              </w:p>
              <w:p w14:paraId="04D1B19A"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The success of REMIT will also depend on the cooperation with National Regulatory Agencies, especially as concerns the follow-up and investigations in cases of potential market manipulation identified by the Agency.</w:t>
                </w:r>
              </w:p>
              <w:p w14:paraId="7B9702BC" w14:textId="77777777" w:rsidR="004A5542" w:rsidRPr="00FF027F" w:rsidRDefault="004A5542" w:rsidP="006D42BD">
                <w:pPr>
                  <w:spacing w:after="0"/>
                  <w:rPr>
                    <w:rFonts w:ascii="Calibri" w:hAnsi="Calibri" w:cs="Calibri"/>
                    <w:lang w:val="en-GB"/>
                  </w:rPr>
                </w:pPr>
              </w:p>
              <w:p w14:paraId="6B50E36D" w14:textId="77777777" w:rsidR="004A5542" w:rsidRPr="00FF027F" w:rsidRDefault="004A5542" w:rsidP="006D42BD">
                <w:pPr>
                  <w:spacing w:after="120"/>
                  <w:rPr>
                    <w:rFonts w:ascii="Calibri" w:hAnsi="Calibri" w:cs="Calibri"/>
                    <w:lang w:val="en-GB"/>
                  </w:rPr>
                </w:pPr>
                <w:r w:rsidRPr="00FF027F">
                  <w:rPr>
                    <w:rFonts w:ascii="Calibri" w:hAnsi="Calibri" w:cs="Calibri"/>
                    <w:lang w:val="en-GB"/>
                  </w:rPr>
                  <w:t xml:space="preserve">Ineffective application of REMIT, even if due to reasons outside the Agency’s control, could represent a reputational risk for ACER (in addition to the economic damage suffered by taxpayers due to the negative effects on markets). </w:t>
                </w:r>
              </w:p>
            </w:tc>
            <w:tc>
              <w:tcPr>
                <w:tcW w:w="1701" w:type="dxa"/>
              </w:tcPr>
              <w:p w14:paraId="1931B3A0" w14:textId="77777777" w:rsidR="004A5542" w:rsidRPr="00FF027F" w:rsidRDefault="004A5542" w:rsidP="006D42BD">
                <w:pPr>
                  <w:spacing w:after="0"/>
                  <w:rPr>
                    <w:rFonts w:ascii="Calibri" w:hAnsi="Calibri" w:cs="Calibri"/>
                    <w:lang w:val="en-GB"/>
                  </w:rPr>
                </w:pPr>
              </w:p>
              <w:p w14:paraId="73AC9770"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External</w:t>
                </w:r>
              </w:p>
            </w:tc>
            <w:tc>
              <w:tcPr>
                <w:tcW w:w="2165" w:type="dxa"/>
              </w:tcPr>
              <w:p w14:paraId="3F3A895E" w14:textId="77777777" w:rsidR="004A5542" w:rsidRPr="00FF027F" w:rsidRDefault="004A5542" w:rsidP="006D42BD">
                <w:pPr>
                  <w:spacing w:after="0"/>
                  <w:rPr>
                    <w:rFonts w:ascii="Calibri" w:hAnsi="Calibri" w:cs="Calibri"/>
                    <w:lang w:val="en-GB"/>
                  </w:rPr>
                </w:pPr>
              </w:p>
              <w:p w14:paraId="039F0178"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Implementation of REMIT:</w:t>
                </w:r>
              </w:p>
              <w:p w14:paraId="0608112B" w14:textId="77777777" w:rsidR="004A5542" w:rsidRPr="00FF027F" w:rsidRDefault="004A5542" w:rsidP="006D42BD">
                <w:pPr>
                  <w:spacing w:after="0"/>
                  <w:rPr>
                    <w:rFonts w:ascii="Calibri" w:hAnsi="Calibri" w:cs="Calibri"/>
                    <w:lang w:val="en-GB"/>
                  </w:rPr>
                </w:pPr>
              </w:p>
              <w:p w14:paraId="7E87576A"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1. Centralised European register of energy market participants (CEREMP) and the Agency’s REMIT Information System (ARIS).</w:t>
                </w:r>
              </w:p>
              <w:p w14:paraId="29317193" w14:textId="77777777" w:rsidR="004A5542" w:rsidRPr="00FF027F" w:rsidRDefault="004A5542" w:rsidP="006D42BD">
                <w:pPr>
                  <w:spacing w:after="0"/>
                  <w:rPr>
                    <w:rFonts w:ascii="Calibri" w:hAnsi="Calibri" w:cs="Calibri"/>
                    <w:lang w:val="en-GB"/>
                  </w:rPr>
                </w:pPr>
              </w:p>
              <w:p w14:paraId="68DED5D0" w14:textId="18A09A19" w:rsidR="004A5542" w:rsidRPr="00FF027F" w:rsidRDefault="004A5542" w:rsidP="006D42BD">
                <w:pPr>
                  <w:spacing w:after="0"/>
                  <w:rPr>
                    <w:rFonts w:ascii="Calibri" w:hAnsi="Calibri" w:cs="Calibri"/>
                    <w:lang w:val="en-GB"/>
                  </w:rPr>
                </w:pPr>
                <w:r w:rsidRPr="00FF027F">
                  <w:rPr>
                    <w:rFonts w:ascii="Calibri" w:hAnsi="Calibri" w:cs="Calibri"/>
                    <w:lang w:val="en-GB"/>
                  </w:rPr>
                  <w:t>2. Market monitoring of trading activity in wholesale energy markets to detect and prevent trading based on inside information and market manipulation</w:t>
                </w:r>
                <w:r w:rsidR="00F36DF1" w:rsidRPr="00FF027F">
                  <w:rPr>
                    <w:rFonts w:ascii="Calibri" w:hAnsi="Calibri" w:cs="Calibri"/>
                    <w:lang w:val="en-GB"/>
                  </w:rPr>
                  <w:t>.</w:t>
                </w:r>
              </w:p>
              <w:p w14:paraId="47BD7C5B" w14:textId="77777777" w:rsidR="004A5542" w:rsidRPr="00FF027F" w:rsidRDefault="004A5542" w:rsidP="006D42BD">
                <w:pPr>
                  <w:spacing w:after="0"/>
                  <w:rPr>
                    <w:rFonts w:ascii="Calibri" w:hAnsi="Calibri" w:cs="Calibri"/>
                    <w:lang w:val="en-GB"/>
                  </w:rPr>
                </w:pPr>
              </w:p>
              <w:p w14:paraId="4B588932" w14:textId="644469A7" w:rsidR="004A5542" w:rsidRPr="00FF027F" w:rsidRDefault="004A5542" w:rsidP="006D42BD">
                <w:pPr>
                  <w:spacing w:after="0"/>
                  <w:rPr>
                    <w:rFonts w:ascii="Calibri" w:hAnsi="Calibri" w:cs="Calibri"/>
                    <w:lang w:val="en-GB"/>
                  </w:rPr>
                </w:pPr>
                <w:r w:rsidRPr="00FF027F">
                  <w:rPr>
                    <w:rFonts w:ascii="Calibri" w:hAnsi="Calibri" w:cs="Calibri"/>
                    <w:lang w:val="en-GB"/>
                  </w:rPr>
                  <w:t>3. Coordination of NRAs aiming to promote best practices for the implementation of REMIT and to ensure that NRAs carry out their tasks under REMIT in a coordinated and consistent way</w:t>
                </w:r>
                <w:r w:rsidR="00F36DF1" w:rsidRPr="00FF027F">
                  <w:rPr>
                    <w:rFonts w:ascii="Calibri" w:hAnsi="Calibri" w:cs="Calibri"/>
                    <w:lang w:val="en-GB"/>
                  </w:rPr>
                  <w:t>.</w:t>
                </w:r>
              </w:p>
              <w:p w14:paraId="1E9430B6" w14:textId="77777777" w:rsidR="004A5542" w:rsidRPr="00FF027F" w:rsidRDefault="004A5542" w:rsidP="006D42BD">
                <w:pPr>
                  <w:spacing w:after="0"/>
                  <w:rPr>
                    <w:rFonts w:ascii="Calibri" w:hAnsi="Calibri" w:cs="Calibri"/>
                    <w:lang w:val="en-GB"/>
                  </w:rPr>
                </w:pPr>
              </w:p>
              <w:p w14:paraId="361D7F06"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4.Cooperation with NRAs, ESMA, competent national financial market authorities, etc. with the aim of ensuring that a coordinated approach is taken to the enforcement of market abuse rules where actions relate to one or more wholesale energy products which are financial instruments.</w:t>
                </w:r>
              </w:p>
            </w:tc>
            <w:tc>
              <w:tcPr>
                <w:tcW w:w="1150" w:type="dxa"/>
                <w:gridSpan w:val="2"/>
              </w:tcPr>
              <w:p w14:paraId="249ED8E8" w14:textId="77777777" w:rsidR="004A5542" w:rsidRPr="00FF027F" w:rsidRDefault="004A5542" w:rsidP="006D42BD">
                <w:pPr>
                  <w:spacing w:after="0"/>
                  <w:rPr>
                    <w:rFonts w:ascii="Calibri" w:hAnsi="Calibri" w:cs="Calibri"/>
                    <w:lang w:val="en-GB"/>
                  </w:rPr>
                </w:pPr>
              </w:p>
              <w:p w14:paraId="36C8A590"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Avoid/</w:t>
                </w:r>
              </w:p>
              <w:p w14:paraId="4A844779"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Reduce</w:t>
                </w:r>
              </w:p>
            </w:tc>
            <w:tc>
              <w:tcPr>
                <w:tcW w:w="3200" w:type="dxa"/>
                <w:gridSpan w:val="2"/>
              </w:tcPr>
              <w:p w14:paraId="4FB6D5B5" w14:textId="77777777" w:rsidR="004A5542" w:rsidRPr="00FF027F" w:rsidRDefault="004A5542" w:rsidP="006D42BD">
                <w:pPr>
                  <w:spacing w:after="0"/>
                  <w:ind w:left="360"/>
                  <w:rPr>
                    <w:rFonts w:ascii="Calibri" w:hAnsi="Calibri" w:cs="Calibri"/>
                    <w:lang w:val="en-GB"/>
                  </w:rPr>
                </w:pPr>
              </w:p>
              <w:p w14:paraId="640B8F49" w14:textId="77777777" w:rsidR="004A5542" w:rsidRPr="00FF027F" w:rsidRDefault="004A5542" w:rsidP="004A5542">
                <w:pPr>
                  <w:numPr>
                    <w:ilvl w:val="0"/>
                    <w:numId w:val="64"/>
                  </w:numPr>
                  <w:spacing w:after="0" w:line="240" w:lineRule="auto"/>
                  <w:rPr>
                    <w:rFonts w:ascii="Calibri" w:hAnsi="Calibri" w:cs="Calibri"/>
                    <w:lang w:val="en-GB"/>
                  </w:rPr>
                </w:pPr>
                <w:r w:rsidRPr="00FF027F">
                  <w:rPr>
                    <w:rFonts w:ascii="Calibri" w:hAnsi="Calibri" w:cs="Calibri"/>
                    <w:lang w:val="en-GB"/>
                  </w:rPr>
                  <w:t>Raise awareness among National Regulatory Authorities, EU institutions, stakeholders, on the benefits of the proper implementation of REMIT</w:t>
                </w:r>
              </w:p>
              <w:p w14:paraId="2A84D5F0" w14:textId="77777777" w:rsidR="004A5542" w:rsidRPr="00FF027F" w:rsidRDefault="004A5542" w:rsidP="006D42BD">
                <w:pPr>
                  <w:spacing w:after="0"/>
                  <w:ind w:left="360"/>
                  <w:rPr>
                    <w:rFonts w:ascii="Calibri" w:hAnsi="Calibri" w:cs="Calibri"/>
                    <w:lang w:val="en-GB"/>
                  </w:rPr>
                </w:pPr>
              </w:p>
              <w:p w14:paraId="451019AD" w14:textId="77777777" w:rsidR="004A5542" w:rsidRPr="00FF027F" w:rsidRDefault="004A5542" w:rsidP="004A5542">
                <w:pPr>
                  <w:numPr>
                    <w:ilvl w:val="0"/>
                    <w:numId w:val="64"/>
                  </w:numPr>
                  <w:spacing w:after="0" w:line="240" w:lineRule="auto"/>
                  <w:rPr>
                    <w:rFonts w:ascii="Calibri" w:hAnsi="Calibri" w:cs="Calibri"/>
                    <w:lang w:val="en-GB"/>
                  </w:rPr>
                </w:pPr>
                <w:r w:rsidRPr="00FF027F">
                  <w:rPr>
                    <w:rFonts w:ascii="Calibri" w:hAnsi="Calibri" w:cs="Calibri"/>
                    <w:lang w:val="en-GB"/>
                  </w:rPr>
                  <w:t>Revision of the Work Programme and review of priorities in line with the available funds</w:t>
                </w:r>
              </w:p>
              <w:p w14:paraId="15B5D240" w14:textId="77777777" w:rsidR="004A5542" w:rsidRPr="00FF027F" w:rsidRDefault="004A5542" w:rsidP="006D42BD">
                <w:pPr>
                  <w:spacing w:after="0"/>
                  <w:ind w:left="360"/>
                  <w:rPr>
                    <w:rFonts w:ascii="Calibri" w:hAnsi="Calibri" w:cs="Calibri"/>
                    <w:lang w:val="en-GB"/>
                  </w:rPr>
                </w:pPr>
              </w:p>
            </w:tc>
            <w:tc>
              <w:tcPr>
                <w:tcW w:w="1701" w:type="dxa"/>
                <w:gridSpan w:val="2"/>
              </w:tcPr>
              <w:p w14:paraId="7B4F90E7" w14:textId="77777777" w:rsidR="004A5542" w:rsidRPr="00FF027F" w:rsidRDefault="004A5542" w:rsidP="007C16CF">
                <w:pPr>
                  <w:spacing w:after="0"/>
                  <w:jc w:val="center"/>
                  <w:rPr>
                    <w:rFonts w:ascii="Calibri" w:hAnsi="Calibri" w:cs="Calibri"/>
                    <w:lang w:val="en-GB"/>
                  </w:rPr>
                </w:pPr>
              </w:p>
              <w:p w14:paraId="08DC8C91" w14:textId="669BD4FF" w:rsidR="004A5542" w:rsidRPr="00FF027F" w:rsidRDefault="004A5542" w:rsidP="007C16CF">
                <w:pPr>
                  <w:spacing w:after="0"/>
                  <w:rPr>
                    <w:rFonts w:ascii="Calibri" w:hAnsi="Calibri" w:cs="Calibri"/>
                    <w:lang w:val="en-GB"/>
                  </w:rPr>
                </w:pPr>
                <w:r w:rsidRPr="00FF027F">
                  <w:rPr>
                    <w:rFonts w:ascii="Calibri" w:hAnsi="Calibri" w:cs="Calibri"/>
                    <w:lang w:val="en-GB"/>
                  </w:rPr>
                  <w:t>D</w:t>
                </w:r>
                <w:r w:rsidR="007C16CF" w:rsidRPr="00FF027F">
                  <w:rPr>
                    <w:rFonts w:ascii="Calibri" w:hAnsi="Calibri" w:cs="Calibri"/>
                    <w:lang w:val="en-GB"/>
                  </w:rPr>
                  <w:t>irector’s Office</w:t>
                </w:r>
                <w:r w:rsidRPr="00FF027F">
                  <w:rPr>
                    <w:rFonts w:ascii="Calibri" w:hAnsi="Calibri" w:cs="Calibri"/>
                    <w:lang w:val="en-GB"/>
                  </w:rPr>
                  <w:t>, Market Monitoring Department, IT section of the ADMIN department</w:t>
                </w:r>
              </w:p>
            </w:tc>
            <w:tc>
              <w:tcPr>
                <w:tcW w:w="2308" w:type="dxa"/>
                <w:gridSpan w:val="2"/>
              </w:tcPr>
              <w:p w14:paraId="100958C4" w14:textId="77777777" w:rsidR="004A5542" w:rsidRPr="00FF027F" w:rsidRDefault="004A5542" w:rsidP="006D42BD">
                <w:pPr>
                  <w:spacing w:after="0"/>
                  <w:rPr>
                    <w:rFonts w:ascii="Calibri" w:hAnsi="Calibri" w:cs="Calibri"/>
                    <w:lang w:val="en-GB"/>
                  </w:rPr>
                </w:pPr>
              </w:p>
              <w:p w14:paraId="5E9A392C" w14:textId="77777777" w:rsidR="004A5542" w:rsidRPr="00FF027F" w:rsidRDefault="004A5542" w:rsidP="006D42BD">
                <w:pPr>
                  <w:spacing w:after="0"/>
                  <w:rPr>
                    <w:rFonts w:ascii="Calibri" w:hAnsi="Calibri" w:cs="Calibri"/>
                    <w:lang w:val="en-GB"/>
                  </w:rPr>
                </w:pPr>
                <w:r w:rsidRPr="00FF027F">
                  <w:rPr>
                    <w:rFonts w:ascii="Calibri" w:hAnsi="Calibri" w:cs="Calibri"/>
                    <w:lang w:val="en-GB"/>
                  </w:rPr>
                  <w:t>Q1 - Q4</w:t>
                </w:r>
              </w:p>
            </w:tc>
          </w:tr>
        </w:tbl>
        <w:p w14:paraId="01A3967F" w14:textId="77777777" w:rsidR="004A5542" w:rsidRPr="00FF027F" w:rsidRDefault="004A5542" w:rsidP="004A5542">
          <w:pPr>
            <w:rPr>
              <w:lang w:val="en-GB"/>
            </w:rPr>
          </w:pPr>
          <w:r w:rsidRPr="00FF027F">
            <w:rPr>
              <w:lang w:val="en-GB"/>
            </w:rPr>
            <w:br w:type="page"/>
          </w:r>
        </w:p>
        <w:tbl>
          <w:tblPr>
            <w:tblW w:w="1566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44"/>
            <w:gridCol w:w="1701"/>
            <w:gridCol w:w="2165"/>
            <w:gridCol w:w="1150"/>
            <w:gridCol w:w="3200"/>
            <w:gridCol w:w="1701"/>
            <w:gridCol w:w="2308"/>
          </w:tblGrid>
          <w:tr w:rsidR="004A5542" w:rsidRPr="00FF027F" w14:paraId="240C542D" w14:textId="77777777" w:rsidTr="006D42BD">
            <w:trPr>
              <w:jc w:val="center"/>
            </w:trPr>
            <w:tc>
              <w:tcPr>
                <w:tcW w:w="15669" w:type="dxa"/>
                <w:gridSpan w:val="7"/>
              </w:tcPr>
              <w:tbl>
                <w:tblPr>
                  <w:tblW w:w="1569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46"/>
                  <w:gridCol w:w="1702"/>
                  <w:gridCol w:w="2181"/>
                  <w:gridCol w:w="1151"/>
                  <w:gridCol w:w="7219"/>
                </w:tblGrid>
                <w:tr w:rsidR="00F36DF1" w:rsidRPr="00FF027F" w14:paraId="58FC597C" w14:textId="77777777" w:rsidTr="006D42BD">
                  <w:trPr>
                    <w:trHeight w:val="578"/>
                    <w:jc w:val="center"/>
                  </w:trPr>
                  <w:tc>
                    <w:tcPr>
                      <w:tcW w:w="3444" w:type="dxa"/>
                      <w:shd w:val="clear" w:color="auto" w:fill="C6D9F1"/>
                      <w:vAlign w:val="center"/>
                    </w:tcPr>
                    <w:p w14:paraId="743ED49D" w14:textId="55A95627" w:rsidR="00F36DF1" w:rsidRPr="00FF027F" w:rsidRDefault="00F36DF1" w:rsidP="00F36DF1">
                      <w:pPr>
                        <w:spacing w:after="0"/>
                        <w:jc w:val="center"/>
                        <w:rPr>
                          <w:rFonts w:ascii="Calibri" w:hAnsi="Calibri" w:cs="Calibri"/>
                          <w:b/>
                          <w:lang w:val="en-GB"/>
                        </w:rPr>
                      </w:pPr>
                      <w:r w:rsidRPr="00FF027F">
                        <w:rPr>
                          <w:rFonts w:ascii="Calibri" w:hAnsi="Calibri" w:cs="Calibri"/>
                          <w:b/>
                          <w:lang w:val="en-GB"/>
                        </w:rPr>
                        <w:t>Risk Description</w:t>
                      </w:r>
                    </w:p>
                    <w:p w14:paraId="296F931B" w14:textId="77777777" w:rsidR="00F36DF1" w:rsidRPr="00FF027F" w:rsidRDefault="00F36DF1" w:rsidP="00F36DF1">
                      <w:pPr>
                        <w:spacing w:after="0"/>
                        <w:jc w:val="center"/>
                        <w:rPr>
                          <w:rFonts w:ascii="Calibri" w:hAnsi="Calibri" w:cs="Calibri"/>
                          <w:lang w:val="en-GB"/>
                        </w:rPr>
                      </w:pPr>
                    </w:p>
                  </w:tc>
                  <w:tc>
                    <w:tcPr>
                      <w:tcW w:w="1701" w:type="dxa"/>
                      <w:shd w:val="clear" w:color="auto" w:fill="C6D9F1"/>
                      <w:vAlign w:val="center"/>
                    </w:tcPr>
                    <w:p w14:paraId="386B4741" w14:textId="0DC7F339" w:rsidR="00F36DF1" w:rsidRPr="00FF027F" w:rsidRDefault="00F36DF1" w:rsidP="00F36DF1">
                      <w:pPr>
                        <w:spacing w:after="0"/>
                        <w:jc w:val="center"/>
                        <w:rPr>
                          <w:rFonts w:ascii="Calibri" w:hAnsi="Calibri" w:cs="Calibri"/>
                          <w:b/>
                          <w:lang w:val="en-GB"/>
                        </w:rPr>
                      </w:pPr>
                      <w:r w:rsidRPr="00FF027F">
                        <w:rPr>
                          <w:rFonts w:ascii="Calibri" w:hAnsi="Calibri" w:cs="Calibri"/>
                          <w:b/>
                          <w:lang w:val="en-GB"/>
                        </w:rPr>
                        <w:t>Risk type</w:t>
                      </w:r>
                    </w:p>
                    <w:p w14:paraId="0699574B" w14:textId="77777777" w:rsidR="00F36DF1" w:rsidRPr="00FF027F" w:rsidRDefault="00F36DF1" w:rsidP="00F36DF1">
                      <w:pPr>
                        <w:spacing w:after="0"/>
                        <w:jc w:val="center"/>
                        <w:rPr>
                          <w:rFonts w:ascii="Calibri" w:hAnsi="Calibri" w:cs="Calibri"/>
                          <w:lang w:val="en-GB"/>
                        </w:rPr>
                      </w:pPr>
                    </w:p>
                  </w:tc>
                  <w:tc>
                    <w:tcPr>
                      <w:tcW w:w="2180" w:type="dxa"/>
                      <w:shd w:val="clear" w:color="auto" w:fill="C6D9F1"/>
                      <w:vAlign w:val="center"/>
                    </w:tcPr>
                    <w:p w14:paraId="43B68115" w14:textId="77777777" w:rsidR="00F36DF1" w:rsidRPr="00FF027F" w:rsidRDefault="00F36DF1" w:rsidP="00F36DF1">
                      <w:pPr>
                        <w:spacing w:after="0"/>
                        <w:jc w:val="center"/>
                        <w:rPr>
                          <w:rFonts w:ascii="Calibri" w:hAnsi="Calibri" w:cs="Calibri"/>
                          <w:b/>
                          <w:lang w:val="en-GB"/>
                        </w:rPr>
                      </w:pPr>
                      <w:r w:rsidRPr="00FF027F">
                        <w:rPr>
                          <w:rFonts w:ascii="Calibri" w:hAnsi="Calibri" w:cs="Calibri"/>
                          <w:b/>
                          <w:lang w:val="en-GB"/>
                        </w:rPr>
                        <w:t>Activity/Objective</w:t>
                      </w:r>
                    </w:p>
                    <w:p w14:paraId="4B82DC3E" w14:textId="77777777" w:rsidR="00F36DF1" w:rsidRPr="00FF027F" w:rsidRDefault="00F36DF1" w:rsidP="00F36DF1">
                      <w:pPr>
                        <w:spacing w:after="0"/>
                        <w:jc w:val="center"/>
                        <w:rPr>
                          <w:rFonts w:ascii="Calibri" w:hAnsi="Calibri" w:cs="Calibri"/>
                          <w:b/>
                          <w:lang w:val="en-GB"/>
                        </w:rPr>
                      </w:pPr>
                      <w:r w:rsidRPr="00FF027F">
                        <w:rPr>
                          <w:rFonts w:ascii="Calibri" w:hAnsi="Calibri" w:cs="Calibri"/>
                          <w:b/>
                          <w:lang w:val="en-GB"/>
                        </w:rPr>
                        <w:t>affected</w:t>
                      </w:r>
                    </w:p>
                  </w:tc>
                  <w:tc>
                    <w:tcPr>
                      <w:tcW w:w="1150" w:type="dxa"/>
                      <w:shd w:val="clear" w:color="auto" w:fill="C6D9F1"/>
                      <w:vAlign w:val="center"/>
                    </w:tcPr>
                    <w:p w14:paraId="764819A7" w14:textId="4ACA8050" w:rsidR="00F36DF1" w:rsidRPr="00FF027F" w:rsidRDefault="00F36DF1" w:rsidP="00F36DF1">
                      <w:pPr>
                        <w:spacing w:after="0"/>
                        <w:jc w:val="center"/>
                        <w:rPr>
                          <w:rFonts w:ascii="Calibri" w:hAnsi="Calibri" w:cs="Calibri"/>
                          <w:b/>
                          <w:lang w:val="en-GB"/>
                        </w:rPr>
                      </w:pPr>
                      <w:r w:rsidRPr="00FF027F">
                        <w:rPr>
                          <w:rFonts w:ascii="Calibri" w:hAnsi="Calibri" w:cs="Calibri"/>
                          <w:b/>
                          <w:lang w:val="en-GB"/>
                        </w:rPr>
                        <w:t>Risk Response</w:t>
                      </w:r>
                    </w:p>
                  </w:tc>
                  <w:tc>
                    <w:tcPr>
                      <w:tcW w:w="7215" w:type="dxa"/>
                      <w:shd w:val="clear" w:color="auto" w:fill="C6D9F1"/>
                      <w:vAlign w:val="center"/>
                    </w:tcPr>
                    <w:p w14:paraId="470D016C" w14:textId="77777777" w:rsidR="00F36DF1" w:rsidRPr="00FF027F" w:rsidRDefault="00F36DF1" w:rsidP="00F36DF1">
                      <w:pPr>
                        <w:spacing w:after="0"/>
                        <w:jc w:val="center"/>
                        <w:rPr>
                          <w:rFonts w:ascii="Calibri" w:hAnsi="Calibri" w:cs="Calibri"/>
                          <w:b/>
                          <w:lang w:val="en-GB"/>
                        </w:rPr>
                      </w:pPr>
                      <w:r w:rsidRPr="00FF027F">
                        <w:rPr>
                          <w:rFonts w:ascii="Calibri" w:hAnsi="Calibri" w:cs="Calibri"/>
                          <w:b/>
                          <w:lang w:val="en-GB"/>
                        </w:rPr>
                        <w:t>Action Plan Summary</w:t>
                      </w:r>
                    </w:p>
                  </w:tc>
                </w:tr>
              </w:tbl>
              <w:p w14:paraId="7BD135DD" w14:textId="77777777" w:rsidR="004A5542" w:rsidRPr="00FF027F" w:rsidRDefault="004A5542" w:rsidP="006D42BD">
                <w:pPr>
                  <w:spacing w:before="120" w:after="120"/>
                  <w:rPr>
                    <w:rFonts w:ascii="Calibri" w:hAnsi="Calibri" w:cs="Calibri"/>
                    <w:b/>
                    <w:caps/>
                    <w:szCs w:val="24"/>
                    <w:u w:val="single"/>
                    <w:lang w:val="en-GB"/>
                  </w:rPr>
                </w:pPr>
                <w:r w:rsidRPr="00FF027F">
                  <w:rPr>
                    <w:rFonts w:ascii="Calibri" w:hAnsi="Calibri" w:cs="Calibri"/>
                    <w:b/>
                    <w:caps/>
                    <w:szCs w:val="24"/>
                    <w:u w:val="single"/>
                    <w:lang w:val="en-GB"/>
                  </w:rPr>
                  <w:t>HORIZONTAL MATTERS</w:t>
                </w:r>
              </w:p>
            </w:tc>
          </w:tr>
          <w:tr w:rsidR="004A5542" w:rsidRPr="00FF027F" w14:paraId="33B78971" w14:textId="77777777" w:rsidTr="006D42BD">
            <w:trPr>
              <w:jc w:val="center"/>
            </w:trPr>
            <w:tc>
              <w:tcPr>
                <w:tcW w:w="3444" w:type="dxa"/>
              </w:tcPr>
              <w:p w14:paraId="08060F27" w14:textId="77777777" w:rsidR="004A5542" w:rsidRPr="00FF027F" w:rsidRDefault="004A5542" w:rsidP="006D42BD">
                <w:pPr>
                  <w:spacing w:after="0"/>
                  <w:ind w:left="720"/>
                  <w:rPr>
                    <w:rFonts w:ascii="Calibri" w:hAnsi="Calibri" w:cs="Calibri"/>
                    <w:b/>
                    <w:sz w:val="16"/>
                    <w:szCs w:val="16"/>
                    <w:lang w:val="en-GB" w:eastAsia="es-ES_tradnl"/>
                  </w:rPr>
                </w:pPr>
              </w:p>
              <w:p w14:paraId="6B80059C" w14:textId="5A294A10" w:rsidR="004A5542" w:rsidRPr="00FF027F" w:rsidRDefault="004A5542" w:rsidP="004A5542">
                <w:pPr>
                  <w:numPr>
                    <w:ilvl w:val="0"/>
                    <w:numId w:val="65"/>
                  </w:numPr>
                  <w:spacing w:after="120" w:line="240" w:lineRule="auto"/>
                  <w:jc w:val="both"/>
                  <w:rPr>
                    <w:rFonts w:ascii="Calibri" w:hAnsi="Calibri" w:cs="Calibri"/>
                    <w:b/>
                    <w:szCs w:val="24"/>
                    <w:lang w:val="en-GB" w:eastAsia="es-ES_tradnl"/>
                  </w:rPr>
                </w:pPr>
                <w:r w:rsidRPr="00FF027F">
                  <w:rPr>
                    <w:rFonts w:ascii="Calibri" w:hAnsi="Calibri" w:cs="Calibri"/>
                    <w:b/>
                    <w:szCs w:val="24"/>
                    <w:lang w:val="en-GB" w:eastAsia="es-ES_tradnl"/>
                  </w:rPr>
                  <w:t>Conflict</w:t>
                </w:r>
                <w:r w:rsidR="000D35E2" w:rsidRPr="00FF027F">
                  <w:rPr>
                    <w:rFonts w:ascii="Calibri" w:hAnsi="Calibri" w:cs="Calibri"/>
                    <w:b/>
                    <w:szCs w:val="24"/>
                    <w:lang w:val="en-GB" w:eastAsia="es-ES_tradnl"/>
                  </w:rPr>
                  <w:t>s</w:t>
                </w:r>
                <w:r w:rsidRPr="00FF027F">
                  <w:rPr>
                    <w:rFonts w:ascii="Calibri" w:hAnsi="Calibri" w:cs="Calibri"/>
                    <w:b/>
                    <w:szCs w:val="24"/>
                    <w:lang w:val="en-GB" w:eastAsia="es-ES_tradnl"/>
                  </w:rPr>
                  <w:t xml:space="preserve"> of Interest</w:t>
                </w:r>
              </w:p>
              <w:p w14:paraId="29642596" w14:textId="77777777" w:rsidR="004A5542" w:rsidRPr="00FF027F" w:rsidRDefault="004A5542" w:rsidP="006D42BD">
                <w:pPr>
                  <w:spacing w:after="120"/>
                  <w:rPr>
                    <w:rFonts w:ascii="Calibri" w:hAnsi="Calibri" w:cs="Calibri"/>
                    <w:lang w:val="en-GB" w:eastAsia="es-ES_tradnl"/>
                  </w:rPr>
                </w:pPr>
                <w:r w:rsidRPr="00FF027F">
                  <w:rPr>
                    <w:rFonts w:ascii="Calibri" w:hAnsi="Calibri" w:cs="Calibri"/>
                    <w:lang w:val="en-GB" w:eastAsia="es-ES_tradnl"/>
                  </w:rPr>
                  <w:t>The management of (potential) conflicts of interests is crucial to ensure ACER’s independence and transparency, and to maintain the trust of stakeholders and citizens in the Agency’s integrity. The highest level of integrity is required to ensure the quality and credibility of regulatory measures. Conflicts of interest, actual or perceived, may put integrity of the decision-making process into question and should be avoided or, where this is not possible, effectively managed.</w:t>
                </w:r>
              </w:p>
            </w:tc>
            <w:tc>
              <w:tcPr>
                <w:tcW w:w="1701" w:type="dxa"/>
              </w:tcPr>
              <w:p w14:paraId="0202C556" w14:textId="77777777" w:rsidR="004A5542" w:rsidRPr="00FF027F" w:rsidRDefault="004A5542" w:rsidP="006D42BD">
                <w:pPr>
                  <w:spacing w:after="0"/>
                  <w:rPr>
                    <w:rFonts w:ascii="Calibri" w:hAnsi="Calibri" w:cs="Calibri"/>
                    <w:szCs w:val="24"/>
                    <w:lang w:val="en-GB"/>
                  </w:rPr>
                </w:pPr>
              </w:p>
              <w:p w14:paraId="3F591F8D" w14:textId="77777777" w:rsidR="004A5542" w:rsidRPr="00FF027F" w:rsidRDefault="004A5542" w:rsidP="006D42BD">
                <w:pPr>
                  <w:spacing w:after="0"/>
                  <w:rPr>
                    <w:rFonts w:ascii="Calibri" w:hAnsi="Calibri" w:cs="Calibri"/>
                    <w:szCs w:val="24"/>
                    <w:lang w:val="en-GB"/>
                  </w:rPr>
                </w:pPr>
              </w:p>
              <w:p w14:paraId="591C3D9D" w14:textId="77777777" w:rsidR="004A5542" w:rsidRPr="00FF027F" w:rsidRDefault="004A5542" w:rsidP="006D42BD">
                <w:pPr>
                  <w:spacing w:after="0"/>
                  <w:rPr>
                    <w:rFonts w:ascii="Calibri" w:hAnsi="Calibri" w:cs="Calibri"/>
                    <w:szCs w:val="24"/>
                    <w:lang w:val="en-GB"/>
                  </w:rPr>
                </w:pPr>
                <w:r w:rsidRPr="00FF027F">
                  <w:rPr>
                    <w:rFonts w:ascii="Calibri" w:hAnsi="Calibri" w:cs="Calibri"/>
                    <w:szCs w:val="24"/>
                    <w:lang w:val="en-GB"/>
                  </w:rPr>
                  <w:t>Internal &amp; External</w:t>
                </w:r>
              </w:p>
            </w:tc>
            <w:tc>
              <w:tcPr>
                <w:tcW w:w="2165" w:type="dxa"/>
              </w:tcPr>
              <w:p w14:paraId="2B749544" w14:textId="77777777" w:rsidR="004A5542" w:rsidRPr="00FF027F" w:rsidRDefault="004A5542" w:rsidP="006D42BD">
                <w:pPr>
                  <w:spacing w:after="0"/>
                  <w:rPr>
                    <w:rFonts w:ascii="Calibri" w:hAnsi="Calibri" w:cs="Calibri"/>
                    <w:szCs w:val="24"/>
                    <w:lang w:val="en-GB"/>
                  </w:rPr>
                </w:pPr>
              </w:p>
              <w:p w14:paraId="328F1464" w14:textId="77777777" w:rsidR="004A5542" w:rsidRPr="00FF027F" w:rsidRDefault="004A5542" w:rsidP="006D42BD">
                <w:pPr>
                  <w:spacing w:after="0"/>
                  <w:rPr>
                    <w:rFonts w:ascii="Calibri" w:hAnsi="Calibri" w:cs="Calibri"/>
                    <w:szCs w:val="24"/>
                    <w:lang w:val="en-GB"/>
                  </w:rPr>
                </w:pPr>
              </w:p>
              <w:p w14:paraId="360E0D21" w14:textId="77777777" w:rsidR="004A5542" w:rsidRPr="00FF027F" w:rsidRDefault="004A5542" w:rsidP="006D42BD">
                <w:pPr>
                  <w:spacing w:after="0"/>
                  <w:rPr>
                    <w:rFonts w:ascii="Calibri" w:hAnsi="Calibri" w:cs="Calibri"/>
                    <w:szCs w:val="24"/>
                    <w:lang w:val="en-GB"/>
                  </w:rPr>
                </w:pPr>
                <w:r w:rsidRPr="00FF027F">
                  <w:rPr>
                    <w:rFonts w:ascii="Calibri" w:hAnsi="Calibri" w:cs="Calibri"/>
                    <w:szCs w:val="24"/>
                    <w:lang w:val="en-GB"/>
                  </w:rPr>
                  <w:t>All regulatory activities, procurement procedures</w:t>
                </w:r>
              </w:p>
            </w:tc>
            <w:tc>
              <w:tcPr>
                <w:tcW w:w="1150" w:type="dxa"/>
              </w:tcPr>
              <w:p w14:paraId="541A8BCB" w14:textId="77777777" w:rsidR="004A5542" w:rsidRPr="00FF027F" w:rsidRDefault="004A5542" w:rsidP="006D42BD">
                <w:pPr>
                  <w:spacing w:after="0"/>
                  <w:rPr>
                    <w:rFonts w:ascii="Calibri" w:hAnsi="Calibri" w:cs="Calibri"/>
                    <w:szCs w:val="24"/>
                    <w:lang w:val="en-GB"/>
                  </w:rPr>
                </w:pPr>
              </w:p>
              <w:p w14:paraId="1971DEAA" w14:textId="77777777" w:rsidR="004A5542" w:rsidRPr="00FF027F" w:rsidRDefault="004A5542" w:rsidP="006D42BD">
                <w:pPr>
                  <w:spacing w:after="0"/>
                  <w:rPr>
                    <w:rFonts w:ascii="Calibri" w:hAnsi="Calibri" w:cs="Calibri"/>
                    <w:szCs w:val="24"/>
                    <w:lang w:val="en-GB"/>
                  </w:rPr>
                </w:pPr>
              </w:p>
              <w:p w14:paraId="4077D329" w14:textId="77777777" w:rsidR="004A5542" w:rsidRPr="00FF027F" w:rsidRDefault="004A5542" w:rsidP="006D42BD">
                <w:pPr>
                  <w:spacing w:after="0"/>
                  <w:rPr>
                    <w:rFonts w:ascii="Calibri" w:hAnsi="Calibri" w:cs="Calibri"/>
                    <w:szCs w:val="24"/>
                    <w:lang w:val="en-GB"/>
                  </w:rPr>
                </w:pPr>
                <w:r w:rsidRPr="00FF027F">
                  <w:rPr>
                    <w:rFonts w:ascii="Calibri" w:hAnsi="Calibri" w:cs="Calibri"/>
                    <w:szCs w:val="24"/>
                    <w:lang w:val="en-GB"/>
                  </w:rPr>
                  <w:t xml:space="preserve">Reduce </w:t>
                </w:r>
              </w:p>
            </w:tc>
            <w:tc>
              <w:tcPr>
                <w:tcW w:w="3200" w:type="dxa"/>
              </w:tcPr>
              <w:p w14:paraId="4FEC9699" w14:textId="77777777" w:rsidR="004A5542" w:rsidRPr="00FF027F" w:rsidRDefault="004A5542" w:rsidP="006D42BD">
                <w:pPr>
                  <w:spacing w:after="0"/>
                  <w:rPr>
                    <w:rFonts w:ascii="Calibri" w:hAnsi="Calibri" w:cs="Calibri"/>
                    <w:b/>
                    <w:szCs w:val="24"/>
                    <w:lang w:val="en-GB"/>
                  </w:rPr>
                </w:pPr>
              </w:p>
              <w:p w14:paraId="425A4918" w14:textId="77777777" w:rsidR="004A5542" w:rsidRPr="00FF027F" w:rsidRDefault="004A5542" w:rsidP="006D42BD">
                <w:pPr>
                  <w:spacing w:after="0"/>
                  <w:rPr>
                    <w:rFonts w:ascii="Calibri" w:hAnsi="Calibri" w:cs="Calibri"/>
                    <w:szCs w:val="24"/>
                    <w:lang w:val="en-GB"/>
                  </w:rPr>
                </w:pPr>
              </w:p>
              <w:p w14:paraId="1CB2EB92" w14:textId="77777777" w:rsidR="004A5542" w:rsidRPr="00FF027F" w:rsidRDefault="004A5542" w:rsidP="004A5542">
                <w:pPr>
                  <w:numPr>
                    <w:ilvl w:val="0"/>
                    <w:numId w:val="64"/>
                  </w:numPr>
                  <w:spacing w:after="0" w:line="240" w:lineRule="auto"/>
                  <w:rPr>
                    <w:rFonts w:ascii="Calibri" w:hAnsi="Calibri" w:cs="Calibri"/>
                    <w:szCs w:val="24"/>
                    <w:lang w:val="en-GB"/>
                  </w:rPr>
                </w:pPr>
                <w:r w:rsidRPr="00FF027F">
                  <w:rPr>
                    <w:rFonts w:ascii="Calibri" w:hAnsi="Calibri" w:cs="Calibri"/>
                    <w:szCs w:val="24"/>
                    <w:lang w:val="en-GB"/>
                  </w:rPr>
                  <w:t>Effective implementation of the Agency’s Conflict of Interest Policy (to be finalised in 2014), especially as concerns publication of Declarations of Interest, follow-up to potential conflicts of interest identified both in relation to ACER staff and board members.</w:t>
                </w:r>
              </w:p>
            </w:tc>
            <w:tc>
              <w:tcPr>
                <w:tcW w:w="1701" w:type="dxa"/>
              </w:tcPr>
              <w:p w14:paraId="17040F51" w14:textId="77777777" w:rsidR="004A5542" w:rsidRPr="00FF027F" w:rsidRDefault="004A5542" w:rsidP="006D42BD">
                <w:pPr>
                  <w:spacing w:after="0"/>
                  <w:rPr>
                    <w:rFonts w:ascii="Calibri" w:hAnsi="Calibri" w:cs="Calibri"/>
                    <w:szCs w:val="24"/>
                    <w:lang w:val="en-GB"/>
                  </w:rPr>
                </w:pPr>
              </w:p>
              <w:p w14:paraId="11CC50A6" w14:textId="77777777" w:rsidR="004A5542" w:rsidRPr="00FF027F" w:rsidRDefault="004A5542" w:rsidP="006D42BD">
                <w:pPr>
                  <w:spacing w:after="0"/>
                  <w:rPr>
                    <w:rFonts w:ascii="Calibri" w:hAnsi="Calibri" w:cs="Calibri"/>
                    <w:szCs w:val="24"/>
                    <w:lang w:val="en-GB"/>
                  </w:rPr>
                </w:pPr>
              </w:p>
              <w:p w14:paraId="663EA8F3" w14:textId="77777777" w:rsidR="004A5542" w:rsidRPr="00FF027F" w:rsidRDefault="004A5542" w:rsidP="006D42BD">
                <w:pPr>
                  <w:spacing w:after="0"/>
                  <w:rPr>
                    <w:rFonts w:ascii="Calibri" w:hAnsi="Calibri" w:cs="Calibri"/>
                    <w:szCs w:val="24"/>
                    <w:lang w:val="en-GB"/>
                  </w:rPr>
                </w:pPr>
                <w:r w:rsidRPr="00FF027F">
                  <w:rPr>
                    <w:rFonts w:ascii="Calibri" w:hAnsi="Calibri" w:cs="Calibri"/>
                    <w:szCs w:val="24"/>
                    <w:lang w:val="en-GB"/>
                  </w:rPr>
                  <w:t>Director’s Office, HR, Heads of Department</w:t>
                </w:r>
              </w:p>
            </w:tc>
            <w:tc>
              <w:tcPr>
                <w:tcW w:w="2308" w:type="dxa"/>
              </w:tcPr>
              <w:p w14:paraId="0CE45868" w14:textId="77777777" w:rsidR="004A5542" w:rsidRPr="00FF027F" w:rsidRDefault="004A5542" w:rsidP="006D42BD">
                <w:pPr>
                  <w:spacing w:after="0"/>
                  <w:rPr>
                    <w:rFonts w:ascii="Calibri" w:hAnsi="Calibri" w:cs="Calibri"/>
                    <w:szCs w:val="24"/>
                    <w:lang w:val="en-GB"/>
                  </w:rPr>
                </w:pPr>
              </w:p>
              <w:p w14:paraId="2F20575D" w14:textId="77777777" w:rsidR="004A5542" w:rsidRPr="00FF027F" w:rsidRDefault="004A5542" w:rsidP="006D42BD">
                <w:pPr>
                  <w:spacing w:after="0"/>
                  <w:rPr>
                    <w:rFonts w:ascii="Calibri" w:hAnsi="Calibri" w:cs="Calibri"/>
                    <w:szCs w:val="24"/>
                    <w:lang w:val="en-GB"/>
                  </w:rPr>
                </w:pPr>
              </w:p>
              <w:p w14:paraId="06C44C80" w14:textId="77777777" w:rsidR="004A5542" w:rsidRPr="00FF027F" w:rsidRDefault="004A5542" w:rsidP="006D42BD">
                <w:pPr>
                  <w:spacing w:after="0"/>
                  <w:rPr>
                    <w:rFonts w:ascii="Calibri" w:hAnsi="Calibri" w:cs="Calibri"/>
                    <w:szCs w:val="24"/>
                    <w:lang w:val="en-GB"/>
                  </w:rPr>
                </w:pPr>
                <w:r w:rsidRPr="00FF027F">
                  <w:rPr>
                    <w:rFonts w:ascii="Calibri" w:hAnsi="Calibri" w:cs="Calibri"/>
                    <w:szCs w:val="24"/>
                    <w:lang w:val="en-GB"/>
                  </w:rPr>
                  <w:t>Q2</w:t>
                </w:r>
              </w:p>
            </w:tc>
          </w:tr>
          <w:bookmarkEnd w:id="168"/>
          <w:bookmarkEnd w:id="169"/>
        </w:tbl>
        <w:p w14:paraId="23207DB5" w14:textId="77777777" w:rsidR="004A5542" w:rsidRPr="00FF027F" w:rsidRDefault="004A5542" w:rsidP="004A5542">
          <w:pPr>
            <w:pStyle w:val="Text1"/>
            <w:ind w:left="0"/>
            <w:rPr>
              <w:rFonts w:ascii="Calibri" w:hAnsi="Calibri" w:cs="Calibri"/>
              <w:i/>
              <w:sz w:val="22"/>
              <w:szCs w:val="22"/>
            </w:rPr>
          </w:pPr>
        </w:p>
        <w:p w14:paraId="5941DC0D" w14:textId="77777777" w:rsidR="004A5542" w:rsidRPr="00FF027F" w:rsidRDefault="004A5542">
          <w:pPr>
            <w:rPr>
              <w:rFonts w:ascii="Verdana" w:eastAsia="Times New Roman" w:hAnsi="Verdana" w:cs="Times New Roman Bold"/>
              <w:b/>
              <w:bCs/>
              <w:caps/>
              <w:color w:val="004494"/>
              <w:sz w:val="32"/>
              <w:szCs w:val="44"/>
              <w:lang w:val="en-GB" w:eastAsia="en-GB"/>
            </w:rPr>
          </w:pPr>
          <w:r w:rsidRPr="00FF027F">
            <w:rPr>
              <w:lang w:val="en-GB"/>
            </w:rPr>
            <w:br w:type="page"/>
          </w:r>
        </w:p>
        <w:p w14:paraId="7707D1CB" w14:textId="77777777" w:rsidR="004A5542" w:rsidRPr="00FF027F" w:rsidRDefault="004A5542" w:rsidP="003342ED">
          <w:pPr>
            <w:pStyle w:val="Heading1"/>
            <w:numPr>
              <w:ilvl w:val="0"/>
              <w:numId w:val="0"/>
            </w:numPr>
            <w:ind w:left="90"/>
            <w:sectPr w:rsidR="004A5542" w:rsidRPr="00FF027F" w:rsidSect="004A5542">
              <w:pgSz w:w="16839" w:h="11907" w:orient="landscape" w:code="9"/>
              <w:pgMar w:top="1440" w:right="1440" w:bottom="1440" w:left="1440" w:header="720" w:footer="720" w:gutter="0"/>
              <w:cols w:space="720"/>
              <w:titlePg/>
              <w:docGrid w:linePitch="360"/>
            </w:sectPr>
          </w:pPr>
        </w:p>
        <w:p w14:paraId="71C14D37" w14:textId="0991764A" w:rsidR="003342ED" w:rsidRPr="00FF027F" w:rsidRDefault="00E260EE" w:rsidP="003342ED">
          <w:pPr>
            <w:pStyle w:val="Heading1"/>
            <w:numPr>
              <w:ilvl w:val="0"/>
              <w:numId w:val="0"/>
            </w:numPr>
            <w:ind w:left="90"/>
          </w:pPr>
          <w:bookmarkStart w:id="170" w:name="_Toc396913831"/>
          <w:r w:rsidRPr="00FF027F">
            <w:t xml:space="preserve">ANNEX </w:t>
          </w:r>
          <w:r w:rsidR="00DF7B7F" w:rsidRPr="00FF027F">
            <w:t xml:space="preserve">X: </w:t>
          </w:r>
          <w:r w:rsidR="003342ED" w:rsidRPr="00FF027F">
            <w:t>OVERVIEW OF THE TASKS AND RESPONSIBILITIES ASSIGNED TO the AGENCY AND THEIR LEGAL BASES</w:t>
          </w:r>
          <w:bookmarkEnd w:id="170"/>
        </w:p>
        <w:p w14:paraId="698BDF7D" w14:textId="77777777" w:rsidR="00D62896" w:rsidRPr="00FF027F" w:rsidRDefault="00D62896" w:rsidP="00E932AB">
          <w:pPr>
            <w:spacing w:before="360" w:after="240" w:line="240" w:lineRule="auto"/>
            <w:jc w:val="both"/>
            <w:rPr>
              <w:rFonts w:ascii="Arial" w:eastAsia="Calibri" w:hAnsi="Arial" w:cs="Arial"/>
              <w:lang w:val="en-GB"/>
            </w:rPr>
          </w:pPr>
          <w:r w:rsidRPr="00FF027F">
            <w:rPr>
              <w:rFonts w:ascii="Arial" w:hAnsi="Arial" w:cs="Arial"/>
              <w:lang w:val="en-GB"/>
            </w:rPr>
            <w:t>Th</w:t>
          </w:r>
          <w:r w:rsidR="00A97F5A" w:rsidRPr="00FF027F">
            <w:rPr>
              <w:rFonts w:ascii="Arial" w:hAnsi="Arial" w:cs="Arial"/>
              <w:lang w:val="en-GB"/>
            </w:rPr>
            <w:t>i</w:t>
          </w:r>
          <w:r w:rsidRPr="00FF027F">
            <w:rPr>
              <w:rFonts w:ascii="Arial" w:hAnsi="Arial" w:cs="Arial"/>
              <w:lang w:val="en-GB"/>
            </w:rPr>
            <w:t>s Annex present</w:t>
          </w:r>
          <w:r w:rsidR="006F6AAB" w:rsidRPr="00FF027F">
            <w:rPr>
              <w:rFonts w:ascii="Arial" w:hAnsi="Arial" w:cs="Arial"/>
              <w:lang w:val="en-GB"/>
            </w:rPr>
            <w:t>s</w:t>
          </w:r>
          <w:r w:rsidRPr="00FF027F">
            <w:rPr>
              <w:rFonts w:ascii="Arial" w:hAnsi="Arial" w:cs="Arial"/>
              <w:lang w:val="en-GB"/>
            </w:rPr>
            <w:t xml:space="preserve"> an overview of the tasks </w:t>
          </w:r>
          <w:r w:rsidR="00E44C10" w:rsidRPr="00FF027F">
            <w:rPr>
              <w:rFonts w:ascii="Arial" w:hAnsi="Arial" w:cs="Arial"/>
              <w:lang w:val="en-GB"/>
            </w:rPr>
            <w:t xml:space="preserve">and responsibilities </w:t>
          </w:r>
          <w:r w:rsidRPr="00FF027F">
            <w:rPr>
              <w:rFonts w:ascii="Arial" w:hAnsi="Arial" w:cs="Arial"/>
              <w:lang w:val="en-GB"/>
            </w:rPr>
            <w:t>assigned to the Agency</w:t>
          </w:r>
          <w:r w:rsidR="006F6AAB" w:rsidRPr="00FF027F">
            <w:rPr>
              <w:rFonts w:ascii="Arial" w:hAnsi="Arial" w:cs="Arial"/>
              <w:lang w:val="en-GB"/>
            </w:rPr>
            <w:t xml:space="preserve"> t</w:t>
          </w:r>
          <w:r w:rsidR="00E44C10" w:rsidRPr="00FF027F">
            <w:rPr>
              <w:rFonts w:ascii="Arial" w:hAnsi="Arial" w:cs="Arial"/>
              <w:lang w:val="en-GB"/>
            </w:rPr>
            <w:t>ogether with their respective legal bases.</w:t>
          </w:r>
        </w:p>
        <w:tbl>
          <w:tblPr>
            <w:tblStyle w:val="TableGrid8"/>
            <w:tblW w:w="9135" w:type="dxa"/>
            <w:tblInd w:w="108" w:type="dxa"/>
            <w:tblLook w:val="01E0" w:firstRow="1" w:lastRow="1" w:firstColumn="1" w:lastColumn="1" w:noHBand="0" w:noVBand="0"/>
          </w:tblPr>
          <w:tblGrid>
            <w:gridCol w:w="3045"/>
            <w:gridCol w:w="3045"/>
            <w:gridCol w:w="3045"/>
          </w:tblGrid>
          <w:tr w:rsidR="00D62896" w:rsidRPr="00FF027F" w14:paraId="5D1CA057" w14:textId="77777777" w:rsidTr="00DB5E45">
            <w:trPr>
              <w:cnfStyle w:val="100000000000" w:firstRow="1" w:lastRow="0" w:firstColumn="0" w:lastColumn="0" w:oddVBand="0" w:evenVBand="0" w:oddHBand="0" w:evenHBand="0" w:firstRowFirstColumn="0" w:firstRowLastColumn="0" w:lastRowFirstColumn="0" w:lastRowLastColumn="0"/>
              <w:trHeight w:val="143"/>
            </w:trPr>
            <w:tc>
              <w:tcPr>
                <w:cnfStyle w:val="000100000000" w:firstRow="0" w:lastRow="0" w:firstColumn="0" w:lastColumn="1" w:oddVBand="0" w:evenVBand="0" w:oddHBand="0" w:evenHBand="0" w:firstRowFirstColumn="0" w:firstRowLastColumn="0" w:lastRowFirstColumn="0" w:lastRowLastColumn="0"/>
                <w:tcW w:w="9135" w:type="dxa"/>
                <w:gridSpan w:val="3"/>
                <w:tcBorders>
                  <w:bottom w:val="single" w:sz="6" w:space="0" w:color="000080"/>
                </w:tcBorders>
              </w:tcPr>
              <w:p w14:paraId="2D52D0AF" w14:textId="72EB8CEB" w:rsidR="00DA6A13" w:rsidRPr="00FF027F" w:rsidRDefault="00D62896" w:rsidP="00E932AB">
                <w:pPr>
                  <w:spacing w:line="240" w:lineRule="auto"/>
                  <w:ind w:left="284"/>
                  <w:jc w:val="left"/>
                  <w:rPr>
                    <w:rFonts w:ascii="Arial" w:hAnsi="Arial" w:cs="Arial"/>
                    <w:color w:val="FFFFFF" w:themeColor="background1"/>
                    <w:highlight w:val="darkBlue"/>
                    <w:lang w:val="en-GB"/>
                  </w:rPr>
                </w:pPr>
                <w:r w:rsidRPr="00FF027F">
                  <w:rPr>
                    <w:rFonts w:ascii="Arial" w:hAnsi="Arial" w:cs="Arial"/>
                    <w:highlight w:val="darkBlue"/>
                    <w:lang w:val="en-GB"/>
                  </w:rPr>
                  <w:t xml:space="preserve">A - </w:t>
                </w:r>
                <w:r w:rsidRPr="00FF027F">
                  <w:rPr>
                    <w:rFonts w:ascii="Arial" w:hAnsi="Arial" w:cs="Arial"/>
                    <w:color w:val="FFFFFF" w:themeColor="background1"/>
                    <w:highlight w:val="darkBlue"/>
                    <w:lang w:val="en-GB"/>
                  </w:rPr>
                  <w:t>Task</w:t>
                </w:r>
                <w:r w:rsidR="00E932AB" w:rsidRPr="00FF027F">
                  <w:rPr>
                    <w:rFonts w:ascii="Arial" w:hAnsi="Arial" w:cs="Arial"/>
                    <w:color w:val="FFFFFF" w:themeColor="background1"/>
                    <w:highlight w:val="darkBlue"/>
                    <w:lang w:val="en-GB"/>
                  </w:rPr>
                  <w:t>s assigned by the Third Package</w:t>
                </w:r>
              </w:p>
            </w:tc>
          </w:tr>
          <w:tr w:rsidR="00D62896" w:rsidRPr="00FF027F" w14:paraId="2CF2E02F" w14:textId="77777777" w:rsidTr="00DB5E45">
            <w:trPr>
              <w:trHeight w:val="143"/>
            </w:trPr>
            <w:tc>
              <w:tcPr>
                <w:tcW w:w="3045" w:type="dxa"/>
                <w:tcBorders>
                  <w:bottom w:val="single" w:sz="6" w:space="0" w:color="000080"/>
                </w:tcBorders>
                <w:shd w:val="clear" w:color="auto" w:fill="C6D9F1" w:themeFill="text2" w:themeFillTint="33"/>
              </w:tcPr>
              <w:p w14:paraId="2E40107C" w14:textId="77777777" w:rsidR="00D62896" w:rsidRPr="00FF027F" w:rsidRDefault="00D62896" w:rsidP="00DA6A13">
                <w:pPr>
                  <w:spacing w:line="240" w:lineRule="auto"/>
                  <w:ind w:left="284"/>
                  <w:jc w:val="left"/>
                  <w:rPr>
                    <w:rFonts w:ascii="Arial" w:hAnsi="Arial" w:cs="Arial"/>
                    <w:b/>
                    <w:lang w:val="en-GB"/>
                  </w:rPr>
                </w:pPr>
                <w:r w:rsidRPr="00FF027F">
                  <w:rPr>
                    <w:rFonts w:ascii="Arial" w:hAnsi="Arial" w:cs="Arial"/>
                    <w:b/>
                    <w:lang w:val="en-GB"/>
                  </w:rPr>
                  <w:t>Agency’s task</w:t>
                </w:r>
              </w:p>
            </w:tc>
            <w:tc>
              <w:tcPr>
                <w:tcW w:w="3045" w:type="dxa"/>
                <w:tcBorders>
                  <w:bottom w:val="single" w:sz="6" w:space="0" w:color="000080"/>
                </w:tcBorders>
                <w:shd w:val="clear" w:color="auto" w:fill="C6D9F1" w:themeFill="text2" w:themeFillTint="33"/>
              </w:tcPr>
              <w:p w14:paraId="6AC52795" w14:textId="77777777" w:rsidR="00D62896" w:rsidRPr="00FF027F" w:rsidRDefault="00D62896" w:rsidP="00DA6A13">
                <w:pPr>
                  <w:spacing w:line="240" w:lineRule="auto"/>
                  <w:ind w:left="284"/>
                  <w:jc w:val="left"/>
                  <w:rPr>
                    <w:rFonts w:ascii="Arial" w:hAnsi="Arial" w:cs="Arial"/>
                    <w:b/>
                    <w:lang w:val="en-GB"/>
                  </w:rPr>
                </w:pPr>
                <w:r w:rsidRPr="00FF027F">
                  <w:rPr>
                    <w:rFonts w:ascii="Arial" w:hAnsi="Arial" w:cs="Arial"/>
                    <w:b/>
                    <w:lang w:val="en-GB"/>
                  </w:rPr>
                  <w:t>Type of action</w:t>
                </w:r>
              </w:p>
            </w:tc>
            <w:tc>
              <w:tcPr>
                <w:cnfStyle w:val="000100000000" w:firstRow="0" w:lastRow="0" w:firstColumn="0" w:lastColumn="1" w:oddVBand="0" w:evenVBand="0" w:oddHBand="0" w:evenHBand="0" w:firstRowFirstColumn="0" w:firstRowLastColumn="0" w:lastRowFirstColumn="0" w:lastRowLastColumn="0"/>
                <w:tcW w:w="3045" w:type="dxa"/>
                <w:tcBorders>
                  <w:bottom w:val="single" w:sz="6" w:space="0" w:color="000080"/>
                </w:tcBorders>
                <w:shd w:val="clear" w:color="auto" w:fill="C6D9F1" w:themeFill="text2" w:themeFillTint="33"/>
              </w:tcPr>
              <w:p w14:paraId="288C645C"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Legal basis</w:t>
                </w:r>
              </w:p>
            </w:tc>
          </w:tr>
          <w:tr w:rsidR="00D62896" w:rsidRPr="00FF027F" w14:paraId="1E6AC128" w14:textId="77777777" w:rsidTr="00DB5E45">
            <w:trPr>
              <w:trHeight w:val="143"/>
            </w:trPr>
            <w:tc>
              <w:tcPr>
                <w:cnfStyle w:val="000100000000" w:firstRow="0" w:lastRow="0" w:firstColumn="0" w:lastColumn="1" w:oddVBand="0" w:evenVBand="0" w:oddHBand="0" w:evenHBand="0" w:firstRowFirstColumn="0" w:firstRowLastColumn="0" w:lastRowFirstColumn="0" w:lastRowLastColumn="0"/>
                <w:tcW w:w="9135" w:type="dxa"/>
                <w:gridSpan w:val="3"/>
                <w:shd w:val="clear" w:color="auto" w:fill="D9D9D9" w:themeFill="background1" w:themeFillShade="D9"/>
              </w:tcPr>
              <w:p w14:paraId="7C8F3ED7"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Tasks regarding ENTSOs</w:t>
                </w:r>
              </w:p>
            </w:tc>
          </w:tr>
          <w:tr w:rsidR="00D62896" w:rsidRPr="00FF027F" w14:paraId="4097CA08" w14:textId="77777777" w:rsidTr="00DB5E45">
            <w:trPr>
              <w:trHeight w:val="143"/>
            </w:trPr>
            <w:tc>
              <w:tcPr>
                <w:tcW w:w="3045" w:type="dxa"/>
              </w:tcPr>
              <w:p w14:paraId="0080E989"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an opinion to the Commission on draft statutes, list of members and draft rules of procedure of ENTSOs.</w:t>
                </w:r>
              </w:p>
            </w:tc>
            <w:tc>
              <w:tcPr>
                <w:tcW w:w="3045" w:type="dxa"/>
              </w:tcPr>
              <w:p w14:paraId="6C8BE39D"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045" w:type="dxa"/>
              </w:tcPr>
              <w:p w14:paraId="4DA7FCBD"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6(1) Reg 713/2009;</w:t>
                </w:r>
                <w:r w:rsidRPr="00FF027F">
                  <w:rPr>
                    <w:rFonts w:ascii="Arial" w:hAnsi="Arial" w:cs="Arial"/>
                    <w:b w:val="0"/>
                    <w:lang w:val="en-GB"/>
                  </w:rPr>
                  <w:br/>
                  <w:t>Article 5(2) Reg 714/2009, and Article 5(2) Reg 715/2009</w:t>
                </w:r>
              </w:p>
            </w:tc>
          </w:tr>
          <w:tr w:rsidR="00D62896" w:rsidRPr="00FF027F" w14:paraId="46724B8B" w14:textId="77777777" w:rsidTr="00DB5E45">
            <w:trPr>
              <w:trHeight w:val="143"/>
            </w:trPr>
            <w:tc>
              <w:tcPr>
                <w:tcW w:w="3045" w:type="dxa"/>
              </w:tcPr>
              <w:p w14:paraId="1A2E79EA"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Monitor the execution of ENTSOs tasks. </w:t>
                </w:r>
              </w:p>
            </w:tc>
            <w:tc>
              <w:tcPr>
                <w:tcW w:w="3045" w:type="dxa"/>
              </w:tcPr>
              <w:p w14:paraId="0407B3CB"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Monitoring</w:t>
                </w:r>
              </w:p>
            </w:tc>
            <w:tc>
              <w:tcPr>
                <w:cnfStyle w:val="000100000000" w:firstRow="0" w:lastRow="0" w:firstColumn="0" w:lastColumn="1" w:oddVBand="0" w:evenVBand="0" w:oddHBand="0" w:evenHBand="0" w:firstRowFirstColumn="0" w:firstRowLastColumn="0" w:lastRowFirstColumn="0" w:lastRowLastColumn="0"/>
                <w:tcW w:w="3045" w:type="dxa"/>
              </w:tcPr>
              <w:p w14:paraId="3689258C"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6(2) Reg 713/2009;</w:t>
                </w:r>
                <w:r w:rsidRPr="00FF027F">
                  <w:rPr>
                    <w:rFonts w:ascii="Arial" w:hAnsi="Arial" w:cs="Arial"/>
                    <w:b w:val="0"/>
                    <w:lang w:val="en-GB"/>
                  </w:rPr>
                  <w:br/>
                  <w:t>Article 9 Reg 714/2009, and Article 9 Reg 715/2009</w:t>
                </w:r>
              </w:p>
            </w:tc>
          </w:tr>
          <w:tr w:rsidR="00D62896" w:rsidRPr="00A81000" w14:paraId="7A8BD99D" w14:textId="77777777" w:rsidTr="00DB5E45">
            <w:trPr>
              <w:trHeight w:val="143"/>
            </w:trPr>
            <w:tc>
              <w:tcPr>
                <w:tcW w:w="3045" w:type="dxa"/>
              </w:tcPr>
              <w:p w14:paraId="29C8EB9D"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an opinion to ENTSOs on the draft annual work programme, the draft Community-wide network development plan and other relevant documents (e.g. annual summer and winter supply outlooks).</w:t>
                </w:r>
              </w:p>
            </w:tc>
            <w:tc>
              <w:tcPr>
                <w:tcW w:w="3045" w:type="dxa"/>
              </w:tcPr>
              <w:p w14:paraId="1C03B0E4"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 xml:space="preserve">Opinion </w:t>
                </w:r>
              </w:p>
            </w:tc>
            <w:tc>
              <w:tcPr>
                <w:cnfStyle w:val="000100000000" w:firstRow="0" w:lastRow="0" w:firstColumn="0" w:lastColumn="1" w:oddVBand="0" w:evenVBand="0" w:oddHBand="0" w:evenHBand="0" w:firstRowFirstColumn="0" w:firstRowLastColumn="0" w:lastRowFirstColumn="0" w:lastRowLastColumn="0"/>
                <w:tcW w:w="3045" w:type="dxa"/>
              </w:tcPr>
              <w:p w14:paraId="54A5DFE9"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en-GB"/>
                  </w:rPr>
                </w:pPr>
                <w:r w:rsidRPr="002F00DE">
                  <w:rPr>
                    <w:rFonts w:ascii="Arial" w:hAnsi="Arial" w:cs="Arial"/>
                    <w:b w:val="0"/>
                    <w:lang w:val="en-GB"/>
                  </w:rPr>
                  <w:t>Article 6(3)(b) Reg 713/2009; Article 9(2) Reg 714/</w:t>
                </w:r>
                <w:r w:rsidR="00DA6A13" w:rsidRPr="002F00DE">
                  <w:rPr>
                    <w:rFonts w:ascii="Arial" w:hAnsi="Arial" w:cs="Arial"/>
                    <w:b w:val="0"/>
                    <w:lang w:val="en-GB"/>
                  </w:rPr>
                  <w:t>2009; Article 9(2) Reg 715/2009</w:t>
                </w:r>
              </w:p>
            </w:tc>
          </w:tr>
          <w:tr w:rsidR="00D62896" w:rsidRPr="00A81000" w14:paraId="7A35F228" w14:textId="77777777" w:rsidTr="00DB5E45">
            <w:trPr>
              <w:trHeight w:val="143"/>
            </w:trPr>
            <w:tc>
              <w:tcPr>
                <w:tcW w:w="3045" w:type="dxa"/>
              </w:tcPr>
              <w:p w14:paraId="6228526C"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bCs/>
                    <w:lang w:val="en-GB"/>
                  </w:rPr>
                </w:pPr>
                <w:r w:rsidRPr="00FF027F">
                  <w:rPr>
                    <w:rFonts w:ascii="Arial" w:hAnsi="Arial" w:cs="Arial"/>
                    <w:lang w:val="en-GB"/>
                  </w:rPr>
                  <w:t>Provide, based on matter of facts, a duly reasoned opinion as well as recommendations to ENTSOs, the Commission, the European Parliament and the Council where it considers that the draft annual work programme or the draft Community-wide network development plan do not comply with the objectives or the relevant provisions of the Third Package.</w:t>
                </w:r>
              </w:p>
            </w:tc>
            <w:tc>
              <w:tcPr>
                <w:tcW w:w="3045" w:type="dxa"/>
              </w:tcPr>
              <w:p w14:paraId="3FEED2C6" w14:textId="77777777" w:rsidR="00D62896" w:rsidRPr="00FF027F" w:rsidRDefault="00D62896" w:rsidP="00DA6A13">
                <w:pPr>
                  <w:spacing w:line="240" w:lineRule="auto"/>
                  <w:jc w:val="left"/>
                  <w:rPr>
                    <w:rFonts w:ascii="Arial" w:hAnsi="Arial" w:cs="Arial"/>
                    <w:lang w:val="en-GB"/>
                  </w:rPr>
                </w:pPr>
                <w:r w:rsidRPr="00FF027F">
                  <w:rPr>
                    <w:rFonts w:ascii="Arial" w:hAnsi="Arial" w:cs="Arial"/>
                    <w:lang w:val="en-GB"/>
                  </w:rPr>
                  <w:t>Reasoned opinion</w:t>
                </w:r>
              </w:p>
              <w:p w14:paraId="4818D217" w14:textId="77777777" w:rsidR="00D62896" w:rsidRPr="00FF027F" w:rsidRDefault="00D62896" w:rsidP="00DA6A13">
                <w:pPr>
                  <w:spacing w:line="240" w:lineRule="auto"/>
                  <w:jc w:val="left"/>
                  <w:rPr>
                    <w:rFonts w:ascii="Arial" w:hAnsi="Arial" w:cs="Arial"/>
                    <w:lang w:val="en-GB"/>
                  </w:rPr>
                </w:pPr>
                <w:r w:rsidRPr="00FF027F">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045" w:type="dxa"/>
              </w:tcPr>
              <w:p w14:paraId="7B40A63A"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en-GB"/>
                  </w:rPr>
                </w:pPr>
                <w:r w:rsidRPr="002F00DE">
                  <w:rPr>
                    <w:rFonts w:ascii="Arial" w:hAnsi="Arial" w:cs="Arial"/>
                    <w:b w:val="0"/>
                    <w:lang w:val="en-GB"/>
                  </w:rPr>
                  <w:t>Article 6(4) Reg 713/2009; Article 9(2) Reg 714/2009; Article 9(2) Reg 715/2009</w:t>
                </w:r>
              </w:p>
            </w:tc>
          </w:tr>
          <w:tr w:rsidR="00D62896" w:rsidRPr="00FF027F" w14:paraId="793BBCAE" w14:textId="77777777" w:rsidTr="00DB5E45">
            <w:trPr>
              <w:trHeight w:val="143"/>
            </w:trPr>
            <w:tc>
              <w:tcPr>
                <w:tcW w:w="3045" w:type="dxa"/>
              </w:tcPr>
              <w:p w14:paraId="0297E8BD"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Monitor the implementation of Community-wide NDPs, investigate the reasons for inconsistencies between Community NDPs, and their implementation and make recommendations to TSOs, NRAs or other competent bodies.</w:t>
                </w:r>
              </w:p>
            </w:tc>
            <w:tc>
              <w:tcPr>
                <w:tcW w:w="3045" w:type="dxa"/>
              </w:tcPr>
              <w:p w14:paraId="18C8460C"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Monitoring</w:t>
                </w:r>
              </w:p>
              <w:p w14:paraId="5633F45B"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045" w:type="dxa"/>
              </w:tcPr>
              <w:p w14:paraId="2232282B"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6(8) Reg 713/2009</w:t>
                </w:r>
                <w:r w:rsidRPr="00FF027F">
                  <w:rPr>
                    <w:rFonts w:ascii="Arial" w:hAnsi="Arial" w:cs="Arial"/>
                    <w:b w:val="0"/>
                    <w:lang w:val="en-GB"/>
                  </w:rPr>
                  <w:br/>
                </w:r>
              </w:p>
            </w:tc>
          </w:tr>
          <w:tr w:rsidR="00D62896" w:rsidRPr="00A81000" w14:paraId="67660E8D" w14:textId="77777777" w:rsidTr="00DB5E45">
            <w:trPr>
              <w:trHeight w:val="143"/>
            </w:trPr>
            <w:tc>
              <w:tcPr>
                <w:tcW w:w="3045" w:type="dxa"/>
              </w:tcPr>
              <w:p w14:paraId="03C24EDC" w14:textId="77777777" w:rsidR="00D62896" w:rsidRPr="00FF027F" w:rsidRDefault="00D62896" w:rsidP="00B20647">
                <w:pPr>
                  <w:numPr>
                    <w:ilvl w:val="0"/>
                    <w:numId w:val="12"/>
                  </w:numPr>
                  <w:tabs>
                    <w:tab w:val="clear" w:pos="360"/>
                  </w:tabs>
                  <w:spacing w:line="240" w:lineRule="auto"/>
                  <w:ind w:left="709" w:right="170" w:hanging="425"/>
                  <w:jc w:val="left"/>
                  <w:rPr>
                    <w:rFonts w:ascii="Arial" w:eastAsiaTheme="minorHAnsi" w:hAnsi="Arial" w:cs="Arial"/>
                    <w:sz w:val="22"/>
                    <w:szCs w:val="22"/>
                    <w:lang w:val="en-GB" w:eastAsia="en-US"/>
                  </w:rPr>
                </w:pPr>
                <w:r w:rsidRPr="00FF027F">
                  <w:rPr>
                    <w:rFonts w:ascii="Arial" w:hAnsi="Arial" w:cs="Arial"/>
                    <w:lang w:val="en-GB"/>
                  </w:rPr>
                  <w:t>Provide opinions to NRAs – at NRAs’ request - and recommendations to ENTSOs or NRAs to ensure consistency of national 10yr-network development plans with the Community-wide 10yr-network development plans.</w:t>
                </w:r>
                <w:r w:rsidRPr="00FF027F" w:rsidDel="00BB4D00">
                  <w:rPr>
                    <w:rFonts w:ascii="Arial" w:hAnsi="Arial" w:cs="Arial"/>
                    <w:lang w:val="en-GB"/>
                  </w:rPr>
                  <w:t xml:space="preserve"> </w:t>
                </w:r>
              </w:p>
            </w:tc>
            <w:tc>
              <w:tcPr>
                <w:tcW w:w="3045" w:type="dxa"/>
              </w:tcPr>
              <w:p w14:paraId="5057F3E9"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 xml:space="preserve">Monitoring </w:t>
                </w:r>
              </w:p>
              <w:p w14:paraId="59350F01"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 xml:space="preserve">Opinion </w:t>
                </w:r>
              </w:p>
              <w:p w14:paraId="638D7FA3"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045" w:type="dxa"/>
              </w:tcPr>
              <w:p w14:paraId="46668E18"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fr-FR"/>
                  </w:rPr>
                </w:pPr>
                <w:r w:rsidRPr="002F00DE">
                  <w:rPr>
                    <w:rFonts w:ascii="Arial" w:hAnsi="Arial" w:cs="Arial"/>
                    <w:b w:val="0"/>
                    <w:lang w:val="en-GB"/>
                  </w:rPr>
                  <w:t>Article 8(11) Reg 714/2009;</w:t>
                </w:r>
                <w:r w:rsidRPr="002F00DE">
                  <w:rPr>
                    <w:rFonts w:ascii="Arial" w:hAnsi="Arial" w:cs="Arial"/>
                    <w:b w:val="0"/>
                    <w:lang w:val="en-GB"/>
                  </w:rPr>
                  <w:br/>
                  <w:t>Article 8(11) Reg 715/2009;</w:t>
                </w:r>
                <w:r w:rsidRPr="002F00DE">
                  <w:rPr>
                    <w:rFonts w:ascii="Arial" w:hAnsi="Arial" w:cs="Arial"/>
                    <w:b w:val="0"/>
                    <w:lang w:val="en-GB"/>
                  </w:rPr>
                  <w:br/>
                  <w:t>Article 22(5) Dir 2009/72;</w:t>
                </w:r>
                <w:r w:rsidRPr="002F00DE">
                  <w:rPr>
                    <w:rFonts w:ascii="Arial" w:hAnsi="Arial" w:cs="Arial"/>
                    <w:b w:val="0"/>
                    <w:lang w:val="en-GB"/>
                  </w:rPr>
                  <w:br/>
                  <w:t>Article 22(5) Dir 2009/73</w:t>
                </w:r>
              </w:p>
            </w:tc>
          </w:tr>
          <w:tr w:rsidR="00D62896" w:rsidRPr="00A81000" w14:paraId="6BB621F6" w14:textId="77777777" w:rsidTr="00DB5E45">
            <w:trPr>
              <w:trHeight w:val="143"/>
            </w:trPr>
            <w:tc>
              <w:tcPr>
                <w:tcW w:w="3045" w:type="dxa"/>
              </w:tcPr>
              <w:p w14:paraId="51491D46" w14:textId="14FF34C2"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Provide an opinion to ENTSOs on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 not relating to areas covered by a request addressed to the ENTSOs by the Commission.</w:t>
                </w:r>
              </w:p>
            </w:tc>
            <w:tc>
              <w:tcPr>
                <w:tcW w:w="3045" w:type="dxa"/>
              </w:tcPr>
              <w:p w14:paraId="7CF4EF67"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045" w:type="dxa"/>
              </w:tcPr>
              <w:p w14:paraId="5B912E9D"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en-GB"/>
                  </w:rPr>
                </w:pPr>
                <w:r w:rsidRPr="002F00DE">
                  <w:rPr>
                    <w:rFonts w:ascii="Arial" w:hAnsi="Arial" w:cs="Arial"/>
                    <w:b w:val="0"/>
                    <w:lang w:val="en-GB"/>
                  </w:rPr>
                  <w:t>Article 6(3)(a) Reg 713/2009;</w:t>
                </w:r>
                <w:r w:rsidRPr="002F00DE">
                  <w:rPr>
                    <w:rFonts w:ascii="Arial" w:hAnsi="Arial" w:cs="Arial"/>
                    <w:b w:val="0"/>
                    <w:lang w:val="en-GB"/>
                  </w:rPr>
                  <w:br/>
                  <w:t>Article 8(2) Reg 714/2009; Article 8(2) Reg 715/2009</w:t>
                </w:r>
              </w:p>
            </w:tc>
          </w:tr>
          <w:tr w:rsidR="00D62896" w:rsidRPr="00A81000" w14:paraId="50BA71F7" w14:textId="77777777" w:rsidTr="00DB5E45">
            <w:trPr>
              <w:trHeight w:val="143"/>
            </w:trPr>
            <w:tc>
              <w:tcPr>
                <w:tcW w:w="3045" w:type="dxa"/>
              </w:tcPr>
              <w:p w14:paraId="4541CDE8" w14:textId="6719A541"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Participate in the development of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 relating to areas covered by a request addressed to the ENTSOs by the Commission.</w:t>
                </w:r>
              </w:p>
            </w:tc>
            <w:tc>
              <w:tcPr>
                <w:tcW w:w="3045" w:type="dxa"/>
              </w:tcPr>
              <w:p w14:paraId="08851AB8"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Consultation</w:t>
                </w:r>
              </w:p>
            </w:tc>
            <w:tc>
              <w:tcPr>
                <w:cnfStyle w:val="000100000000" w:firstRow="0" w:lastRow="0" w:firstColumn="0" w:lastColumn="1" w:oddVBand="0" w:evenVBand="0" w:oddHBand="0" w:evenHBand="0" w:firstRowFirstColumn="0" w:firstRowLastColumn="0" w:lastRowFirstColumn="0" w:lastRowLastColumn="0"/>
                <w:tcW w:w="3045" w:type="dxa"/>
              </w:tcPr>
              <w:p w14:paraId="755ECBB9"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en-GB"/>
                  </w:rPr>
                </w:pPr>
                <w:r w:rsidRPr="002F00DE">
                  <w:rPr>
                    <w:rFonts w:ascii="Arial" w:hAnsi="Arial" w:cs="Arial"/>
                    <w:b w:val="0"/>
                    <w:lang w:val="en-GB"/>
                  </w:rPr>
                  <w:t>Article 6(4) Reg 713/2009;</w:t>
                </w:r>
                <w:r w:rsidRPr="002F00DE">
                  <w:rPr>
                    <w:rFonts w:ascii="Arial" w:hAnsi="Arial" w:cs="Arial"/>
                    <w:b w:val="0"/>
                    <w:lang w:val="en-GB"/>
                  </w:rPr>
                  <w:br/>
                  <w:t>Article 6 Reg 714/2009</w:t>
                </w:r>
                <w:r w:rsidRPr="002F00DE">
                  <w:rPr>
                    <w:rFonts w:ascii="Arial" w:hAnsi="Arial" w:cs="Arial"/>
                    <w:b w:val="0"/>
                    <w:lang w:val="en-GB"/>
                  </w:rPr>
                  <w:br/>
                  <w:t>Article 6 Reg 715/2009</w:t>
                </w:r>
              </w:p>
            </w:tc>
          </w:tr>
          <w:tr w:rsidR="00D62896" w:rsidRPr="00FF027F" w14:paraId="3F0EE7A1" w14:textId="77777777" w:rsidTr="00DB5E45">
            <w:trPr>
              <w:trHeight w:val="143"/>
            </w:trPr>
            <w:tc>
              <w:tcPr>
                <w:tcW w:w="3045" w:type="dxa"/>
              </w:tcPr>
              <w:p w14:paraId="1BB2F104" w14:textId="2F587D66" w:rsidR="00D62896" w:rsidRPr="00FF027F" w:rsidRDefault="00D62896" w:rsidP="0017513A">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Submit non-binding </w:t>
                </w:r>
                <w:r w:rsidR="0017513A" w:rsidRPr="00FF027F">
                  <w:rPr>
                    <w:rFonts w:ascii="Arial" w:hAnsi="Arial" w:cs="Arial"/>
                    <w:lang w:val="en-GB"/>
                  </w:rPr>
                  <w:t>F</w:t>
                </w:r>
                <w:r w:rsidRPr="00FF027F">
                  <w:rPr>
                    <w:rFonts w:ascii="Arial" w:hAnsi="Arial" w:cs="Arial"/>
                    <w:lang w:val="en-GB"/>
                  </w:rPr>
                  <w:t xml:space="preserve">ramework </w:t>
                </w:r>
                <w:r w:rsidR="0017513A" w:rsidRPr="00FF027F">
                  <w:rPr>
                    <w:rFonts w:ascii="Arial" w:hAnsi="Arial" w:cs="Arial"/>
                    <w:lang w:val="en-GB"/>
                  </w:rPr>
                  <w:t>G</w:t>
                </w:r>
                <w:r w:rsidRPr="00FF027F">
                  <w:rPr>
                    <w:rFonts w:ascii="Arial" w:hAnsi="Arial" w:cs="Arial"/>
                    <w:lang w:val="en-GB"/>
                  </w:rPr>
                  <w:t xml:space="preserve">uidelines to the Commission, carry out consultation on draft </w:t>
                </w:r>
                <w:r w:rsidR="0017513A" w:rsidRPr="00FF027F">
                  <w:rPr>
                    <w:rFonts w:ascii="Arial" w:hAnsi="Arial" w:cs="Arial"/>
                    <w:lang w:val="en-GB"/>
                  </w:rPr>
                  <w:t>F</w:t>
                </w:r>
                <w:r w:rsidRPr="00FF027F">
                  <w:rPr>
                    <w:rFonts w:ascii="Arial" w:hAnsi="Arial" w:cs="Arial"/>
                    <w:lang w:val="en-GB"/>
                  </w:rPr>
                  <w:t xml:space="preserve">ramework </w:t>
                </w:r>
                <w:r w:rsidR="0017513A" w:rsidRPr="00FF027F">
                  <w:rPr>
                    <w:rFonts w:ascii="Arial" w:hAnsi="Arial" w:cs="Arial"/>
                    <w:lang w:val="en-GB"/>
                  </w:rPr>
                  <w:t>G</w:t>
                </w:r>
                <w:r w:rsidRPr="00FF027F">
                  <w:rPr>
                    <w:rFonts w:ascii="Arial" w:hAnsi="Arial" w:cs="Arial"/>
                    <w:lang w:val="en-GB"/>
                  </w:rPr>
                  <w:t xml:space="preserve">uidelines; if necessary, review the </w:t>
                </w:r>
                <w:r w:rsidR="0017513A" w:rsidRPr="00FF027F">
                  <w:rPr>
                    <w:rFonts w:ascii="Arial" w:hAnsi="Arial" w:cs="Arial"/>
                    <w:lang w:val="en-GB"/>
                  </w:rPr>
                  <w:t>F</w:t>
                </w:r>
                <w:r w:rsidRPr="00FF027F">
                  <w:rPr>
                    <w:rFonts w:ascii="Arial" w:hAnsi="Arial" w:cs="Arial"/>
                    <w:lang w:val="en-GB"/>
                  </w:rPr>
                  <w:t xml:space="preserve">ramework </w:t>
                </w:r>
                <w:r w:rsidR="0017513A" w:rsidRPr="00FF027F">
                  <w:rPr>
                    <w:rFonts w:ascii="Arial" w:hAnsi="Arial" w:cs="Arial"/>
                    <w:lang w:val="en-GB"/>
                  </w:rPr>
                  <w:t>G</w:t>
                </w:r>
                <w:r w:rsidRPr="00FF027F">
                  <w:rPr>
                    <w:rFonts w:ascii="Arial" w:hAnsi="Arial" w:cs="Arial"/>
                    <w:lang w:val="en-GB"/>
                  </w:rPr>
                  <w:t>uidelines and re-submit them to the Commission.</w:t>
                </w:r>
              </w:p>
            </w:tc>
            <w:tc>
              <w:tcPr>
                <w:tcW w:w="3045" w:type="dxa"/>
              </w:tcPr>
              <w:p w14:paraId="3AD4E997"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Drafting</w:t>
                </w:r>
              </w:p>
              <w:p w14:paraId="1512161B"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Consultation</w:t>
                </w:r>
              </w:p>
            </w:tc>
            <w:tc>
              <w:tcPr>
                <w:cnfStyle w:val="000100000000" w:firstRow="0" w:lastRow="0" w:firstColumn="0" w:lastColumn="1" w:oddVBand="0" w:evenVBand="0" w:oddHBand="0" w:evenHBand="0" w:firstRowFirstColumn="0" w:firstRowLastColumn="0" w:lastRowFirstColumn="0" w:lastRowLastColumn="0"/>
                <w:tcW w:w="3045" w:type="dxa"/>
              </w:tcPr>
              <w:p w14:paraId="71E6D1E3"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6(4) Reg 713/2009;</w:t>
                </w:r>
                <w:r w:rsidRPr="00FF027F">
                  <w:rPr>
                    <w:rFonts w:ascii="Arial" w:hAnsi="Arial" w:cs="Arial"/>
                    <w:b w:val="0"/>
                    <w:lang w:val="en-GB"/>
                  </w:rPr>
                  <w:br/>
                  <w:t>Article 6(2) to (4) Reg 714/2009;</w:t>
                </w:r>
                <w:r w:rsidRPr="00FF027F">
                  <w:rPr>
                    <w:rFonts w:ascii="Arial" w:hAnsi="Arial" w:cs="Arial"/>
                    <w:b w:val="0"/>
                    <w:lang w:val="en-GB"/>
                  </w:rPr>
                  <w:br/>
                  <w:t>Article 6 (2) to (4) Reg 715/2009</w:t>
                </w:r>
              </w:p>
            </w:tc>
          </w:tr>
          <w:tr w:rsidR="00D62896" w:rsidRPr="002F00DE" w14:paraId="3CBEFD10" w14:textId="77777777" w:rsidTr="00DB5E45">
            <w:trPr>
              <w:trHeight w:val="143"/>
            </w:trPr>
            <w:tc>
              <w:tcPr>
                <w:tcW w:w="3045" w:type="dxa"/>
              </w:tcPr>
              <w:p w14:paraId="39D8D033" w14:textId="24BB3BC5" w:rsidR="00D62896" w:rsidRPr="002F00DE" w:rsidRDefault="00D62896" w:rsidP="002F00DE">
                <w:pPr>
                  <w:numPr>
                    <w:ilvl w:val="0"/>
                    <w:numId w:val="12"/>
                  </w:numPr>
                  <w:tabs>
                    <w:tab w:val="clear" w:pos="360"/>
                  </w:tabs>
                  <w:spacing w:line="240" w:lineRule="auto"/>
                  <w:ind w:left="709" w:right="170" w:hanging="425"/>
                  <w:jc w:val="left"/>
                  <w:rPr>
                    <w:rFonts w:ascii="Arial" w:hAnsi="Arial" w:cs="Arial"/>
                    <w:lang w:val="en-GB"/>
                  </w:rPr>
                </w:pPr>
                <w:r w:rsidRPr="002F00DE">
                  <w:rPr>
                    <w:rFonts w:ascii="Arial" w:hAnsi="Arial" w:cs="Arial"/>
                    <w:lang w:val="en-GB"/>
                  </w:rPr>
                  <w:t xml:space="preserve">Provide a reasoned opinion to ENTSOs on </w:t>
                </w:r>
                <w:r w:rsidR="0017513A" w:rsidRPr="002F00DE">
                  <w:rPr>
                    <w:rFonts w:ascii="Arial" w:hAnsi="Arial" w:cs="Arial"/>
                    <w:lang w:val="en-GB"/>
                  </w:rPr>
                  <w:t>N</w:t>
                </w:r>
                <w:r w:rsidRPr="002F00DE">
                  <w:rPr>
                    <w:rFonts w:ascii="Arial" w:hAnsi="Arial" w:cs="Arial"/>
                    <w:lang w:val="en-GB"/>
                  </w:rPr>
                  <w:t xml:space="preserve">etwork </w:t>
                </w:r>
                <w:r w:rsidR="0017513A" w:rsidRPr="002F00DE">
                  <w:rPr>
                    <w:rFonts w:ascii="Arial" w:hAnsi="Arial" w:cs="Arial"/>
                    <w:lang w:val="en-GB"/>
                  </w:rPr>
                  <w:t>C</w:t>
                </w:r>
                <w:r w:rsidRPr="002F00DE">
                  <w:rPr>
                    <w:rFonts w:ascii="Arial" w:hAnsi="Arial" w:cs="Arial"/>
                    <w:lang w:val="en-GB"/>
                  </w:rPr>
                  <w:t xml:space="preserve">odes developed on the basis of </w:t>
                </w:r>
                <w:r w:rsidR="0017513A" w:rsidRPr="002F00DE">
                  <w:rPr>
                    <w:rFonts w:ascii="Arial" w:hAnsi="Arial" w:cs="Arial"/>
                    <w:lang w:val="en-GB"/>
                  </w:rPr>
                  <w:t>F</w:t>
                </w:r>
                <w:r w:rsidRPr="002F00DE">
                  <w:rPr>
                    <w:rFonts w:ascii="Arial" w:hAnsi="Arial" w:cs="Arial"/>
                    <w:lang w:val="en-GB"/>
                  </w:rPr>
                  <w:t xml:space="preserve">ramework </w:t>
                </w:r>
                <w:r w:rsidR="0017513A" w:rsidRPr="002F00DE">
                  <w:rPr>
                    <w:rFonts w:ascii="Arial" w:hAnsi="Arial" w:cs="Arial"/>
                    <w:lang w:val="en-GB"/>
                  </w:rPr>
                  <w:t>G</w:t>
                </w:r>
                <w:r w:rsidRPr="002F00DE">
                  <w:rPr>
                    <w:rFonts w:ascii="Arial" w:hAnsi="Arial" w:cs="Arial"/>
                    <w:lang w:val="en-GB"/>
                  </w:rPr>
                  <w:t>uidelines.</w:t>
                </w:r>
              </w:p>
            </w:tc>
            <w:tc>
              <w:tcPr>
                <w:tcW w:w="3045" w:type="dxa"/>
              </w:tcPr>
              <w:p w14:paraId="4DB7FDA8" w14:textId="77777777" w:rsidR="00D62896" w:rsidRPr="002F00DE" w:rsidRDefault="00D62896" w:rsidP="002F00DE">
                <w:pPr>
                  <w:spacing w:line="240" w:lineRule="auto"/>
                  <w:ind w:left="284"/>
                  <w:jc w:val="left"/>
                  <w:rPr>
                    <w:rFonts w:ascii="Arial" w:hAnsi="Arial" w:cs="Arial"/>
                    <w:lang w:val="en-GB"/>
                  </w:rPr>
                </w:pPr>
                <w:r w:rsidRPr="002F00DE">
                  <w:rPr>
                    <w:rFonts w:ascii="Arial" w:hAnsi="Arial" w:cs="Arial"/>
                    <w:lang w:val="en-GB"/>
                  </w:rPr>
                  <w:t>Reasoned opinion</w:t>
                </w:r>
              </w:p>
            </w:tc>
            <w:tc>
              <w:tcPr>
                <w:cnfStyle w:val="000100000000" w:firstRow="0" w:lastRow="0" w:firstColumn="0" w:lastColumn="1" w:oddVBand="0" w:evenVBand="0" w:oddHBand="0" w:evenHBand="0" w:firstRowFirstColumn="0" w:firstRowLastColumn="0" w:lastRowFirstColumn="0" w:lastRowLastColumn="0"/>
                <w:tcW w:w="3045" w:type="dxa"/>
              </w:tcPr>
              <w:p w14:paraId="268AFAA9" w14:textId="77777777" w:rsidR="00D62896" w:rsidRPr="002F00DE" w:rsidRDefault="00D62896" w:rsidP="002F00DE">
                <w:pPr>
                  <w:keepLines w:val="0"/>
                  <w:tabs>
                    <w:tab w:val="clear" w:pos="1985"/>
                    <w:tab w:val="clear" w:pos="5103"/>
                  </w:tabs>
                  <w:spacing w:line="240" w:lineRule="auto"/>
                  <w:ind w:left="284"/>
                  <w:jc w:val="left"/>
                  <w:rPr>
                    <w:rFonts w:ascii="Arial" w:hAnsi="Arial" w:cs="Arial"/>
                    <w:b w:val="0"/>
                    <w:lang w:val="en-GB"/>
                  </w:rPr>
                </w:pPr>
                <w:r w:rsidRPr="002F00DE">
                  <w:rPr>
                    <w:rFonts w:ascii="Arial" w:hAnsi="Arial" w:cs="Arial"/>
                    <w:b w:val="0"/>
                    <w:lang w:val="en-GB"/>
                  </w:rPr>
                  <w:t>Article 6(4) Reg 713/2009;</w:t>
                </w:r>
                <w:r w:rsidRPr="002F00DE">
                  <w:rPr>
                    <w:rFonts w:ascii="Arial" w:hAnsi="Arial" w:cs="Arial"/>
                    <w:b w:val="0"/>
                    <w:lang w:val="en-GB"/>
                  </w:rPr>
                  <w:br/>
                  <w:t>Article 6(7) Reg 714/2009; Article 6(7) Reg 715/2009</w:t>
                </w:r>
              </w:p>
            </w:tc>
          </w:tr>
          <w:tr w:rsidR="00D62896" w:rsidRPr="002F00DE" w14:paraId="763B6CFA" w14:textId="77777777" w:rsidTr="00DB5E45">
            <w:trPr>
              <w:trHeight w:val="143"/>
            </w:trPr>
            <w:tc>
              <w:tcPr>
                <w:tcW w:w="3045" w:type="dxa"/>
              </w:tcPr>
              <w:p w14:paraId="05FF1639" w14:textId="399BE646" w:rsidR="00D62896" w:rsidRPr="002F00DE" w:rsidRDefault="00D62896" w:rsidP="002F00DE">
                <w:pPr>
                  <w:numPr>
                    <w:ilvl w:val="0"/>
                    <w:numId w:val="12"/>
                  </w:numPr>
                  <w:tabs>
                    <w:tab w:val="clear" w:pos="360"/>
                  </w:tabs>
                  <w:spacing w:line="240" w:lineRule="auto"/>
                  <w:ind w:left="709" w:right="170" w:hanging="425"/>
                  <w:jc w:val="left"/>
                  <w:rPr>
                    <w:rFonts w:ascii="Arial" w:hAnsi="Arial" w:cs="Arial"/>
                    <w:lang w:val="en-GB"/>
                  </w:rPr>
                </w:pPr>
                <w:r w:rsidRPr="002F00DE">
                  <w:rPr>
                    <w:rFonts w:ascii="Arial" w:hAnsi="Arial" w:cs="Arial"/>
                    <w:lang w:val="en-GB"/>
                  </w:rPr>
                  <w:t xml:space="preserve">Submit </w:t>
                </w:r>
                <w:r w:rsidR="0017513A" w:rsidRPr="002F00DE">
                  <w:rPr>
                    <w:rFonts w:ascii="Arial" w:hAnsi="Arial" w:cs="Arial"/>
                    <w:lang w:val="en-GB"/>
                  </w:rPr>
                  <w:t>N</w:t>
                </w:r>
                <w:r w:rsidRPr="002F00DE">
                  <w:rPr>
                    <w:rFonts w:ascii="Arial" w:hAnsi="Arial" w:cs="Arial"/>
                    <w:lang w:val="en-GB"/>
                  </w:rPr>
                  <w:t xml:space="preserve">etwork </w:t>
                </w:r>
                <w:r w:rsidR="0017513A" w:rsidRPr="002F00DE">
                  <w:rPr>
                    <w:rFonts w:ascii="Arial" w:hAnsi="Arial" w:cs="Arial"/>
                    <w:lang w:val="en-GB"/>
                  </w:rPr>
                  <w:t>C</w:t>
                </w:r>
                <w:r w:rsidRPr="002F00DE">
                  <w:rPr>
                    <w:rFonts w:ascii="Arial" w:hAnsi="Arial" w:cs="Arial"/>
                    <w:lang w:val="en-GB"/>
                  </w:rPr>
                  <w:t xml:space="preserve">odes developed by ENTSOs on the basis of </w:t>
                </w:r>
                <w:r w:rsidR="0017513A" w:rsidRPr="002F00DE">
                  <w:rPr>
                    <w:rFonts w:ascii="Arial" w:hAnsi="Arial" w:cs="Arial"/>
                    <w:lang w:val="en-GB"/>
                  </w:rPr>
                  <w:t>F</w:t>
                </w:r>
                <w:r w:rsidRPr="002F00DE">
                  <w:rPr>
                    <w:rFonts w:ascii="Arial" w:hAnsi="Arial" w:cs="Arial"/>
                    <w:lang w:val="en-GB"/>
                  </w:rPr>
                  <w:t xml:space="preserve">ramework </w:t>
                </w:r>
                <w:r w:rsidR="0017513A" w:rsidRPr="002F00DE">
                  <w:rPr>
                    <w:rFonts w:ascii="Arial" w:hAnsi="Arial" w:cs="Arial"/>
                    <w:lang w:val="en-GB"/>
                  </w:rPr>
                  <w:t>G</w:t>
                </w:r>
                <w:r w:rsidRPr="002F00DE">
                  <w:rPr>
                    <w:rFonts w:ascii="Arial" w:hAnsi="Arial" w:cs="Arial"/>
                    <w:lang w:val="en-GB"/>
                  </w:rPr>
                  <w:t>uidelines to the Commission and recommend that they be adopted.</w:t>
                </w:r>
              </w:p>
            </w:tc>
            <w:tc>
              <w:tcPr>
                <w:tcW w:w="3045" w:type="dxa"/>
              </w:tcPr>
              <w:p w14:paraId="26044028" w14:textId="77777777" w:rsidR="00D62896" w:rsidRPr="002F00DE" w:rsidRDefault="00D62896" w:rsidP="002F00DE">
                <w:pPr>
                  <w:spacing w:line="240" w:lineRule="auto"/>
                  <w:ind w:left="284"/>
                  <w:jc w:val="left"/>
                  <w:rPr>
                    <w:rFonts w:ascii="Arial" w:hAnsi="Arial" w:cs="Arial"/>
                    <w:lang w:val="en-GB"/>
                  </w:rPr>
                </w:pPr>
                <w:r w:rsidRPr="002F00DE">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045" w:type="dxa"/>
              </w:tcPr>
              <w:p w14:paraId="0C1E01E5" w14:textId="77777777" w:rsidR="00D62896" w:rsidRPr="002F00DE" w:rsidRDefault="00D62896" w:rsidP="002F00DE">
                <w:pPr>
                  <w:keepLines w:val="0"/>
                  <w:tabs>
                    <w:tab w:val="clear" w:pos="1985"/>
                    <w:tab w:val="clear" w:pos="5103"/>
                  </w:tabs>
                  <w:spacing w:line="240" w:lineRule="auto"/>
                  <w:ind w:left="284"/>
                  <w:jc w:val="left"/>
                  <w:rPr>
                    <w:rFonts w:ascii="Arial" w:hAnsi="Arial" w:cs="Arial"/>
                    <w:b w:val="0"/>
                    <w:lang w:val="en-GB"/>
                  </w:rPr>
                </w:pPr>
                <w:r w:rsidRPr="002F00DE">
                  <w:rPr>
                    <w:rFonts w:ascii="Arial" w:hAnsi="Arial" w:cs="Arial"/>
                    <w:b w:val="0"/>
                    <w:lang w:val="en-GB"/>
                  </w:rPr>
                  <w:t>Article 6(4) Reg 713/2009;</w:t>
                </w:r>
                <w:r w:rsidRPr="002F00DE">
                  <w:rPr>
                    <w:rFonts w:ascii="Arial" w:hAnsi="Arial" w:cs="Arial"/>
                    <w:b w:val="0"/>
                    <w:lang w:val="en-GB"/>
                  </w:rPr>
                  <w:br/>
                  <w:t>Article 6(9) Reg 714/2009;</w:t>
                </w:r>
                <w:r w:rsidRPr="002F00DE">
                  <w:rPr>
                    <w:rFonts w:ascii="Arial" w:hAnsi="Arial" w:cs="Arial"/>
                    <w:b w:val="0"/>
                    <w:lang w:val="en-GB"/>
                  </w:rPr>
                  <w:br/>
                  <w:t>Article 6(9) Reg 715/2009</w:t>
                </w:r>
              </w:p>
            </w:tc>
          </w:tr>
          <w:tr w:rsidR="00D62896" w:rsidRPr="002F00DE" w14:paraId="75204AE9" w14:textId="77777777" w:rsidTr="00DB5E45">
            <w:trPr>
              <w:trHeight w:val="143"/>
            </w:trPr>
            <w:tc>
              <w:tcPr>
                <w:tcW w:w="3045" w:type="dxa"/>
              </w:tcPr>
              <w:p w14:paraId="60D0BB43" w14:textId="0CA2D9EF" w:rsidR="00D62896" w:rsidRPr="002F00DE" w:rsidRDefault="00D62896" w:rsidP="002F00DE">
                <w:pPr>
                  <w:numPr>
                    <w:ilvl w:val="0"/>
                    <w:numId w:val="12"/>
                  </w:numPr>
                  <w:tabs>
                    <w:tab w:val="clear" w:pos="360"/>
                  </w:tabs>
                  <w:spacing w:line="240" w:lineRule="auto"/>
                  <w:ind w:left="709" w:right="170" w:hanging="425"/>
                  <w:jc w:val="left"/>
                  <w:rPr>
                    <w:rFonts w:ascii="Arial" w:hAnsi="Arial" w:cs="Arial"/>
                    <w:lang w:val="en-GB"/>
                  </w:rPr>
                </w:pPr>
                <w:r w:rsidRPr="002F00DE">
                  <w:rPr>
                    <w:rFonts w:ascii="Arial" w:hAnsi="Arial" w:cs="Arial"/>
                    <w:lang w:val="en-GB"/>
                  </w:rPr>
                  <w:t xml:space="preserve">Prepare and submit draft </w:t>
                </w:r>
                <w:r w:rsidR="0017513A" w:rsidRPr="002F00DE">
                  <w:rPr>
                    <w:rFonts w:ascii="Arial" w:hAnsi="Arial" w:cs="Arial"/>
                    <w:lang w:val="en-GB"/>
                  </w:rPr>
                  <w:t>N</w:t>
                </w:r>
                <w:r w:rsidRPr="002F00DE">
                  <w:rPr>
                    <w:rFonts w:ascii="Arial" w:hAnsi="Arial" w:cs="Arial"/>
                    <w:lang w:val="en-GB"/>
                  </w:rPr>
                  <w:t xml:space="preserve">etwork </w:t>
                </w:r>
                <w:r w:rsidR="0017513A" w:rsidRPr="002F00DE">
                  <w:rPr>
                    <w:rFonts w:ascii="Arial" w:hAnsi="Arial" w:cs="Arial"/>
                    <w:lang w:val="en-GB"/>
                  </w:rPr>
                  <w:t>C</w:t>
                </w:r>
                <w:r w:rsidRPr="002F00DE">
                  <w:rPr>
                    <w:rFonts w:ascii="Arial" w:hAnsi="Arial" w:cs="Arial"/>
                    <w:lang w:val="en-GB"/>
                  </w:rPr>
                  <w:t xml:space="preserve">odes to the Commission, at the request of the Commission and where the ENTSO failed to develop a </w:t>
                </w:r>
                <w:r w:rsidR="0017513A" w:rsidRPr="002F00DE">
                  <w:rPr>
                    <w:rFonts w:ascii="Arial" w:hAnsi="Arial" w:cs="Arial"/>
                    <w:lang w:val="en-GB"/>
                  </w:rPr>
                  <w:t>N</w:t>
                </w:r>
                <w:r w:rsidRPr="002F00DE">
                  <w:rPr>
                    <w:rFonts w:ascii="Arial" w:hAnsi="Arial" w:cs="Arial"/>
                    <w:lang w:val="en-GB"/>
                  </w:rPr>
                  <w:t xml:space="preserve">etwork </w:t>
                </w:r>
                <w:r w:rsidR="0017513A" w:rsidRPr="002F00DE">
                  <w:rPr>
                    <w:rFonts w:ascii="Arial" w:hAnsi="Arial" w:cs="Arial"/>
                    <w:lang w:val="en-GB"/>
                  </w:rPr>
                  <w:t>C</w:t>
                </w:r>
                <w:r w:rsidRPr="002F00DE">
                  <w:rPr>
                    <w:rFonts w:ascii="Arial" w:hAnsi="Arial" w:cs="Arial"/>
                    <w:lang w:val="en-GB"/>
                  </w:rPr>
                  <w:t>ode upon a Commission’s request.</w:t>
                </w:r>
              </w:p>
            </w:tc>
            <w:tc>
              <w:tcPr>
                <w:tcW w:w="3045" w:type="dxa"/>
              </w:tcPr>
              <w:p w14:paraId="42ACF0B3" w14:textId="77777777" w:rsidR="00D62896" w:rsidRPr="002F00DE" w:rsidRDefault="00D62896" w:rsidP="002F00DE">
                <w:pPr>
                  <w:spacing w:line="240" w:lineRule="auto"/>
                  <w:ind w:left="288"/>
                  <w:jc w:val="left"/>
                  <w:rPr>
                    <w:rFonts w:ascii="Arial" w:hAnsi="Arial" w:cs="Arial"/>
                    <w:lang w:val="en-GB"/>
                  </w:rPr>
                </w:pPr>
                <w:r w:rsidRPr="002F00DE">
                  <w:rPr>
                    <w:rFonts w:ascii="Arial" w:hAnsi="Arial" w:cs="Arial"/>
                    <w:lang w:val="en-GB"/>
                  </w:rPr>
                  <w:t>Drafting Recommendation</w:t>
                </w:r>
              </w:p>
            </w:tc>
            <w:tc>
              <w:tcPr>
                <w:cnfStyle w:val="000100000000" w:firstRow="0" w:lastRow="0" w:firstColumn="0" w:lastColumn="1" w:oddVBand="0" w:evenVBand="0" w:oddHBand="0" w:evenHBand="0" w:firstRowFirstColumn="0" w:firstRowLastColumn="0" w:lastRowFirstColumn="0" w:lastRowLastColumn="0"/>
                <w:tcW w:w="3045" w:type="dxa"/>
              </w:tcPr>
              <w:p w14:paraId="7F9AEA6D" w14:textId="77777777" w:rsidR="00D62896" w:rsidRPr="002F00DE" w:rsidRDefault="00D62896" w:rsidP="002F00DE">
                <w:pPr>
                  <w:keepLines w:val="0"/>
                  <w:tabs>
                    <w:tab w:val="clear" w:pos="1985"/>
                    <w:tab w:val="clear" w:pos="5103"/>
                  </w:tabs>
                  <w:spacing w:line="240" w:lineRule="auto"/>
                  <w:ind w:left="284"/>
                  <w:jc w:val="left"/>
                  <w:rPr>
                    <w:rFonts w:ascii="Arial" w:hAnsi="Arial" w:cs="Arial"/>
                    <w:b w:val="0"/>
                    <w:lang w:val="en-GB"/>
                  </w:rPr>
                </w:pPr>
                <w:r w:rsidRPr="002F00DE">
                  <w:rPr>
                    <w:rFonts w:ascii="Arial" w:hAnsi="Arial" w:cs="Arial"/>
                    <w:b w:val="0"/>
                    <w:lang w:val="en-GB"/>
                  </w:rPr>
                  <w:t>Article 6(4) Reg 713/2009;</w:t>
                </w:r>
                <w:r w:rsidRPr="002F00DE">
                  <w:rPr>
                    <w:rFonts w:ascii="Arial" w:hAnsi="Arial" w:cs="Arial"/>
                    <w:b w:val="0"/>
                    <w:lang w:val="en-GB"/>
                  </w:rPr>
                  <w:br/>
                  <w:t>Article 6(10) Reg 714/2009;</w:t>
                </w:r>
                <w:r w:rsidRPr="002F00DE">
                  <w:rPr>
                    <w:rFonts w:ascii="Arial" w:hAnsi="Arial" w:cs="Arial"/>
                    <w:b w:val="0"/>
                    <w:lang w:val="en-GB"/>
                  </w:rPr>
                  <w:br/>
                  <w:t>Article 6(10) Reg 715/2009</w:t>
                </w:r>
              </w:p>
            </w:tc>
          </w:tr>
          <w:tr w:rsidR="00D62896" w:rsidRPr="00FF027F" w14:paraId="7D357B2C" w14:textId="77777777" w:rsidTr="00DB5E45">
            <w:trPr>
              <w:trHeight w:val="143"/>
            </w:trPr>
            <w:tc>
              <w:tcPr>
                <w:tcW w:w="3045" w:type="dxa"/>
              </w:tcPr>
              <w:p w14:paraId="72E6BB76" w14:textId="27D77E75"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Propose amendments to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w:t>
                </w:r>
              </w:p>
            </w:tc>
            <w:tc>
              <w:tcPr>
                <w:tcW w:w="3045" w:type="dxa"/>
              </w:tcPr>
              <w:p w14:paraId="18B29096"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 xml:space="preserve">Reasoned proposal </w:t>
                </w:r>
              </w:p>
              <w:p w14:paraId="15618191" w14:textId="77777777" w:rsidR="00D62896" w:rsidRPr="00FF027F" w:rsidRDefault="00D62896" w:rsidP="00DA6A13">
                <w:pPr>
                  <w:spacing w:line="240" w:lineRule="auto"/>
                  <w:ind w:left="288"/>
                  <w:jc w:val="left"/>
                  <w:rPr>
                    <w:rFonts w:ascii="Arial" w:hAnsi="Arial" w:cs="Arial"/>
                    <w:lang w:val="en-GB"/>
                  </w:rPr>
                </w:pPr>
              </w:p>
              <w:p w14:paraId="58B45E8F" w14:textId="77777777" w:rsidR="00D62896" w:rsidRPr="00FF027F" w:rsidDel="00F4312C" w:rsidRDefault="00D62896" w:rsidP="00DA6A13">
                <w:pPr>
                  <w:spacing w:line="240" w:lineRule="auto"/>
                  <w:ind w:left="288"/>
                  <w:jc w:val="left"/>
                  <w:rPr>
                    <w:rFonts w:ascii="Arial" w:hAnsi="Arial" w:cs="Arial"/>
                    <w:lang w:val="en-GB"/>
                  </w:rPr>
                </w:pPr>
                <w:r w:rsidRPr="00FF027F">
                  <w:rPr>
                    <w:rFonts w:ascii="Arial" w:hAnsi="Arial" w:cs="Arial"/>
                    <w:lang w:val="en-GB"/>
                  </w:rPr>
                  <w:t>Consultation</w:t>
                </w:r>
              </w:p>
            </w:tc>
            <w:tc>
              <w:tcPr>
                <w:cnfStyle w:val="000100000000" w:firstRow="0" w:lastRow="0" w:firstColumn="0" w:lastColumn="1" w:oddVBand="0" w:evenVBand="0" w:oddHBand="0" w:evenHBand="0" w:firstRowFirstColumn="0" w:firstRowLastColumn="0" w:lastRowFirstColumn="0" w:lastRowLastColumn="0"/>
                <w:tcW w:w="3045" w:type="dxa"/>
              </w:tcPr>
              <w:p w14:paraId="1A9C6759"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7(1) and (2) Reg 714/2009;</w:t>
                </w:r>
                <w:r w:rsidRPr="00FF027F">
                  <w:rPr>
                    <w:rFonts w:ascii="Arial" w:hAnsi="Arial" w:cs="Arial"/>
                    <w:b w:val="0"/>
                    <w:lang w:val="en-GB"/>
                  </w:rPr>
                  <w:br/>
                  <w:t>Article 7(1) and (2) Reg 715/2009</w:t>
                </w:r>
              </w:p>
            </w:tc>
          </w:tr>
          <w:tr w:rsidR="00D62896" w:rsidRPr="002F00DE" w14:paraId="6605E119" w14:textId="77777777" w:rsidTr="00DB5E45">
            <w:trPr>
              <w:trHeight w:val="143"/>
            </w:trPr>
            <w:tc>
              <w:tcPr>
                <w:tcW w:w="3045" w:type="dxa"/>
              </w:tcPr>
              <w:p w14:paraId="07C34FE2" w14:textId="01C7BDA5" w:rsidR="00D62896" w:rsidRPr="002F00DE" w:rsidRDefault="00D62896" w:rsidP="0017513A">
                <w:pPr>
                  <w:numPr>
                    <w:ilvl w:val="0"/>
                    <w:numId w:val="12"/>
                  </w:numPr>
                  <w:tabs>
                    <w:tab w:val="clear" w:pos="360"/>
                  </w:tabs>
                  <w:spacing w:line="240" w:lineRule="auto"/>
                  <w:ind w:left="709" w:right="170" w:hanging="425"/>
                  <w:jc w:val="left"/>
                  <w:rPr>
                    <w:rFonts w:ascii="Arial" w:hAnsi="Arial" w:cs="Arial"/>
                    <w:lang w:val="en-GB"/>
                  </w:rPr>
                </w:pPr>
                <w:r w:rsidRPr="002F00DE">
                  <w:rPr>
                    <w:rFonts w:ascii="Arial" w:hAnsi="Arial" w:cs="Arial"/>
                    <w:lang w:val="en-GB"/>
                  </w:rPr>
                  <w:t xml:space="preserve">Provide duly reasoned opinion to the Commission, where ENTSOs have failed to implement a non–binding </w:t>
                </w:r>
                <w:r w:rsidR="0017513A" w:rsidRPr="002F00DE">
                  <w:rPr>
                    <w:rFonts w:ascii="Arial" w:hAnsi="Arial" w:cs="Arial"/>
                    <w:lang w:val="en-GB"/>
                  </w:rPr>
                  <w:t>N</w:t>
                </w:r>
                <w:r w:rsidRPr="002F00DE">
                  <w:rPr>
                    <w:rFonts w:ascii="Arial" w:hAnsi="Arial" w:cs="Arial"/>
                    <w:lang w:val="en-GB"/>
                  </w:rPr>
                  <w:t xml:space="preserve">etwork </w:t>
                </w:r>
                <w:r w:rsidR="0017513A" w:rsidRPr="002F00DE">
                  <w:rPr>
                    <w:rFonts w:ascii="Arial" w:hAnsi="Arial" w:cs="Arial"/>
                    <w:lang w:val="en-GB"/>
                  </w:rPr>
                  <w:t>C</w:t>
                </w:r>
                <w:r w:rsidRPr="002F00DE">
                  <w:rPr>
                    <w:rFonts w:ascii="Arial" w:hAnsi="Arial" w:cs="Arial"/>
                    <w:lang w:val="en-GB"/>
                  </w:rPr>
                  <w:t>ode.</w:t>
                </w:r>
              </w:p>
            </w:tc>
            <w:tc>
              <w:tcPr>
                <w:tcW w:w="3045" w:type="dxa"/>
              </w:tcPr>
              <w:p w14:paraId="6ADC3F2E" w14:textId="77777777" w:rsidR="00D62896" w:rsidRPr="002F00DE" w:rsidRDefault="00D62896" w:rsidP="00DA6A13">
                <w:pPr>
                  <w:spacing w:line="240" w:lineRule="auto"/>
                  <w:ind w:left="284"/>
                  <w:jc w:val="left"/>
                  <w:rPr>
                    <w:rFonts w:ascii="Arial" w:hAnsi="Arial" w:cs="Arial"/>
                    <w:lang w:val="en-GB"/>
                  </w:rPr>
                </w:pPr>
                <w:r w:rsidRPr="002F00DE">
                  <w:rPr>
                    <w:rFonts w:ascii="Arial" w:hAnsi="Arial" w:cs="Arial"/>
                    <w:lang w:val="en-GB"/>
                  </w:rPr>
                  <w:t>Reasoned opinion</w:t>
                </w:r>
              </w:p>
            </w:tc>
            <w:tc>
              <w:tcPr>
                <w:cnfStyle w:val="000100000000" w:firstRow="0" w:lastRow="0" w:firstColumn="0" w:lastColumn="1" w:oddVBand="0" w:evenVBand="0" w:oddHBand="0" w:evenHBand="0" w:firstRowFirstColumn="0" w:firstRowLastColumn="0" w:lastRowFirstColumn="0" w:lastRowLastColumn="0"/>
                <w:tcW w:w="3045" w:type="dxa"/>
              </w:tcPr>
              <w:p w14:paraId="1E70BCC0"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en-GB"/>
                  </w:rPr>
                </w:pPr>
                <w:r w:rsidRPr="002F00DE">
                  <w:rPr>
                    <w:rFonts w:ascii="Arial" w:hAnsi="Arial" w:cs="Arial"/>
                    <w:b w:val="0"/>
                    <w:lang w:val="en-GB"/>
                  </w:rPr>
                  <w:t>Article 6(5) Reg 713/2009;</w:t>
                </w:r>
                <w:r w:rsidRPr="002F00DE">
                  <w:rPr>
                    <w:rFonts w:ascii="Arial" w:hAnsi="Arial" w:cs="Arial"/>
                    <w:b w:val="0"/>
                    <w:lang w:val="en-GB"/>
                  </w:rPr>
                  <w:br/>
                  <w:t>Article 8(2) Reg 714/2009;</w:t>
                </w:r>
                <w:r w:rsidRPr="002F00DE">
                  <w:rPr>
                    <w:rFonts w:ascii="Arial" w:hAnsi="Arial" w:cs="Arial"/>
                    <w:b w:val="0"/>
                    <w:lang w:val="en-GB"/>
                  </w:rPr>
                  <w:br/>
                  <w:t>Article 8(2) Reg 715/2009</w:t>
                </w:r>
              </w:p>
            </w:tc>
          </w:tr>
          <w:tr w:rsidR="00D62896" w:rsidRPr="00FF027F" w14:paraId="135D9E52" w14:textId="77777777" w:rsidTr="00DB5E45">
            <w:trPr>
              <w:trHeight w:val="143"/>
            </w:trPr>
            <w:tc>
              <w:tcPr>
                <w:tcW w:w="3045" w:type="dxa"/>
              </w:tcPr>
              <w:p w14:paraId="0A9963A3" w14:textId="04A500CD" w:rsidR="00D62896" w:rsidRPr="00FF027F" w:rsidRDefault="00D62896" w:rsidP="0017513A">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Monitor and analyse the implementation of binding </w:t>
                </w:r>
                <w:r w:rsidR="0017513A" w:rsidRPr="00FF027F">
                  <w:rPr>
                    <w:rFonts w:ascii="Arial" w:hAnsi="Arial" w:cs="Arial"/>
                    <w:lang w:val="en-GB"/>
                  </w:rPr>
                  <w:t>N</w:t>
                </w:r>
                <w:r w:rsidRPr="00FF027F">
                  <w:rPr>
                    <w:rFonts w:ascii="Arial" w:hAnsi="Arial" w:cs="Arial"/>
                    <w:lang w:val="en-GB"/>
                  </w:rPr>
                  <w:t xml:space="preserve">etwork </w:t>
                </w:r>
                <w:r w:rsidR="0017513A" w:rsidRPr="00FF027F">
                  <w:rPr>
                    <w:rFonts w:ascii="Arial" w:hAnsi="Arial" w:cs="Arial"/>
                    <w:lang w:val="en-GB"/>
                  </w:rPr>
                  <w:t>C</w:t>
                </w:r>
                <w:r w:rsidRPr="00FF027F">
                  <w:rPr>
                    <w:rFonts w:ascii="Arial" w:hAnsi="Arial" w:cs="Arial"/>
                    <w:lang w:val="en-GB"/>
                  </w:rPr>
                  <w:t>odes and Guidelines, and report to the Commission.</w:t>
                </w:r>
              </w:p>
            </w:tc>
            <w:tc>
              <w:tcPr>
                <w:tcW w:w="3045" w:type="dxa"/>
              </w:tcPr>
              <w:p w14:paraId="399018BE"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Monitoring Reporting</w:t>
                </w:r>
              </w:p>
            </w:tc>
            <w:tc>
              <w:tcPr>
                <w:cnfStyle w:val="000100000000" w:firstRow="0" w:lastRow="0" w:firstColumn="0" w:lastColumn="1" w:oddVBand="0" w:evenVBand="0" w:oddHBand="0" w:evenHBand="0" w:firstRowFirstColumn="0" w:firstRowLastColumn="0" w:lastRowFirstColumn="0" w:lastRowLastColumn="0"/>
                <w:tcW w:w="3045" w:type="dxa"/>
              </w:tcPr>
              <w:p w14:paraId="6811F129"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6(6) Reg 713/2009</w:t>
                </w:r>
                <w:r w:rsidRPr="00FF027F">
                  <w:rPr>
                    <w:rFonts w:ascii="Arial" w:hAnsi="Arial" w:cs="Arial"/>
                    <w:b w:val="0"/>
                    <w:lang w:val="en-GB"/>
                  </w:rPr>
                  <w:br/>
                </w:r>
              </w:p>
            </w:tc>
          </w:tr>
          <w:tr w:rsidR="00D62896" w:rsidRPr="00FF027F" w14:paraId="743CAAB1" w14:textId="77777777" w:rsidTr="00DB5E45">
            <w:trPr>
              <w:trHeight w:val="143"/>
            </w:trPr>
            <w:tc>
              <w:tcPr>
                <w:tcW w:w="3045" w:type="dxa"/>
              </w:tcPr>
              <w:p w14:paraId="098F5CE6"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Monitor progress as regards the implementation of projects to create new interconnector capacity.</w:t>
                </w:r>
              </w:p>
            </w:tc>
            <w:tc>
              <w:tcPr>
                <w:tcW w:w="3045" w:type="dxa"/>
              </w:tcPr>
              <w:p w14:paraId="5BEBA45E"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Monitoring</w:t>
                </w:r>
              </w:p>
            </w:tc>
            <w:tc>
              <w:tcPr>
                <w:cnfStyle w:val="000100000000" w:firstRow="0" w:lastRow="0" w:firstColumn="0" w:lastColumn="1" w:oddVBand="0" w:evenVBand="0" w:oddHBand="0" w:evenHBand="0" w:firstRowFirstColumn="0" w:firstRowLastColumn="0" w:lastRowFirstColumn="0" w:lastRowLastColumn="0"/>
                <w:tcW w:w="3045" w:type="dxa"/>
              </w:tcPr>
              <w:p w14:paraId="7A0D888E"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6(7) Reg 713/2009</w:t>
                </w:r>
              </w:p>
            </w:tc>
          </w:tr>
          <w:tr w:rsidR="00D62896" w:rsidRPr="002F00DE" w14:paraId="1EB26D06" w14:textId="77777777" w:rsidTr="00DB5E45">
            <w:trPr>
              <w:cnfStyle w:val="010000000000" w:firstRow="0" w:lastRow="1" w:firstColumn="0" w:lastColumn="0" w:oddVBand="0" w:evenVBand="0" w:oddHBand="0" w:evenHBand="0" w:firstRowFirstColumn="0" w:firstRowLastColumn="0" w:lastRowFirstColumn="0" w:lastRowLastColumn="0"/>
              <w:trHeight w:val="1866"/>
            </w:trPr>
            <w:tc>
              <w:tcPr>
                <w:tcW w:w="3045" w:type="dxa"/>
                <w:tcBorders>
                  <w:bottom w:val="single" w:sz="6" w:space="0" w:color="000080"/>
                </w:tcBorders>
              </w:tcPr>
              <w:p w14:paraId="566D32EC" w14:textId="77777777" w:rsidR="00D62896" w:rsidRPr="002F00DE"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2F00DE">
                  <w:rPr>
                    <w:rFonts w:ascii="Arial" w:hAnsi="Arial" w:cs="Arial"/>
                    <w:lang w:val="en-GB"/>
                  </w:rPr>
                  <w:t>Monitor regional cooperation of TSOs; take due account of the outcome when formulating its opinions, recommendations and decisions.</w:t>
                </w:r>
              </w:p>
            </w:tc>
            <w:tc>
              <w:tcPr>
                <w:tcW w:w="3045" w:type="dxa"/>
                <w:tcBorders>
                  <w:bottom w:val="single" w:sz="6" w:space="0" w:color="000080"/>
                </w:tcBorders>
              </w:tcPr>
              <w:p w14:paraId="364773DB" w14:textId="77777777" w:rsidR="00D62896" w:rsidRPr="002F00DE" w:rsidRDefault="00D62896" w:rsidP="00DA6A13">
                <w:pPr>
                  <w:spacing w:line="240" w:lineRule="auto"/>
                  <w:ind w:left="284"/>
                  <w:jc w:val="left"/>
                  <w:rPr>
                    <w:rFonts w:ascii="Arial" w:hAnsi="Arial" w:cs="Arial"/>
                    <w:lang w:val="en-GB"/>
                  </w:rPr>
                </w:pPr>
                <w:r w:rsidRPr="002F00DE">
                  <w:rPr>
                    <w:rFonts w:ascii="Arial" w:hAnsi="Arial" w:cs="Arial"/>
                    <w:lang w:val="en-GB"/>
                  </w:rPr>
                  <w:t xml:space="preserve">Monitoring </w:t>
                </w:r>
              </w:p>
            </w:tc>
            <w:tc>
              <w:tcPr>
                <w:cnfStyle w:val="000100000000" w:firstRow="0" w:lastRow="0" w:firstColumn="0" w:lastColumn="1" w:oddVBand="0" w:evenVBand="0" w:oddHBand="0" w:evenHBand="0" w:firstRowFirstColumn="0" w:firstRowLastColumn="0" w:lastRowFirstColumn="0" w:lastRowLastColumn="0"/>
                <w:tcW w:w="3045" w:type="dxa"/>
                <w:tcBorders>
                  <w:bottom w:val="single" w:sz="6" w:space="0" w:color="000080"/>
                </w:tcBorders>
              </w:tcPr>
              <w:p w14:paraId="6E347684"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en-GB"/>
                  </w:rPr>
                </w:pPr>
                <w:r w:rsidRPr="002F00DE">
                  <w:rPr>
                    <w:rFonts w:ascii="Arial" w:hAnsi="Arial" w:cs="Arial"/>
                    <w:b w:val="0"/>
                    <w:lang w:val="en-GB"/>
                  </w:rPr>
                  <w:t>Article 6(9) Reg 713/2009;</w:t>
                </w:r>
                <w:r w:rsidRPr="002F00DE">
                  <w:rPr>
                    <w:rFonts w:ascii="Arial" w:hAnsi="Arial" w:cs="Arial"/>
                    <w:b w:val="0"/>
                    <w:lang w:val="en-GB"/>
                  </w:rPr>
                  <w:br/>
                  <w:t>Article 12 Reg 714/2009</w:t>
                </w:r>
                <w:r w:rsidRPr="002F00DE">
                  <w:rPr>
                    <w:rFonts w:ascii="Arial" w:hAnsi="Arial" w:cs="Arial"/>
                    <w:b w:val="0"/>
                    <w:lang w:val="en-GB"/>
                  </w:rPr>
                  <w:br/>
                  <w:t>Article 12 Reg 715/2009</w:t>
                </w:r>
              </w:p>
              <w:p w14:paraId="6DB39D9C" w14:textId="77777777" w:rsidR="00D62896" w:rsidRPr="002F00DE" w:rsidRDefault="00D62896" w:rsidP="00DA6A13">
                <w:pPr>
                  <w:keepLines w:val="0"/>
                  <w:tabs>
                    <w:tab w:val="clear" w:pos="1985"/>
                    <w:tab w:val="clear" w:pos="5103"/>
                  </w:tabs>
                  <w:spacing w:before="0" w:after="200" w:line="240" w:lineRule="auto"/>
                  <w:ind w:left="284"/>
                  <w:jc w:val="left"/>
                  <w:rPr>
                    <w:rFonts w:ascii="Arial" w:hAnsi="Arial" w:cs="Arial"/>
                    <w:b w:val="0"/>
                    <w:lang w:val="en-GB"/>
                  </w:rPr>
                </w:pPr>
              </w:p>
            </w:tc>
          </w:tr>
        </w:tbl>
        <w:p w14:paraId="5446C1F8" w14:textId="77777777" w:rsidR="008F283B" w:rsidRDefault="008F283B">
          <w:r>
            <w:rPr>
              <w:b/>
              <w:bCs/>
            </w:rPr>
            <w:br w:type="page"/>
          </w:r>
        </w:p>
        <w:tbl>
          <w:tblPr>
            <w:tblStyle w:val="TableGrid8"/>
            <w:tblW w:w="9072" w:type="dxa"/>
            <w:tblInd w:w="108" w:type="dxa"/>
            <w:tblLook w:val="01E0" w:firstRow="1" w:lastRow="1" w:firstColumn="1" w:lastColumn="1" w:noHBand="0" w:noVBand="0"/>
          </w:tblPr>
          <w:tblGrid>
            <w:gridCol w:w="3474"/>
            <w:gridCol w:w="2466"/>
            <w:gridCol w:w="3132"/>
          </w:tblGrid>
          <w:tr w:rsidR="00A2781E" w:rsidRPr="008B50C0" w14:paraId="1DC44D08" w14:textId="77777777" w:rsidTr="008F283B">
            <w:trPr>
              <w:cnfStyle w:val="100000000000" w:firstRow="1" w:lastRow="0" w:firstColumn="0" w:lastColumn="0" w:oddVBand="0" w:evenVBand="0" w:oddHBand="0" w:evenHBand="0" w:firstRowFirstColumn="0" w:firstRowLastColumn="0" w:lastRowFirstColumn="0" w:lastRowLastColumn="0"/>
              <w:trHeight w:val="143"/>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3E0D42B1" w14:textId="12F175F4" w:rsidR="00D62896" w:rsidRPr="008B50C0" w:rsidRDefault="00A2781E" w:rsidP="00DA6A13">
                <w:pPr>
                  <w:spacing w:line="240" w:lineRule="auto"/>
                  <w:ind w:left="284"/>
                  <w:jc w:val="left"/>
                  <w:rPr>
                    <w:rFonts w:ascii="Arial" w:hAnsi="Arial" w:cs="Arial"/>
                    <w:color w:val="auto"/>
                    <w:lang w:val="en-GB"/>
                  </w:rPr>
                </w:pPr>
                <w:r w:rsidRPr="008B50C0">
                  <w:rPr>
                    <w:color w:val="auto"/>
                  </w:rPr>
                  <w:br w:type="page"/>
                </w:r>
                <w:r w:rsidR="00D62896" w:rsidRPr="008B50C0">
                  <w:rPr>
                    <w:rFonts w:ascii="Arial" w:hAnsi="Arial" w:cs="Arial"/>
                    <w:color w:val="auto"/>
                    <w:lang w:val="en-GB"/>
                  </w:rPr>
                  <w:t xml:space="preserve">Tasks regarding NRAs </w:t>
                </w:r>
              </w:p>
            </w:tc>
          </w:tr>
          <w:tr w:rsidR="00D62896" w:rsidRPr="00A81000" w14:paraId="1C732884" w14:textId="77777777" w:rsidTr="008F283B">
            <w:trPr>
              <w:trHeight w:val="143"/>
            </w:trPr>
            <w:tc>
              <w:tcPr>
                <w:tcW w:w="3474" w:type="dxa"/>
              </w:tcPr>
              <w:p w14:paraId="0ECBDF63"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a framework for NRAs' cooperation. Promote cooperation between NRAs and TSOs at regional and EU level. Make recommendations on binding rules for cooperation to the Commission.</w:t>
                </w:r>
              </w:p>
            </w:tc>
            <w:tc>
              <w:tcPr>
                <w:tcW w:w="2466" w:type="dxa"/>
              </w:tcPr>
              <w:p w14:paraId="3E458446"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Cooperation Recommendation</w:t>
                </w:r>
              </w:p>
            </w:tc>
            <w:tc>
              <w:tcPr>
                <w:cnfStyle w:val="000100000000" w:firstRow="0" w:lastRow="0" w:firstColumn="0" w:lastColumn="1" w:oddVBand="0" w:evenVBand="0" w:oddHBand="0" w:evenHBand="0" w:firstRowFirstColumn="0" w:firstRowLastColumn="0" w:lastRowFirstColumn="0" w:lastRowLastColumn="0"/>
                <w:tcW w:w="3132" w:type="dxa"/>
              </w:tcPr>
              <w:p w14:paraId="0BF04AD3" w14:textId="77777777" w:rsidR="00D62896" w:rsidRPr="002F00DE" w:rsidRDefault="00D62896" w:rsidP="002F00DE">
                <w:pPr>
                  <w:keepLines w:val="0"/>
                  <w:tabs>
                    <w:tab w:val="clear" w:pos="1985"/>
                    <w:tab w:val="clear" w:pos="5103"/>
                  </w:tabs>
                  <w:spacing w:line="240" w:lineRule="auto"/>
                  <w:ind w:left="288"/>
                  <w:jc w:val="left"/>
                  <w:rPr>
                    <w:rFonts w:ascii="Arial" w:hAnsi="Arial" w:cs="Arial"/>
                    <w:b w:val="0"/>
                    <w:lang w:val="en-GB"/>
                  </w:rPr>
                </w:pPr>
                <w:r w:rsidRPr="002F00DE">
                  <w:rPr>
                    <w:rFonts w:ascii="Arial" w:hAnsi="Arial" w:cs="Arial"/>
                    <w:b w:val="0"/>
                    <w:lang w:val="en-GB"/>
                  </w:rPr>
                  <w:t>Article 7(3) Reg 713/2009;</w:t>
                </w:r>
                <w:r w:rsidRPr="002F00DE">
                  <w:rPr>
                    <w:rFonts w:ascii="Arial" w:hAnsi="Arial" w:cs="Arial"/>
                    <w:b w:val="0"/>
                    <w:lang w:val="en-GB"/>
                  </w:rPr>
                  <w:br/>
                  <w:t>Article 6(2) Dir 2009/72</w:t>
                </w:r>
                <w:r w:rsidRPr="002F00DE">
                  <w:rPr>
                    <w:rFonts w:ascii="Arial" w:hAnsi="Arial" w:cs="Arial"/>
                    <w:b w:val="0"/>
                    <w:lang w:val="en-GB"/>
                  </w:rPr>
                  <w:br/>
                  <w:t>Article 7(2) Dir 2009/73</w:t>
                </w:r>
              </w:p>
            </w:tc>
          </w:tr>
          <w:tr w:rsidR="00D62896" w:rsidRPr="00FF027F" w14:paraId="5D98BE85" w14:textId="77777777" w:rsidTr="008F283B">
            <w:trPr>
              <w:trHeight w:val="143"/>
            </w:trPr>
            <w:tc>
              <w:tcPr>
                <w:tcW w:w="3474" w:type="dxa"/>
              </w:tcPr>
              <w:p w14:paraId="08E61BB6"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bCs/>
                    <w:lang w:val="en-GB"/>
                  </w:rPr>
                </w:pPr>
                <w:r w:rsidRPr="00FF027F">
                  <w:rPr>
                    <w:rFonts w:ascii="Arial" w:hAnsi="Arial" w:cs="Arial"/>
                    <w:lang w:val="en-GB"/>
                  </w:rPr>
                  <w:t>Adopt individual decisions on technical issues as provided for in the Third Package.</w:t>
                </w:r>
              </w:p>
            </w:tc>
            <w:tc>
              <w:tcPr>
                <w:tcW w:w="2466" w:type="dxa"/>
              </w:tcPr>
              <w:p w14:paraId="7EC1BABA"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Decision</w:t>
                </w:r>
              </w:p>
            </w:tc>
            <w:tc>
              <w:tcPr>
                <w:cnfStyle w:val="000100000000" w:firstRow="0" w:lastRow="0" w:firstColumn="0" w:lastColumn="1" w:oddVBand="0" w:evenVBand="0" w:oddHBand="0" w:evenHBand="0" w:firstRowFirstColumn="0" w:firstRowLastColumn="0" w:lastRowFirstColumn="0" w:lastRowLastColumn="0"/>
                <w:tcW w:w="3132" w:type="dxa"/>
              </w:tcPr>
              <w:p w14:paraId="692578D0"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7(1) Reg 713/2009</w:t>
                </w:r>
              </w:p>
            </w:tc>
          </w:tr>
          <w:tr w:rsidR="00D62896" w:rsidRPr="00FF027F" w14:paraId="6B5519E2" w14:textId="77777777" w:rsidTr="008F283B">
            <w:trPr>
              <w:trHeight w:val="143"/>
            </w:trPr>
            <w:tc>
              <w:tcPr>
                <w:tcW w:w="3474" w:type="dxa"/>
              </w:tcPr>
              <w:p w14:paraId="47D1D0ED"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recommendations on the harmonisation of technical rules.</w:t>
                </w:r>
              </w:p>
            </w:tc>
            <w:tc>
              <w:tcPr>
                <w:tcW w:w="2466" w:type="dxa"/>
              </w:tcPr>
              <w:p w14:paraId="5749016B"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132" w:type="dxa"/>
              </w:tcPr>
              <w:p w14:paraId="26C8403D"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5 Dir 2009/72;</w:t>
                </w:r>
                <w:r w:rsidRPr="00FF027F">
                  <w:rPr>
                    <w:rFonts w:ascii="Arial" w:hAnsi="Arial" w:cs="Arial"/>
                    <w:b w:val="0"/>
                    <w:lang w:val="en-GB"/>
                  </w:rPr>
                  <w:br/>
                  <w:t>Article 8 Dir 2009/73</w:t>
                </w:r>
              </w:p>
            </w:tc>
          </w:tr>
          <w:tr w:rsidR="00D62896" w:rsidRPr="00FF027F" w14:paraId="52086CD7" w14:textId="77777777" w:rsidTr="008F283B">
            <w:trPr>
              <w:trHeight w:val="143"/>
            </w:trPr>
            <w:tc>
              <w:tcPr>
                <w:tcW w:w="3474" w:type="dxa"/>
              </w:tcPr>
              <w:p w14:paraId="3ACED602"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recommendations to assist NRAs and market players in sharing good practices.</w:t>
                </w:r>
              </w:p>
            </w:tc>
            <w:tc>
              <w:tcPr>
                <w:tcW w:w="2466" w:type="dxa"/>
              </w:tcPr>
              <w:p w14:paraId="2BF4DB93"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132" w:type="dxa"/>
              </w:tcPr>
              <w:p w14:paraId="6B986FDD"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7(2) Reg 713/2009</w:t>
                </w:r>
              </w:p>
            </w:tc>
          </w:tr>
          <w:tr w:rsidR="00D62896" w:rsidRPr="00A81000" w14:paraId="0D5A6814" w14:textId="77777777" w:rsidTr="008F283B">
            <w:trPr>
              <w:trHeight w:val="143"/>
            </w:trPr>
            <w:tc>
              <w:tcPr>
                <w:tcW w:w="3474" w:type="dxa"/>
              </w:tcPr>
              <w:p w14:paraId="2844622D"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bCs/>
                    <w:lang w:val="en-GB"/>
                  </w:rPr>
                </w:pPr>
                <w:r w:rsidRPr="00FF027F">
                  <w:rPr>
                    <w:rFonts w:ascii="Arial" w:hAnsi="Arial" w:cs="Arial"/>
                    <w:lang w:val="en-GB"/>
                  </w:rPr>
                  <w:t>Provide an opinion on whether a NRA decision complies with Guidelines or other relevant provisions of the Third Package and inform the Commission and the MS concerned where the NRA does not comply with the opinion of the Agency.</w:t>
                </w:r>
              </w:p>
            </w:tc>
            <w:tc>
              <w:tcPr>
                <w:tcW w:w="2466" w:type="dxa"/>
              </w:tcPr>
              <w:p w14:paraId="62772BAB"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32" w:type="dxa"/>
              </w:tcPr>
              <w:p w14:paraId="10D3185D" w14:textId="77777777" w:rsidR="00D62896" w:rsidRPr="002F00DE" w:rsidRDefault="00D62896" w:rsidP="00DB5E45">
                <w:pPr>
                  <w:keepLines w:val="0"/>
                  <w:tabs>
                    <w:tab w:val="clear" w:pos="1985"/>
                    <w:tab w:val="clear" w:pos="5103"/>
                  </w:tabs>
                  <w:spacing w:line="240" w:lineRule="auto"/>
                  <w:ind w:left="288"/>
                  <w:jc w:val="left"/>
                  <w:rPr>
                    <w:rFonts w:ascii="Arial" w:hAnsi="Arial" w:cs="Arial"/>
                    <w:b w:val="0"/>
                    <w:lang w:val="en-GB"/>
                  </w:rPr>
                </w:pPr>
                <w:r w:rsidRPr="00DB5E45">
                  <w:rPr>
                    <w:rFonts w:ascii="Arial" w:hAnsi="Arial" w:cs="Arial"/>
                    <w:b w:val="0"/>
                    <w:lang w:val="en-GB"/>
                  </w:rPr>
                  <w:t>Article 7((4) and (5) Reg 713/2009;</w:t>
                </w:r>
                <w:r w:rsidRPr="00DB5E45">
                  <w:rPr>
                    <w:rFonts w:ascii="Arial" w:hAnsi="Arial" w:cs="Arial"/>
                    <w:b w:val="0"/>
                    <w:lang w:val="en-GB"/>
                  </w:rPr>
                  <w:br/>
                  <w:t>Article 39 Dir 2009/72;</w:t>
                </w:r>
                <w:r w:rsidRPr="00DB5E45">
                  <w:rPr>
                    <w:rFonts w:ascii="Arial" w:hAnsi="Arial" w:cs="Arial"/>
                    <w:b w:val="0"/>
                    <w:lang w:val="en-GB"/>
                  </w:rPr>
                  <w:br/>
                  <w:t>Article 43 Dir 2009/73</w:t>
                </w:r>
              </w:p>
            </w:tc>
          </w:tr>
          <w:tr w:rsidR="00D62896" w:rsidRPr="00FF027F" w14:paraId="2120A17F" w14:textId="77777777" w:rsidTr="008F283B">
            <w:trPr>
              <w:trHeight w:val="143"/>
            </w:trPr>
            <w:tc>
              <w:tcPr>
                <w:tcW w:w="3474" w:type="dxa"/>
              </w:tcPr>
              <w:p w14:paraId="605774E5"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Deliver an opinion when an NRA encounters, in a specific case, difficulties with the application of Guidelines.</w:t>
                </w:r>
              </w:p>
            </w:tc>
            <w:tc>
              <w:tcPr>
                <w:tcW w:w="2466" w:type="dxa"/>
              </w:tcPr>
              <w:p w14:paraId="162C66C9"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32" w:type="dxa"/>
              </w:tcPr>
              <w:p w14:paraId="406FEE95"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7(6) Reg 713/2009</w:t>
                </w:r>
              </w:p>
            </w:tc>
          </w:tr>
          <w:tr w:rsidR="00D62896" w:rsidRPr="00A81000" w14:paraId="2E3730FE" w14:textId="77777777" w:rsidTr="008F283B">
            <w:trPr>
              <w:trHeight w:val="143"/>
            </w:trPr>
            <w:tc>
              <w:tcPr>
                <w:tcW w:w="3474" w:type="dxa"/>
                <w:tcBorders>
                  <w:bottom w:val="single" w:sz="6" w:space="0" w:color="000080"/>
                </w:tcBorders>
              </w:tcPr>
              <w:p w14:paraId="7BE05708"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an opinion on decisions of NRAs on TSO certification. At the request of the Commission, express its views on the certification of third countries TSOs.</w:t>
                </w:r>
              </w:p>
            </w:tc>
            <w:tc>
              <w:tcPr>
                <w:tcW w:w="2466" w:type="dxa"/>
                <w:tcBorders>
                  <w:bottom w:val="single" w:sz="6" w:space="0" w:color="000080"/>
                </w:tcBorders>
              </w:tcPr>
              <w:p w14:paraId="6877BC33"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6" w:space="0" w:color="000080"/>
                </w:tcBorders>
              </w:tcPr>
              <w:p w14:paraId="547BD8C0" w14:textId="77777777" w:rsidR="00D62896" w:rsidRPr="00DB5E45" w:rsidRDefault="00D62896" w:rsidP="00DB5E45">
                <w:pPr>
                  <w:keepLines w:val="0"/>
                  <w:tabs>
                    <w:tab w:val="clear" w:pos="1985"/>
                    <w:tab w:val="clear" w:pos="5103"/>
                  </w:tabs>
                  <w:spacing w:line="240" w:lineRule="auto"/>
                  <w:ind w:left="288"/>
                  <w:jc w:val="left"/>
                  <w:rPr>
                    <w:rFonts w:ascii="Arial" w:hAnsi="Arial" w:cs="Arial"/>
                    <w:b w:val="0"/>
                    <w:lang w:val="en-GB"/>
                  </w:rPr>
                </w:pPr>
                <w:r w:rsidRPr="00DB5E45">
                  <w:rPr>
                    <w:rFonts w:ascii="Arial" w:hAnsi="Arial" w:cs="Arial"/>
                    <w:b w:val="0"/>
                    <w:lang w:val="en-GB"/>
                  </w:rPr>
                  <w:t xml:space="preserve">Article 9(2) Reg 713/2009; </w:t>
                </w:r>
                <w:r w:rsidRPr="00DB5E45">
                  <w:rPr>
                    <w:rFonts w:ascii="Arial" w:hAnsi="Arial" w:cs="Arial"/>
                    <w:b w:val="0"/>
                    <w:lang w:val="en-GB"/>
                  </w:rPr>
                  <w:br/>
                  <w:t>Article 3(1) Reg 714/2009;</w:t>
                </w:r>
                <w:r w:rsidRPr="00DB5E45">
                  <w:rPr>
                    <w:rFonts w:ascii="Arial" w:hAnsi="Arial" w:cs="Arial"/>
                    <w:b w:val="0"/>
                    <w:lang w:val="en-GB"/>
                  </w:rPr>
                  <w:br/>
                  <w:t>Article 3(1) Reg 715/2009;</w:t>
                </w:r>
                <w:r w:rsidRPr="00DB5E45">
                  <w:rPr>
                    <w:rFonts w:ascii="Arial" w:hAnsi="Arial" w:cs="Arial"/>
                    <w:b w:val="0"/>
                    <w:lang w:val="en-GB"/>
                  </w:rPr>
                  <w:br/>
                  <w:t>Article 11(6) Dir 2009/72;</w:t>
                </w:r>
                <w:r w:rsidRPr="00DB5E45">
                  <w:rPr>
                    <w:rFonts w:ascii="Arial" w:hAnsi="Arial" w:cs="Arial"/>
                    <w:b w:val="0"/>
                    <w:lang w:val="en-GB"/>
                  </w:rPr>
                  <w:br/>
                  <w:t>Article 11(6) Dir 2009/73</w:t>
                </w:r>
              </w:p>
            </w:tc>
          </w:tr>
          <w:tr w:rsidR="00D62896" w:rsidRPr="00FF027F" w14:paraId="5F67C65E" w14:textId="77777777" w:rsidTr="008F283B">
            <w:trPr>
              <w:trHeight w:val="143"/>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165F41B0"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Tasks regarding terms and conditions for access to and operational security of cross-border infrastructure</w:t>
                </w:r>
              </w:p>
            </w:tc>
          </w:tr>
          <w:tr w:rsidR="00D62896" w:rsidRPr="00FF027F" w14:paraId="044C7A5B" w14:textId="77777777" w:rsidTr="008F283B">
            <w:trPr>
              <w:trHeight w:val="143"/>
            </w:trPr>
            <w:tc>
              <w:tcPr>
                <w:tcW w:w="3474" w:type="dxa"/>
                <w:tcBorders>
                  <w:bottom w:val="single" w:sz="6" w:space="0" w:color="000080"/>
                </w:tcBorders>
              </w:tcPr>
              <w:p w14:paraId="2B31DE4A"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Decisions on cross-border infrastructure, including exemption decisions for new interconnectors and new gas infrastructures. </w:t>
                </w:r>
              </w:p>
            </w:tc>
            <w:tc>
              <w:tcPr>
                <w:tcW w:w="2466" w:type="dxa"/>
                <w:tcBorders>
                  <w:bottom w:val="single" w:sz="6" w:space="0" w:color="000080"/>
                </w:tcBorders>
              </w:tcPr>
              <w:p w14:paraId="33298411"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Decision</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6" w:space="0" w:color="000080"/>
                </w:tcBorders>
              </w:tcPr>
              <w:p w14:paraId="5ABC4914"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7(7) and Articles 8 and 9 Reg 713/2009;</w:t>
                </w:r>
                <w:r w:rsidRPr="00FF027F">
                  <w:rPr>
                    <w:rFonts w:ascii="Arial" w:hAnsi="Arial" w:cs="Arial"/>
                    <w:b w:val="0"/>
                    <w:lang w:val="en-GB"/>
                  </w:rPr>
                  <w:br/>
                  <w:t>Article 17(5) Reg 714/2009;</w:t>
                </w:r>
                <w:r w:rsidRPr="00FF027F">
                  <w:rPr>
                    <w:rFonts w:ascii="Arial" w:hAnsi="Arial" w:cs="Arial"/>
                    <w:b w:val="0"/>
                    <w:lang w:val="en-GB"/>
                  </w:rPr>
                  <w:br/>
                  <w:t>Article 36 (4) Dir 2009/73</w:t>
                </w:r>
              </w:p>
            </w:tc>
          </w:tr>
          <w:tr w:rsidR="00D62896" w:rsidRPr="00FF027F" w14:paraId="3A1B4FDB" w14:textId="77777777" w:rsidTr="008F283B">
            <w:trPr>
              <w:trHeight w:val="143"/>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04FEB2BA" w14:textId="77777777" w:rsidR="00D62896" w:rsidRPr="00FF027F" w:rsidRDefault="00D62896" w:rsidP="00EC16A3">
                <w:pPr>
                  <w:spacing w:line="240" w:lineRule="auto"/>
                  <w:ind w:left="284"/>
                  <w:jc w:val="left"/>
                  <w:rPr>
                    <w:rFonts w:ascii="Arial" w:hAnsi="Arial" w:cs="Arial"/>
                    <w:lang w:val="en-GB"/>
                  </w:rPr>
                </w:pPr>
                <w:r w:rsidRPr="00FF027F">
                  <w:rPr>
                    <w:rFonts w:ascii="Arial" w:hAnsi="Arial" w:cs="Arial"/>
                    <w:lang w:val="en-GB"/>
                  </w:rPr>
                  <w:t>Monitoring and reporting on the electricity and natural gas sectors</w:t>
                </w:r>
              </w:p>
            </w:tc>
          </w:tr>
          <w:tr w:rsidR="00D62896" w:rsidRPr="00FF027F" w14:paraId="4D542330" w14:textId="77777777" w:rsidTr="008F283B">
            <w:trPr>
              <w:trHeight w:val="143"/>
            </w:trPr>
            <w:tc>
              <w:tcPr>
                <w:tcW w:w="3474" w:type="dxa"/>
              </w:tcPr>
              <w:p w14:paraId="44D34692"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Monitor the internal markets in electricity and natural gas.</w:t>
                </w:r>
              </w:p>
            </w:tc>
            <w:tc>
              <w:tcPr>
                <w:tcW w:w="2466" w:type="dxa"/>
              </w:tcPr>
              <w:p w14:paraId="784729D9"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Monitoring</w:t>
                </w:r>
              </w:p>
            </w:tc>
            <w:tc>
              <w:tcPr>
                <w:cnfStyle w:val="000100000000" w:firstRow="0" w:lastRow="0" w:firstColumn="0" w:lastColumn="1" w:oddVBand="0" w:evenVBand="0" w:oddHBand="0" w:evenHBand="0" w:firstRowFirstColumn="0" w:firstRowLastColumn="0" w:lastRowFirstColumn="0" w:lastRowLastColumn="0"/>
                <w:tcW w:w="3132" w:type="dxa"/>
              </w:tcPr>
              <w:p w14:paraId="5D1D6FBA"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11(1) Reg 713/2009</w:t>
                </w:r>
              </w:p>
            </w:tc>
          </w:tr>
          <w:tr w:rsidR="00D62896" w:rsidRPr="00FF027F" w14:paraId="4A4EBD74" w14:textId="77777777" w:rsidTr="008F283B">
            <w:trPr>
              <w:trHeight w:val="143"/>
            </w:trPr>
            <w:tc>
              <w:tcPr>
                <w:tcW w:w="3474" w:type="dxa"/>
                <w:tcBorders>
                  <w:bottom w:val="single" w:sz="6" w:space="0" w:color="000080"/>
                </w:tcBorders>
              </w:tcPr>
              <w:p w14:paraId="2FD6C281"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 xml:space="preserve">Produce a public annual report on the results of monitoring and, at the same time, submit an opinion to the European Parliament and to the Commission on the measures that could be taken to remove barriers to the completion of the internal markets in electricity and natural gas. </w:t>
                </w:r>
              </w:p>
            </w:tc>
            <w:tc>
              <w:tcPr>
                <w:tcW w:w="2466" w:type="dxa"/>
                <w:tcBorders>
                  <w:bottom w:val="single" w:sz="6" w:space="0" w:color="000080"/>
                </w:tcBorders>
              </w:tcPr>
              <w:p w14:paraId="5CF08F13"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Publication of monitoring results</w:t>
                </w:r>
              </w:p>
              <w:p w14:paraId="13ADBF4C" w14:textId="77777777" w:rsidR="00D62896" w:rsidRPr="00FF027F" w:rsidRDefault="00D62896" w:rsidP="00DA6A13">
                <w:pPr>
                  <w:spacing w:line="240" w:lineRule="auto"/>
                  <w:ind w:left="288"/>
                  <w:jc w:val="left"/>
                  <w:rPr>
                    <w:rFonts w:ascii="Arial" w:hAnsi="Arial" w:cs="Arial"/>
                    <w:lang w:val="en-GB"/>
                  </w:rPr>
                </w:pPr>
              </w:p>
              <w:p w14:paraId="0B906F99" w14:textId="77777777" w:rsidR="00D62896" w:rsidRPr="00FF027F" w:rsidRDefault="00D62896" w:rsidP="00DA6A13">
                <w:pPr>
                  <w:spacing w:line="240" w:lineRule="auto"/>
                  <w:ind w:left="288"/>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6" w:space="0" w:color="000080"/>
                </w:tcBorders>
              </w:tcPr>
              <w:p w14:paraId="3F1601C5"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11(2) and (3) Reg 713/2009</w:t>
                </w:r>
              </w:p>
            </w:tc>
          </w:tr>
          <w:tr w:rsidR="00D62896" w:rsidRPr="00FF027F" w14:paraId="70310CFF" w14:textId="77777777" w:rsidTr="008F283B">
            <w:trPr>
              <w:trHeight w:val="571"/>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49C6F1A4" w14:textId="77777777" w:rsidR="00D62896" w:rsidRPr="00FF027F" w:rsidRDefault="00D62896" w:rsidP="00EC16A3">
                <w:pPr>
                  <w:spacing w:line="240" w:lineRule="auto"/>
                  <w:ind w:left="709" w:right="170" w:hanging="425"/>
                  <w:jc w:val="left"/>
                  <w:rPr>
                    <w:rFonts w:ascii="Arial" w:hAnsi="Arial" w:cs="Arial"/>
                    <w:lang w:val="en-GB"/>
                  </w:rPr>
                </w:pPr>
                <w:r w:rsidRPr="00FF027F">
                  <w:rPr>
                    <w:rFonts w:ascii="Arial" w:hAnsi="Arial" w:cs="Arial"/>
                    <w:lang w:val="en-GB"/>
                  </w:rPr>
                  <w:t>Consultations and transparency</w:t>
                </w:r>
              </w:p>
            </w:tc>
          </w:tr>
          <w:tr w:rsidR="00D62896" w:rsidRPr="00FF027F" w14:paraId="404F4459" w14:textId="77777777" w:rsidTr="008F283B">
            <w:trPr>
              <w:trHeight w:val="143"/>
            </w:trPr>
            <w:tc>
              <w:tcPr>
                <w:tcW w:w="3474" w:type="dxa"/>
              </w:tcPr>
              <w:p w14:paraId="24CC8C79"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Consult with market participants, TSOs, consumers, end-users, competition authorities.</w:t>
                </w:r>
              </w:p>
            </w:tc>
            <w:tc>
              <w:tcPr>
                <w:tcW w:w="2466" w:type="dxa"/>
              </w:tcPr>
              <w:p w14:paraId="5635BEEB"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Consultation</w:t>
                </w:r>
              </w:p>
            </w:tc>
            <w:tc>
              <w:tcPr>
                <w:cnfStyle w:val="000100000000" w:firstRow="0" w:lastRow="0" w:firstColumn="0" w:lastColumn="1" w:oddVBand="0" w:evenVBand="0" w:oddHBand="0" w:evenHBand="0" w:firstRowFirstColumn="0" w:firstRowLastColumn="0" w:lastRowFirstColumn="0" w:lastRowLastColumn="0"/>
                <w:tcW w:w="3132" w:type="dxa"/>
              </w:tcPr>
              <w:p w14:paraId="66EA29B7"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10(1) and (3) Reg 713/2009</w:t>
                </w:r>
              </w:p>
            </w:tc>
          </w:tr>
          <w:tr w:rsidR="00D62896" w:rsidRPr="00FF027F" w14:paraId="647DA7E3" w14:textId="77777777" w:rsidTr="008F283B">
            <w:trPr>
              <w:trHeight w:val="143"/>
            </w:trPr>
            <w:tc>
              <w:tcPr>
                <w:tcW w:w="3474" w:type="dxa"/>
              </w:tcPr>
              <w:p w14:paraId="3BFDCF44"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objective, reliable and easily accessible information to the public and interested parties.</w:t>
                </w:r>
              </w:p>
            </w:tc>
            <w:tc>
              <w:tcPr>
                <w:tcW w:w="2466" w:type="dxa"/>
              </w:tcPr>
              <w:p w14:paraId="130541BE"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Information</w:t>
                </w:r>
              </w:p>
            </w:tc>
            <w:tc>
              <w:tcPr>
                <w:cnfStyle w:val="000100000000" w:firstRow="0" w:lastRow="0" w:firstColumn="0" w:lastColumn="1" w:oddVBand="0" w:evenVBand="0" w:oddHBand="0" w:evenHBand="0" w:firstRowFirstColumn="0" w:firstRowLastColumn="0" w:lastRowFirstColumn="0" w:lastRowLastColumn="0"/>
                <w:tcW w:w="3132" w:type="dxa"/>
              </w:tcPr>
              <w:p w14:paraId="4BB7C7ED"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10(2) Reg 713/2009</w:t>
                </w:r>
              </w:p>
            </w:tc>
          </w:tr>
          <w:tr w:rsidR="00D62896" w:rsidRPr="00FF027F" w14:paraId="73180377" w14:textId="77777777" w:rsidTr="008F283B">
            <w:trPr>
              <w:trHeight w:val="143"/>
            </w:trPr>
            <w:tc>
              <w:tcPr>
                <w:tcW w:w="3474" w:type="dxa"/>
                <w:tcBorders>
                  <w:bottom w:val="single" w:sz="6" w:space="0" w:color="000080"/>
                </w:tcBorders>
              </w:tcPr>
              <w:p w14:paraId="439E92AC"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Make public agenda, background documents and minutes of meetings of AB, BoR and BoA.</w:t>
                </w:r>
              </w:p>
            </w:tc>
            <w:tc>
              <w:tcPr>
                <w:tcW w:w="2466" w:type="dxa"/>
                <w:tcBorders>
                  <w:bottom w:val="single" w:sz="6" w:space="0" w:color="000080"/>
                </w:tcBorders>
              </w:tcPr>
              <w:p w14:paraId="356D96D8"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Publication</w:t>
                </w:r>
              </w:p>
            </w:tc>
            <w:tc>
              <w:tcPr>
                <w:cnfStyle w:val="000100000000" w:firstRow="0" w:lastRow="0" w:firstColumn="0" w:lastColumn="1" w:oddVBand="0" w:evenVBand="0" w:oddHBand="0" w:evenHBand="0" w:firstRowFirstColumn="0" w:firstRowLastColumn="0" w:lastRowFirstColumn="0" w:lastRowLastColumn="0"/>
                <w:tcW w:w="3132" w:type="dxa"/>
                <w:tcBorders>
                  <w:bottom w:val="single" w:sz="6" w:space="0" w:color="000080"/>
                </w:tcBorders>
              </w:tcPr>
              <w:p w14:paraId="4840A573"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10(4) Reg 713/2009</w:t>
                </w:r>
              </w:p>
            </w:tc>
          </w:tr>
          <w:tr w:rsidR="00D62896" w:rsidRPr="00FF027F" w14:paraId="5EE90585" w14:textId="77777777" w:rsidTr="008F283B">
            <w:trPr>
              <w:trHeight w:val="143"/>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7B49F280" w14:textId="77777777" w:rsidR="00D62896" w:rsidRPr="00FF027F" w:rsidRDefault="00D62896" w:rsidP="00DA6A13">
                <w:pPr>
                  <w:spacing w:line="240" w:lineRule="auto"/>
                  <w:ind w:left="709" w:right="170" w:hanging="425"/>
                  <w:jc w:val="left"/>
                  <w:rPr>
                    <w:rFonts w:ascii="Arial" w:hAnsi="Arial" w:cs="Arial"/>
                    <w:lang w:val="en-GB"/>
                  </w:rPr>
                </w:pPr>
                <w:r w:rsidRPr="00FF027F">
                  <w:rPr>
                    <w:rFonts w:ascii="Arial" w:hAnsi="Arial" w:cs="Arial"/>
                    <w:lang w:val="en-GB"/>
                  </w:rPr>
                  <w:t>Other tasks</w:t>
                </w:r>
              </w:p>
            </w:tc>
          </w:tr>
          <w:tr w:rsidR="00D62896" w:rsidRPr="00FF027F" w14:paraId="1886D765" w14:textId="77777777" w:rsidTr="008F283B">
            <w:trPr>
              <w:trHeight w:val="143"/>
            </w:trPr>
            <w:tc>
              <w:tcPr>
                <w:tcW w:w="3474" w:type="dxa"/>
              </w:tcPr>
              <w:p w14:paraId="2C85A43F"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Approve compliance programmes of joint undertakings.</w:t>
                </w:r>
              </w:p>
            </w:tc>
            <w:tc>
              <w:tcPr>
                <w:tcW w:w="2466" w:type="dxa"/>
              </w:tcPr>
              <w:p w14:paraId="1DFAD211"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Approval</w:t>
                </w:r>
              </w:p>
            </w:tc>
            <w:tc>
              <w:tcPr>
                <w:cnfStyle w:val="000100000000" w:firstRow="0" w:lastRow="0" w:firstColumn="0" w:lastColumn="1" w:oddVBand="0" w:evenVBand="0" w:oddHBand="0" w:evenHBand="0" w:firstRowFirstColumn="0" w:firstRowLastColumn="0" w:lastRowFirstColumn="0" w:lastRowLastColumn="0"/>
                <w:tcW w:w="3132" w:type="dxa"/>
              </w:tcPr>
              <w:p w14:paraId="3A598D19"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6(4) Dir 2009/72;</w:t>
                </w:r>
                <w:r w:rsidRPr="00FF027F">
                  <w:rPr>
                    <w:rFonts w:ascii="Arial" w:hAnsi="Arial" w:cs="Arial"/>
                    <w:b w:val="0"/>
                    <w:lang w:val="en-GB"/>
                  </w:rPr>
                  <w:br/>
                  <w:t>Article 7(4) Dir 2009/73</w:t>
                </w:r>
              </w:p>
            </w:tc>
          </w:tr>
          <w:tr w:rsidR="00D62896" w:rsidRPr="00FF027F" w14:paraId="1C390E4F" w14:textId="77777777" w:rsidTr="008F283B">
            <w:trPr>
              <w:trHeight w:val="831"/>
            </w:trPr>
            <w:tc>
              <w:tcPr>
                <w:tcW w:w="3474" w:type="dxa"/>
              </w:tcPr>
              <w:p w14:paraId="0801F2F8"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Respond to consultation on Guidelines.</w:t>
                </w:r>
              </w:p>
            </w:tc>
            <w:tc>
              <w:tcPr>
                <w:tcW w:w="2466" w:type="dxa"/>
              </w:tcPr>
              <w:p w14:paraId="4DD2CD30"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32" w:type="dxa"/>
              </w:tcPr>
              <w:p w14:paraId="2B169403"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18(3) Reg 714/2009;</w:t>
                </w:r>
                <w:r w:rsidRPr="00FF027F">
                  <w:rPr>
                    <w:rFonts w:ascii="Arial" w:hAnsi="Arial" w:cs="Arial"/>
                    <w:b w:val="0"/>
                    <w:lang w:val="en-GB"/>
                  </w:rPr>
                  <w:br/>
                  <w:t>Article 23(1) Reg 715/2009</w:t>
                </w:r>
              </w:p>
            </w:tc>
          </w:tr>
          <w:tr w:rsidR="00D62896" w:rsidRPr="00FF027F" w14:paraId="1D7D7117" w14:textId="77777777" w:rsidTr="008F283B">
            <w:trPr>
              <w:trHeight w:val="2550"/>
            </w:trPr>
            <w:tc>
              <w:tcPr>
                <w:tcW w:w="3474" w:type="dxa"/>
              </w:tcPr>
              <w:p w14:paraId="53E6B0A9"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opinions or recommendations on any of the issues relating to the purpose for which it has been established, upon a request of the European Parliament, the Council or the Commission, or on its own initiative.</w:t>
                </w:r>
              </w:p>
            </w:tc>
            <w:tc>
              <w:tcPr>
                <w:tcW w:w="2466" w:type="dxa"/>
              </w:tcPr>
              <w:p w14:paraId="54141391"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Opinion Recommendation</w:t>
                </w:r>
              </w:p>
            </w:tc>
            <w:tc>
              <w:tcPr>
                <w:cnfStyle w:val="000100000000" w:firstRow="0" w:lastRow="0" w:firstColumn="0" w:lastColumn="1" w:oddVBand="0" w:evenVBand="0" w:oddHBand="0" w:evenHBand="0" w:firstRowFirstColumn="0" w:firstRowLastColumn="0" w:lastRowFirstColumn="0" w:lastRowLastColumn="0"/>
                <w:tcW w:w="3132" w:type="dxa"/>
              </w:tcPr>
              <w:p w14:paraId="213F8927"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5 Reg 713/2009</w:t>
                </w:r>
              </w:p>
            </w:tc>
          </w:tr>
          <w:tr w:rsidR="00D62896" w:rsidRPr="00FF027F" w14:paraId="34478EFF" w14:textId="77777777" w:rsidTr="008F283B">
            <w:trPr>
              <w:trHeight w:val="1020"/>
            </w:trPr>
            <w:tc>
              <w:tcPr>
                <w:tcW w:w="3474" w:type="dxa"/>
              </w:tcPr>
              <w:p w14:paraId="7068439D"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lang w:val="en-GB"/>
                  </w:rPr>
                </w:pPr>
                <w:r w:rsidRPr="00FF027F">
                  <w:rPr>
                    <w:rFonts w:ascii="Arial" w:hAnsi="Arial" w:cs="Arial"/>
                    <w:lang w:val="en-GB"/>
                  </w:rPr>
                  <w:t>Provide secretarial services to the Administrative Board.</w:t>
                </w:r>
              </w:p>
            </w:tc>
            <w:tc>
              <w:tcPr>
                <w:tcW w:w="2466" w:type="dxa"/>
              </w:tcPr>
              <w:p w14:paraId="6AF6CA14" w14:textId="77777777" w:rsidR="00D62896" w:rsidRPr="00FF027F" w:rsidRDefault="00D62896" w:rsidP="00DA6A13">
                <w:pPr>
                  <w:spacing w:line="240" w:lineRule="auto"/>
                  <w:ind w:left="284"/>
                  <w:jc w:val="left"/>
                  <w:rPr>
                    <w:rFonts w:ascii="Arial" w:hAnsi="Arial" w:cs="Arial"/>
                    <w:lang w:val="en-GB"/>
                  </w:rPr>
                </w:pPr>
                <w:r w:rsidRPr="00FF027F">
                  <w:rPr>
                    <w:rFonts w:ascii="Arial" w:hAnsi="Arial" w:cs="Arial"/>
                    <w:lang w:val="en-GB"/>
                  </w:rPr>
                  <w:t>Support</w:t>
                </w:r>
              </w:p>
            </w:tc>
            <w:tc>
              <w:tcPr>
                <w:cnfStyle w:val="000100000000" w:firstRow="0" w:lastRow="0" w:firstColumn="0" w:lastColumn="1" w:oddVBand="0" w:evenVBand="0" w:oddHBand="0" w:evenHBand="0" w:firstRowFirstColumn="0" w:firstRowLastColumn="0" w:lastRowFirstColumn="0" w:lastRowLastColumn="0"/>
                <w:tcW w:w="3132" w:type="dxa"/>
              </w:tcPr>
              <w:p w14:paraId="18B35EC6"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12(3) Reg 713/2009</w:t>
                </w:r>
              </w:p>
            </w:tc>
          </w:tr>
          <w:tr w:rsidR="00D62896" w:rsidRPr="00FF027F" w14:paraId="06D0BFD7" w14:textId="77777777" w:rsidTr="008F283B">
            <w:trPr>
              <w:cnfStyle w:val="010000000000" w:firstRow="0" w:lastRow="1" w:firstColumn="0" w:lastColumn="0" w:oddVBand="0" w:evenVBand="0" w:oddHBand="0" w:evenHBand="0" w:firstRowFirstColumn="0" w:firstRowLastColumn="0" w:lastRowFirstColumn="0" w:lastRowLastColumn="0"/>
              <w:trHeight w:val="975"/>
            </w:trPr>
            <w:tc>
              <w:tcPr>
                <w:tcW w:w="3474" w:type="dxa"/>
              </w:tcPr>
              <w:p w14:paraId="3845A7E6" w14:textId="77777777" w:rsidR="00D62896" w:rsidRPr="00FF027F" w:rsidRDefault="00D62896" w:rsidP="00DA6A13">
                <w:pPr>
                  <w:numPr>
                    <w:ilvl w:val="0"/>
                    <w:numId w:val="12"/>
                  </w:numPr>
                  <w:tabs>
                    <w:tab w:val="clear" w:pos="360"/>
                  </w:tabs>
                  <w:spacing w:line="240" w:lineRule="auto"/>
                  <w:ind w:left="709" w:right="170" w:hanging="425"/>
                  <w:jc w:val="left"/>
                  <w:rPr>
                    <w:rFonts w:ascii="Arial" w:hAnsi="Arial" w:cs="Arial"/>
                    <w:b w:val="0"/>
                    <w:lang w:val="en-GB"/>
                  </w:rPr>
                </w:pPr>
                <w:r w:rsidRPr="00FF027F">
                  <w:rPr>
                    <w:rFonts w:ascii="Arial" w:hAnsi="Arial" w:cs="Arial"/>
                    <w:b w:val="0"/>
                    <w:lang w:val="en-GB"/>
                  </w:rPr>
                  <w:t xml:space="preserve">Provide secretarial services to the Board of Regulators. </w:t>
                </w:r>
              </w:p>
            </w:tc>
            <w:tc>
              <w:tcPr>
                <w:tcW w:w="2466" w:type="dxa"/>
              </w:tcPr>
              <w:p w14:paraId="63470588"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Support</w:t>
                </w:r>
              </w:p>
            </w:tc>
            <w:tc>
              <w:tcPr>
                <w:cnfStyle w:val="000100000000" w:firstRow="0" w:lastRow="0" w:firstColumn="0" w:lastColumn="1" w:oddVBand="0" w:evenVBand="0" w:oddHBand="0" w:evenHBand="0" w:firstRowFirstColumn="0" w:firstRowLastColumn="0" w:lastRowFirstColumn="0" w:lastRowLastColumn="0"/>
                <w:tcW w:w="3132" w:type="dxa"/>
              </w:tcPr>
              <w:p w14:paraId="36AC3096" w14:textId="77777777" w:rsidR="00D62896" w:rsidRPr="00FF027F" w:rsidRDefault="00D62896" w:rsidP="00DA6A13">
                <w:pPr>
                  <w:spacing w:line="240" w:lineRule="auto"/>
                  <w:ind w:left="284"/>
                  <w:jc w:val="left"/>
                  <w:rPr>
                    <w:rFonts w:ascii="Arial" w:hAnsi="Arial" w:cs="Arial"/>
                    <w:b w:val="0"/>
                    <w:lang w:val="en-GB"/>
                  </w:rPr>
                </w:pPr>
                <w:r w:rsidRPr="00FF027F">
                  <w:rPr>
                    <w:rFonts w:ascii="Arial" w:hAnsi="Arial" w:cs="Arial"/>
                    <w:b w:val="0"/>
                    <w:lang w:val="en-GB"/>
                  </w:rPr>
                  <w:t>Article 14(5) Reg 713/2009</w:t>
                </w:r>
              </w:p>
            </w:tc>
          </w:tr>
        </w:tbl>
        <w:p w14:paraId="19CFAD19" w14:textId="77777777" w:rsidR="00381EC0" w:rsidRPr="00FF027F" w:rsidRDefault="00381EC0" w:rsidP="00460D5C">
          <w:pPr>
            <w:spacing w:before="120" w:after="120" w:line="360" w:lineRule="auto"/>
            <w:ind w:left="289"/>
            <w:rPr>
              <w:rFonts w:ascii="Arial" w:hAnsi="Arial" w:cs="Arial"/>
              <w:sz w:val="16"/>
              <w:szCs w:val="16"/>
              <w:lang w:val="en-GB"/>
            </w:rPr>
          </w:pPr>
        </w:p>
        <w:tbl>
          <w:tblPr>
            <w:tblStyle w:val="TableGrid8"/>
            <w:tblW w:w="9072" w:type="dxa"/>
            <w:tblInd w:w="108" w:type="dxa"/>
            <w:tblLook w:val="01E0" w:firstRow="1" w:lastRow="1" w:firstColumn="1" w:lastColumn="1" w:noHBand="0" w:noVBand="0"/>
          </w:tblPr>
          <w:tblGrid>
            <w:gridCol w:w="3656"/>
            <w:gridCol w:w="2298"/>
            <w:gridCol w:w="3118"/>
          </w:tblGrid>
          <w:tr w:rsidR="00D62896" w:rsidRPr="00FF027F" w14:paraId="59073B47" w14:textId="77777777" w:rsidTr="00783FCF">
            <w:trPr>
              <w:cnfStyle w:val="100000000000" w:firstRow="1" w:lastRow="0" w:firstColumn="0" w:lastColumn="0" w:oddVBand="0" w:evenVBand="0" w:oddHBand="0" w:evenHBand="0" w:firstRowFirstColumn="0" w:firstRowLastColumn="0" w:lastRowFirstColumn="0" w:lastRowLastColumn="0"/>
              <w:trHeight w:val="141"/>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0B9E7550" w14:textId="07B610FE" w:rsidR="00B70D2E" w:rsidRPr="00FF027F" w:rsidRDefault="00D62896" w:rsidP="00E932AB">
                <w:pPr>
                  <w:spacing w:line="240" w:lineRule="auto"/>
                  <w:ind w:left="284"/>
                  <w:jc w:val="left"/>
                  <w:rPr>
                    <w:rFonts w:ascii="Arial" w:hAnsi="Arial" w:cs="Arial"/>
                    <w:color w:val="FFFFFF" w:themeColor="background1"/>
                    <w:lang w:val="en-GB"/>
                  </w:rPr>
                </w:pPr>
                <w:r w:rsidRPr="00FF027F">
                  <w:rPr>
                    <w:rFonts w:ascii="Arial" w:hAnsi="Arial" w:cs="Arial"/>
                    <w:color w:val="FFFFFF" w:themeColor="background1"/>
                    <w:highlight w:val="darkBlue"/>
                    <w:lang w:val="en-GB"/>
                  </w:rPr>
                  <w:t>B - Tasks assigned by the ITC Regulation</w:t>
                </w:r>
              </w:p>
            </w:tc>
          </w:tr>
          <w:tr w:rsidR="00D62896" w:rsidRPr="00FF027F" w14:paraId="780FA454" w14:textId="77777777" w:rsidTr="00783FCF">
            <w:trPr>
              <w:trHeight w:val="141"/>
            </w:trPr>
            <w:tc>
              <w:tcPr>
                <w:tcW w:w="3656" w:type="dxa"/>
                <w:tcBorders>
                  <w:bottom w:val="single" w:sz="6" w:space="0" w:color="000080"/>
                </w:tcBorders>
                <w:shd w:val="clear" w:color="auto" w:fill="C6D9F1" w:themeFill="text2" w:themeFillTint="33"/>
              </w:tcPr>
              <w:p w14:paraId="0579FBFF" w14:textId="77777777" w:rsidR="00D62896" w:rsidRPr="00FF027F" w:rsidRDefault="00D62896" w:rsidP="00B70D2E">
                <w:pPr>
                  <w:spacing w:line="240" w:lineRule="auto"/>
                  <w:ind w:left="284"/>
                  <w:jc w:val="left"/>
                  <w:rPr>
                    <w:rFonts w:ascii="Arial" w:hAnsi="Arial" w:cs="Arial"/>
                    <w:b/>
                    <w:lang w:val="en-GB"/>
                  </w:rPr>
                </w:pPr>
                <w:r w:rsidRPr="00FF027F">
                  <w:rPr>
                    <w:rFonts w:ascii="Arial" w:hAnsi="Arial" w:cs="Arial"/>
                    <w:b/>
                    <w:lang w:val="en-GB"/>
                  </w:rPr>
                  <w:t>Agency’s task</w:t>
                </w:r>
              </w:p>
            </w:tc>
            <w:tc>
              <w:tcPr>
                <w:tcW w:w="2298" w:type="dxa"/>
                <w:tcBorders>
                  <w:bottom w:val="single" w:sz="6" w:space="0" w:color="000080"/>
                </w:tcBorders>
                <w:shd w:val="clear" w:color="auto" w:fill="C6D9F1" w:themeFill="text2" w:themeFillTint="33"/>
              </w:tcPr>
              <w:p w14:paraId="33C51A03" w14:textId="77777777" w:rsidR="00D62896" w:rsidRPr="00FF027F" w:rsidRDefault="00D62896" w:rsidP="00B70D2E">
                <w:pPr>
                  <w:spacing w:line="240" w:lineRule="auto"/>
                  <w:ind w:left="284"/>
                  <w:jc w:val="left"/>
                  <w:rPr>
                    <w:rFonts w:ascii="Arial" w:hAnsi="Arial" w:cs="Arial"/>
                    <w:b/>
                    <w:lang w:val="en-GB"/>
                  </w:rPr>
                </w:pPr>
                <w:r w:rsidRPr="00FF027F">
                  <w:rPr>
                    <w:rFonts w:ascii="Arial" w:hAnsi="Arial" w:cs="Arial"/>
                    <w:b/>
                    <w:lang w:val="en-GB"/>
                  </w:rPr>
                  <w:t>Type of action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shd w:val="clear" w:color="auto" w:fill="C6D9F1" w:themeFill="text2" w:themeFillTint="33"/>
              </w:tcPr>
              <w:p w14:paraId="2B83BDA8"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Legal basis</w:t>
                </w:r>
              </w:p>
            </w:tc>
          </w:tr>
          <w:tr w:rsidR="00D62896" w:rsidRPr="00FF027F" w14:paraId="6B0292CD" w14:textId="77777777" w:rsidTr="00783FCF">
            <w:trPr>
              <w:trHeight w:val="141"/>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0B20239A"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 xml:space="preserve">ITC Mechanism </w:t>
                </w:r>
              </w:p>
            </w:tc>
          </w:tr>
          <w:tr w:rsidR="00D62896" w:rsidRPr="00FF027F" w14:paraId="092CA106" w14:textId="77777777" w:rsidTr="0045160F">
            <w:trPr>
              <w:trHeight w:val="141"/>
            </w:trPr>
            <w:tc>
              <w:tcPr>
                <w:tcW w:w="3656" w:type="dxa"/>
              </w:tcPr>
              <w:p w14:paraId="5CC6A3BA" w14:textId="77777777" w:rsidR="00D62896" w:rsidRPr="00FF027F" w:rsidRDefault="00D62896" w:rsidP="00B70D2E">
                <w:pPr>
                  <w:numPr>
                    <w:ilvl w:val="0"/>
                    <w:numId w:val="16"/>
                  </w:numPr>
                  <w:tabs>
                    <w:tab w:val="clear" w:pos="360"/>
                  </w:tabs>
                  <w:spacing w:line="240" w:lineRule="auto"/>
                  <w:ind w:left="567" w:right="161" w:hanging="283"/>
                  <w:jc w:val="left"/>
                  <w:rPr>
                    <w:rFonts w:ascii="Arial" w:hAnsi="Arial" w:cs="Arial"/>
                    <w:lang w:val="en-GB"/>
                  </w:rPr>
                </w:pPr>
                <w:r w:rsidRPr="00FF027F">
                  <w:rPr>
                    <w:rFonts w:ascii="Arial" w:hAnsi="Arial" w:cs="Arial"/>
                    <w:lang w:val="en-GB"/>
                  </w:rPr>
                  <w:t>Oversee the implementation of the Inter-Transmission System Operator Compensation (‘ITC’) Mechanism.</w:t>
                </w:r>
              </w:p>
            </w:tc>
            <w:tc>
              <w:tcPr>
                <w:tcW w:w="2298" w:type="dxa"/>
              </w:tcPr>
              <w:p w14:paraId="4B840E15"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Monitoring</w:t>
                </w:r>
              </w:p>
            </w:tc>
            <w:tc>
              <w:tcPr>
                <w:cnfStyle w:val="000100000000" w:firstRow="0" w:lastRow="0" w:firstColumn="0" w:lastColumn="1" w:oddVBand="0" w:evenVBand="0" w:oddHBand="0" w:evenHBand="0" w:firstRowFirstColumn="0" w:firstRowLastColumn="0" w:lastRowFirstColumn="0" w:lastRowLastColumn="0"/>
                <w:tcW w:w="3118" w:type="dxa"/>
              </w:tcPr>
              <w:p w14:paraId="241D0A9B"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 1.4 Guidelines on the ITC Mechanism – Annex to Reg 838/2010 – Part A</w:t>
                </w:r>
              </w:p>
            </w:tc>
          </w:tr>
          <w:tr w:rsidR="00D62896" w:rsidRPr="00FF027F" w14:paraId="35B10FAA" w14:textId="77777777" w:rsidTr="0045160F">
            <w:trPr>
              <w:trHeight w:val="141"/>
            </w:trPr>
            <w:tc>
              <w:tcPr>
                <w:tcW w:w="3656" w:type="dxa"/>
              </w:tcPr>
              <w:p w14:paraId="102A05F3" w14:textId="77777777" w:rsidR="00D62896" w:rsidRPr="00FF027F" w:rsidRDefault="00D62896" w:rsidP="00B70D2E">
                <w:pPr>
                  <w:numPr>
                    <w:ilvl w:val="0"/>
                    <w:numId w:val="16"/>
                  </w:numPr>
                  <w:tabs>
                    <w:tab w:val="clear" w:pos="360"/>
                  </w:tabs>
                  <w:spacing w:line="240" w:lineRule="auto"/>
                  <w:ind w:left="567" w:right="161" w:hanging="283"/>
                  <w:jc w:val="left"/>
                  <w:rPr>
                    <w:rFonts w:ascii="Arial" w:hAnsi="Arial" w:cs="Arial"/>
                    <w:lang w:val="en-GB"/>
                  </w:rPr>
                </w:pPr>
                <w:r w:rsidRPr="00FF027F">
                  <w:rPr>
                    <w:rFonts w:ascii="Arial" w:hAnsi="Arial" w:cs="Arial"/>
                    <w:lang w:val="en-GB"/>
                  </w:rPr>
                  <w:t>Report to the Commission on the implementation of the ITC mechanism and the management of the ITC fund.</w:t>
                </w:r>
              </w:p>
            </w:tc>
            <w:tc>
              <w:tcPr>
                <w:tcW w:w="2298" w:type="dxa"/>
              </w:tcPr>
              <w:p w14:paraId="3732F98B"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Reporting</w:t>
                </w:r>
              </w:p>
            </w:tc>
            <w:tc>
              <w:tcPr>
                <w:cnfStyle w:val="000100000000" w:firstRow="0" w:lastRow="0" w:firstColumn="0" w:lastColumn="1" w:oddVBand="0" w:evenVBand="0" w:oddHBand="0" w:evenHBand="0" w:firstRowFirstColumn="0" w:firstRowLastColumn="0" w:lastRowFirstColumn="0" w:lastRowLastColumn="0"/>
                <w:tcW w:w="3118" w:type="dxa"/>
              </w:tcPr>
              <w:p w14:paraId="399C212A"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 1.4 Guidelines on the ITC Mechanism – Annex to Reg 838/2010 – Part A</w:t>
                </w:r>
              </w:p>
            </w:tc>
          </w:tr>
          <w:tr w:rsidR="00D62896" w:rsidRPr="00FF027F" w14:paraId="03BA3F57" w14:textId="77777777" w:rsidTr="0045160F">
            <w:trPr>
              <w:trHeight w:val="141"/>
            </w:trPr>
            <w:tc>
              <w:tcPr>
                <w:tcW w:w="3656" w:type="dxa"/>
              </w:tcPr>
              <w:p w14:paraId="64B2CA91" w14:textId="6B84B6E3" w:rsidR="00D62896" w:rsidRPr="00FF027F" w:rsidRDefault="00D62896" w:rsidP="007510B6">
                <w:pPr>
                  <w:numPr>
                    <w:ilvl w:val="0"/>
                    <w:numId w:val="16"/>
                  </w:numPr>
                  <w:tabs>
                    <w:tab w:val="clear" w:pos="360"/>
                  </w:tabs>
                  <w:spacing w:line="240" w:lineRule="auto"/>
                  <w:ind w:left="567" w:right="161" w:hanging="283"/>
                  <w:jc w:val="left"/>
                  <w:rPr>
                    <w:rFonts w:ascii="Arial" w:hAnsi="Arial" w:cs="Arial"/>
                    <w:lang w:val="en-GB"/>
                  </w:rPr>
                </w:pPr>
                <w:r w:rsidRPr="00FF027F">
                  <w:rPr>
                    <w:rFonts w:ascii="Arial" w:hAnsi="Arial" w:cs="Arial"/>
                    <w:lang w:val="en-GB"/>
                  </w:rPr>
                  <w:t xml:space="preserve">Provide an opinion on multi-party agreements’ recommendations on adjustment to total compensation for the compensation for making infrastructure available to host cross-border </w:t>
                </w:r>
                <w:r w:rsidR="007510B6" w:rsidRPr="00FF027F">
                  <w:rPr>
                    <w:rFonts w:ascii="Arial" w:hAnsi="Arial" w:cs="Arial"/>
                    <w:lang w:val="en-GB"/>
                  </w:rPr>
                  <w:t xml:space="preserve">electricity </w:t>
                </w:r>
                <w:r w:rsidRPr="00FF027F">
                  <w:rPr>
                    <w:rFonts w:ascii="Arial" w:hAnsi="Arial" w:cs="Arial"/>
                    <w:lang w:val="en-GB"/>
                  </w:rPr>
                  <w:t xml:space="preserve">flows. </w:t>
                </w:r>
              </w:p>
            </w:tc>
            <w:tc>
              <w:tcPr>
                <w:tcW w:w="2298" w:type="dxa"/>
              </w:tcPr>
              <w:p w14:paraId="3A120666"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18" w:type="dxa"/>
              </w:tcPr>
              <w:p w14:paraId="608C5C35"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 3.3 Guidelines on the ITC Mechanism – Annex to Reg 838/2010 – Part A</w:t>
                </w:r>
              </w:p>
            </w:tc>
          </w:tr>
          <w:tr w:rsidR="00D62896" w:rsidRPr="00FF027F" w14:paraId="1FA27BE2" w14:textId="77777777" w:rsidTr="0045160F">
            <w:trPr>
              <w:trHeight w:val="141"/>
            </w:trPr>
            <w:tc>
              <w:tcPr>
                <w:tcW w:w="3656" w:type="dxa"/>
              </w:tcPr>
              <w:p w14:paraId="1B1C972B" w14:textId="77777777" w:rsidR="00D62896" w:rsidRPr="00FF027F" w:rsidRDefault="00D62896" w:rsidP="00B70D2E">
                <w:pPr>
                  <w:numPr>
                    <w:ilvl w:val="0"/>
                    <w:numId w:val="16"/>
                  </w:numPr>
                  <w:tabs>
                    <w:tab w:val="clear" w:pos="360"/>
                  </w:tabs>
                  <w:spacing w:line="240" w:lineRule="auto"/>
                  <w:ind w:left="567" w:right="161" w:hanging="283"/>
                  <w:jc w:val="left"/>
                  <w:rPr>
                    <w:rFonts w:ascii="Arial" w:hAnsi="Arial" w:cs="Arial"/>
                    <w:lang w:val="en-GB"/>
                  </w:rPr>
                </w:pPr>
                <w:r w:rsidRPr="00FF027F">
                  <w:rPr>
                    <w:rFonts w:ascii="Arial" w:hAnsi="Arial" w:cs="Arial"/>
                    <w:lang w:val="en-GB"/>
                  </w:rPr>
                  <w:t>Provide a response to the Commission’s consultation on the opinion on multi-party agreements relating to the compensation for the costs of hosting cross-border flows of electricity between transmission system operators participating in the ITC mechanism and those transmission system operators from third countries.</w:t>
                </w:r>
              </w:p>
            </w:tc>
            <w:tc>
              <w:tcPr>
                <w:tcW w:w="2298" w:type="dxa"/>
              </w:tcPr>
              <w:p w14:paraId="32E006B1"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Response to consultation</w:t>
                </w:r>
              </w:p>
            </w:tc>
            <w:tc>
              <w:tcPr>
                <w:cnfStyle w:val="000100000000" w:firstRow="0" w:lastRow="0" w:firstColumn="0" w:lastColumn="1" w:oddVBand="0" w:evenVBand="0" w:oddHBand="0" w:evenHBand="0" w:firstRowFirstColumn="0" w:firstRowLastColumn="0" w:lastRowFirstColumn="0" w:lastRowLastColumn="0"/>
                <w:tcW w:w="3118" w:type="dxa"/>
              </w:tcPr>
              <w:p w14:paraId="576D855F"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 3.6 Guidelines on the ITC Mechanism – Annex to Reg 838/2010 – Part A</w:t>
                </w:r>
              </w:p>
            </w:tc>
          </w:tr>
          <w:tr w:rsidR="00D62896" w:rsidRPr="00FF027F" w14:paraId="6BE6686D" w14:textId="77777777" w:rsidTr="0045160F">
            <w:trPr>
              <w:trHeight w:val="141"/>
            </w:trPr>
            <w:tc>
              <w:tcPr>
                <w:tcW w:w="3656" w:type="dxa"/>
              </w:tcPr>
              <w:p w14:paraId="377755EF" w14:textId="77777777" w:rsidR="00D62896" w:rsidRPr="00FF027F" w:rsidRDefault="00D62896" w:rsidP="00B70D2E">
                <w:pPr>
                  <w:numPr>
                    <w:ilvl w:val="0"/>
                    <w:numId w:val="16"/>
                  </w:numPr>
                  <w:tabs>
                    <w:tab w:val="clear" w:pos="360"/>
                  </w:tabs>
                  <w:spacing w:line="240" w:lineRule="auto"/>
                  <w:ind w:left="567" w:right="161" w:hanging="283"/>
                  <w:jc w:val="left"/>
                  <w:rPr>
                    <w:rFonts w:ascii="Arial" w:hAnsi="Arial" w:cs="Arial"/>
                    <w:lang w:val="en-GB"/>
                  </w:rPr>
                </w:pPr>
                <w:r w:rsidRPr="00FF027F">
                  <w:rPr>
                    <w:rFonts w:ascii="Arial" w:hAnsi="Arial" w:cs="Arial"/>
                    <w:lang w:val="en-GB"/>
                  </w:rPr>
                  <w:t>Make a proposal to the Commission on the annual cross-border infrastructure compensation sum and provide an opinion to the Commission as to the suitability of using long run average incremental costs for the assessment of the costs of making infrastructure available for hosting cross-border flows.</w:t>
                </w:r>
              </w:p>
            </w:tc>
            <w:tc>
              <w:tcPr>
                <w:tcW w:w="2298" w:type="dxa"/>
              </w:tcPr>
              <w:p w14:paraId="78287A94"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Proposal Opinion</w:t>
                </w:r>
              </w:p>
            </w:tc>
            <w:tc>
              <w:tcPr>
                <w:cnfStyle w:val="000100000000" w:firstRow="0" w:lastRow="0" w:firstColumn="0" w:lastColumn="1" w:oddVBand="0" w:evenVBand="0" w:oddHBand="0" w:evenHBand="0" w:firstRowFirstColumn="0" w:firstRowLastColumn="0" w:lastRowFirstColumn="0" w:lastRowLastColumn="0"/>
                <w:tcW w:w="3118" w:type="dxa"/>
              </w:tcPr>
              <w:p w14:paraId="43F367EB"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Points 5.1, 5.3, and 5.5 Guidelines on the ITC Mechanism – Annex to Reg 838/2010 – Part A</w:t>
                </w:r>
              </w:p>
            </w:tc>
          </w:tr>
          <w:tr w:rsidR="00D62896" w:rsidRPr="00FF027F" w14:paraId="2BE8369E" w14:textId="77777777" w:rsidTr="00783FCF">
            <w:trPr>
              <w:trHeight w:val="141"/>
            </w:trPr>
            <w:tc>
              <w:tcPr>
                <w:tcW w:w="3656" w:type="dxa"/>
                <w:tcBorders>
                  <w:bottom w:val="single" w:sz="6" w:space="0" w:color="000080"/>
                </w:tcBorders>
              </w:tcPr>
              <w:p w14:paraId="0141176F" w14:textId="77777777" w:rsidR="00D62896" w:rsidRPr="00FF027F" w:rsidRDefault="00D62896" w:rsidP="00B70D2E">
                <w:pPr>
                  <w:numPr>
                    <w:ilvl w:val="0"/>
                    <w:numId w:val="16"/>
                  </w:numPr>
                  <w:tabs>
                    <w:tab w:val="clear" w:pos="360"/>
                  </w:tabs>
                  <w:spacing w:line="240" w:lineRule="auto"/>
                  <w:ind w:left="567" w:right="161" w:hanging="283"/>
                  <w:jc w:val="left"/>
                  <w:rPr>
                    <w:rFonts w:ascii="Arial" w:hAnsi="Arial" w:cs="Arial"/>
                    <w:lang w:val="en-GB"/>
                  </w:rPr>
                </w:pPr>
                <w:r w:rsidRPr="00FF027F">
                  <w:rPr>
                    <w:rFonts w:ascii="Arial" w:hAnsi="Arial" w:cs="Arial"/>
                    <w:lang w:val="en-GB"/>
                  </w:rPr>
                  <w:t>Provide an opinion to the Commission in case of disagreement on the proposal on the annual cross-border infrastructure compensation sum.</w:t>
                </w:r>
              </w:p>
            </w:tc>
            <w:tc>
              <w:tcPr>
                <w:tcW w:w="2298" w:type="dxa"/>
                <w:tcBorders>
                  <w:bottom w:val="single" w:sz="6" w:space="0" w:color="000080"/>
                </w:tcBorders>
              </w:tcPr>
              <w:p w14:paraId="392CBE4A"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tcPr>
              <w:p w14:paraId="048CE2DF"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 5.1 Guidelines on the ITC Mechanism – Annex to Reg 838/2010 – Part A</w:t>
                </w:r>
              </w:p>
            </w:tc>
          </w:tr>
          <w:tr w:rsidR="00D62896" w:rsidRPr="00FF027F" w14:paraId="123FD8C1" w14:textId="77777777" w:rsidTr="00783FCF">
            <w:trPr>
              <w:trHeight w:val="141"/>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06840852" w14:textId="77777777" w:rsidR="00D62896" w:rsidRPr="00FF027F" w:rsidRDefault="00D62896" w:rsidP="00B70D2E">
                <w:pPr>
                  <w:spacing w:line="240" w:lineRule="auto"/>
                  <w:ind w:left="567" w:right="161" w:hanging="283"/>
                  <w:jc w:val="left"/>
                  <w:rPr>
                    <w:rFonts w:ascii="Arial" w:hAnsi="Arial" w:cs="Arial"/>
                    <w:lang w:val="en-GB"/>
                  </w:rPr>
                </w:pPr>
                <w:r w:rsidRPr="00FF027F">
                  <w:rPr>
                    <w:rFonts w:ascii="Arial" w:hAnsi="Arial" w:cs="Arial"/>
                    <w:lang w:val="en-GB"/>
                  </w:rPr>
                  <w:t>Transmission Charging</w:t>
                </w:r>
              </w:p>
            </w:tc>
          </w:tr>
          <w:tr w:rsidR="00D62896" w:rsidRPr="00FF027F" w14:paraId="13505898" w14:textId="77777777" w:rsidTr="0045160F">
            <w:trPr>
              <w:trHeight w:val="141"/>
            </w:trPr>
            <w:tc>
              <w:tcPr>
                <w:tcW w:w="3656" w:type="dxa"/>
              </w:tcPr>
              <w:p w14:paraId="366B28F9" w14:textId="77777777" w:rsidR="00D62896" w:rsidRPr="00FF027F" w:rsidRDefault="00D62896" w:rsidP="00B70D2E">
                <w:pPr>
                  <w:numPr>
                    <w:ilvl w:val="0"/>
                    <w:numId w:val="16"/>
                  </w:numPr>
                  <w:tabs>
                    <w:tab w:val="clear" w:pos="360"/>
                  </w:tabs>
                  <w:spacing w:line="240" w:lineRule="auto"/>
                  <w:ind w:left="567" w:right="161" w:hanging="283"/>
                  <w:jc w:val="left"/>
                  <w:rPr>
                    <w:rFonts w:ascii="Arial" w:hAnsi="Arial" w:cs="Arial"/>
                    <w:lang w:val="en-GB"/>
                  </w:rPr>
                </w:pPr>
                <w:r w:rsidRPr="00FF027F">
                  <w:rPr>
                    <w:rFonts w:ascii="Arial" w:hAnsi="Arial" w:cs="Arial"/>
                    <w:lang w:val="en-GB"/>
                  </w:rPr>
                  <w:t xml:space="preserve">Monitor the appropriateness of the ranges of allowable transmission charges. </w:t>
                </w:r>
              </w:p>
            </w:tc>
            <w:tc>
              <w:tcPr>
                <w:tcW w:w="2298" w:type="dxa"/>
              </w:tcPr>
              <w:p w14:paraId="480FAF86"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Monitoring</w:t>
                </w:r>
              </w:p>
            </w:tc>
            <w:tc>
              <w:tcPr>
                <w:cnfStyle w:val="000100000000" w:firstRow="0" w:lastRow="0" w:firstColumn="0" w:lastColumn="1" w:oddVBand="0" w:evenVBand="0" w:oddHBand="0" w:evenHBand="0" w:firstRowFirstColumn="0" w:firstRowLastColumn="0" w:lastRowFirstColumn="0" w:lastRowLastColumn="0"/>
                <w:tcW w:w="3118" w:type="dxa"/>
              </w:tcPr>
              <w:p w14:paraId="1CCD8412"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 4. Guidelines for A Common Regulatory Approach to Transmission Charging - Annex to Reg 838/2010 – Part B</w:t>
                </w:r>
              </w:p>
            </w:tc>
          </w:tr>
          <w:tr w:rsidR="00D62896" w:rsidRPr="00FF027F" w14:paraId="5DB56BF3" w14:textId="77777777" w:rsidTr="0045160F">
            <w:trPr>
              <w:cnfStyle w:val="010000000000" w:firstRow="0" w:lastRow="1" w:firstColumn="0" w:lastColumn="0" w:oddVBand="0" w:evenVBand="0" w:oddHBand="0" w:evenHBand="0" w:firstRowFirstColumn="0" w:firstRowLastColumn="0" w:lastRowFirstColumn="0" w:lastRowLastColumn="0"/>
              <w:trHeight w:val="141"/>
            </w:trPr>
            <w:tc>
              <w:tcPr>
                <w:tcW w:w="3656" w:type="dxa"/>
              </w:tcPr>
              <w:p w14:paraId="0C637F96" w14:textId="77777777" w:rsidR="00D62896" w:rsidRPr="00FF027F" w:rsidRDefault="00D62896" w:rsidP="00B70D2E">
                <w:pPr>
                  <w:numPr>
                    <w:ilvl w:val="0"/>
                    <w:numId w:val="16"/>
                  </w:numPr>
                  <w:tabs>
                    <w:tab w:val="clear" w:pos="360"/>
                  </w:tabs>
                  <w:spacing w:line="240" w:lineRule="auto"/>
                  <w:ind w:left="567" w:right="161" w:hanging="283"/>
                  <w:jc w:val="left"/>
                  <w:rPr>
                    <w:rFonts w:ascii="Arial" w:hAnsi="Arial" w:cs="Arial"/>
                    <w:b w:val="0"/>
                    <w:lang w:val="en-GB"/>
                  </w:rPr>
                </w:pPr>
                <w:r w:rsidRPr="00FF027F">
                  <w:rPr>
                    <w:rFonts w:ascii="Arial" w:hAnsi="Arial" w:cs="Arial"/>
                    <w:b w:val="0"/>
                    <w:lang w:val="en-GB"/>
                  </w:rPr>
                  <w:t>Provide an opinion to the Commission as to the appropriate range or ranges of transmission charges for the period after 1 January 2015.</w:t>
                </w:r>
              </w:p>
            </w:tc>
            <w:tc>
              <w:tcPr>
                <w:tcW w:w="2298" w:type="dxa"/>
              </w:tcPr>
              <w:p w14:paraId="60225217"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Opinion</w:t>
                </w:r>
              </w:p>
            </w:tc>
            <w:tc>
              <w:tcPr>
                <w:cnfStyle w:val="000100000000" w:firstRow="0" w:lastRow="0" w:firstColumn="0" w:lastColumn="1" w:oddVBand="0" w:evenVBand="0" w:oddHBand="0" w:evenHBand="0" w:firstRowFirstColumn="0" w:firstRowLastColumn="0" w:lastRowFirstColumn="0" w:lastRowLastColumn="0"/>
                <w:tcW w:w="3118" w:type="dxa"/>
              </w:tcPr>
              <w:p w14:paraId="1FB429D4"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Point 5. Guidelines for A Common Regulatory Approach to Transmission Charging - Annex to Reg 838/2010 – Part B</w:t>
                </w:r>
              </w:p>
            </w:tc>
          </w:tr>
        </w:tbl>
        <w:p w14:paraId="13FB437D" w14:textId="77777777" w:rsidR="00D62896" w:rsidRPr="00FF027F" w:rsidRDefault="00D62896" w:rsidP="00460D5C">
          <w:pPr>
            <w:spacing w:before="120" w:after="120" w:line="360" w:lineRule="auto"/>
            <w:ind w:left="289"/>
            <w:rPr>
              <w:rFonts w:ascii="Arial" w:hAnsi="Arial" w:cs="Arial"/>
              <w:sz w:val="16"/>
              <w:szCs w:val="16"/>
              <w:lang w:val="en-GB"/>
            </w:rPr>
          </w:pPr>
        </w:p>
        <w:p w14:paraId="35015A8D" w14:textId="77777777" w:rsidR="008B50C0" w:rsidRDefault="008B50C0">
          <w:r>
            <w:rPr>
              <w:b/>
              <w:bCs/>
            </w:rPr>
            <w:br w:type="page"/>
          </w:r>
        </w:p>
        <w:tbl>
          <w:tblPr>
            <w:tblStyle w:val="TableGrid8"/>
            <w:tblW w:w="9072" w:type="dxa"/>
            <w:tblInd w:w="108" w:type="dxa"/>
            <w:tblLayout w:type="fixed"/>
            <w:tblLook w:val="01E0" w:firstRow="1" w:lastRow="1" w:firstColumn="1" w:lastColumn="1" w:noHBand="0" w:noVBand="0"/>
          </w:tblPr>
          <w:tblGrid>
            <w:gridCol w:w="3686"/>
            <w:gridCol w:w="2268"/>
            <w:gridCol w:w="3118"/>
          </w:tblGrid>
          <w:tr w:rsidR="00D62896" w:rsidRPr="00FF027F" w14:paraId="5805B2C8" w14:textId="77777777" w:rsidTr="00E932AB">
            <w:trPr>
              <w:cnfStyle w:val="100000000000" w:firstRow="1" w:lastRow="0" w:firstColumn="0" w:lastColumn="0" w:oddVBand="0" w:evenVBand="0" w:oddHBand="0" w:evenHBand="0" w:firstRowFirstColumn="0" w:firstRowLastColumn="0" w:lastRowFirstColumn="0" w:lastRowLastColumn="0"/>
              <w:trHeight w:val="525"/>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4F24F632" w14:textId="41C4C689" w:rsidR="00B70D2E" w:rsidRPr="00FF027F" w:rsidRDefault="00D62896" w:rsidP="00E932AB">
                <w:pPr>
                  <w:spacing w:after="0" w:line="240" w:lineRule="auto"/>
                  <w:ind w:left="288"/>
                  <w:jc w:val="left"/>
                  <w:rPr>
                    <w:rFonts w:ascii="Arial" w:hAnsi="Arial" w:cs="Arial"/>
                    <w:color w:val="FFFFFF" w:themeColor="background1"/>
                    <w:lang w:val="en-GB"/>
                  </w:rPr>
                </w:pPr>
                <w:r w:rsidRPr="00FF027F">
                  <w:rPr>
                    <w:rFonts w:ascii="Arial" w:hAnsi="Arial" w:cs="Arial"/>
                    <w:color w:val="FFFFFF" w:themeColor="background1"/>
                    <w:lang w:val="en-GB"/>
                  </w:rPr>
                  <w:t>C - Tasks assigned by the S</w:t>
                </w:r>
                <w:r w:rsidR="005552D8" w:rsidRPr="00FF027F">
                  <w:rPr>
                    <w:rFonts w:ascii="Arial" w:hAnsi="Arial" w:cs="Arial"/>
                    <w:color w:val="FFFFFF" w:themeColor="background1"/>
                    <w:lang w:val="en-GB"/>
                  </w:rPr>
                  <w:t xml:space="preserve">ecurity </w:t>
                </w:r>
                <w:r w:rsidRPr="00FF027F">
                  <w:rPr>
                    <w:rFonts w:ascii="Arial" w:hAnsi="Arial" w:cs="Arial"/>
                    <w:color w:val="FFFFFF" w:themeColor="background1"/>
                    <w:lang w:val="en-GB"/>
                  </w:rPr>
                  <w:t>o</w:t>
                </w:r>
                <w:r w:rsidR="005552D8" w:rsidRPr="00FF027F">
                  <w:rPr>
                    <w:rFonts w:ascii="Arial" w:hAnsi="Arial" w:cs="Arial"/>
                    <w:color w:val="FFFFFF" w:themeColor="background1"/>
                    <w:lang w:val="en-GB"/>
                  </w:rPr>
                  <w:t xml:space="preserve">f </w:t>
                </w:r>
                <w:r w:rsidRPr="00FF027F">
                  <w:rPr>
                    <w:rFonts w:ascii="Arial" w:hAnsi="Arial" w:cs="Arial"/>
                    <w:color w:val="FFFFFF" w:themeColor="background1"/>
                    <w:lang w:val="en-GB"/>
                  </w:rPr>
                  <w:t>S</w:t>
                </w:r>
                <w:r w:rsidR="005552D8" w:rsidRPr="00FF027F">
                  <w:rPr>
                    <w:rFonts w:ascii="Arial" w:hAnsi="Arial" w:cs="Arial"/>
                    <w:color w:val="FFFFFF" w:themeColor="background1"/>
                    <w:lang w:val="en-GB"/>
                  </w:rPr>
                  <w:t>upply</w:t>
                </w:r>
                <w:r w:rsidR="00E932AB" w:rsidRPr="00FF027F">
                  <w:rPr>
                    <w:rFonts w:ascii="Arial" w:hAnsi="Arial" w:cs="Arial"/>
                    <w:color w:val="FFFFFF" w:themeColor="background1"/>
                    <w:lang w:val="en-GB"/>
                  </w:rPr>
                  <w:t xml:space="preserve"> Regulation</w:t>
                </w:r>
              </w:p>
            </w:tc>
          </w:tr>
          <w:tr w:rsidR="00D62896" w:rsidRPr="00FF027F" w14:paraId="04D9DF78" w14:textId="77777777" w:rsidTr="007510B6">
            <w:trPr>
              <w:trHeight w:val="552"/>
            </w:trPr>
            <w:tc>
              <w:tcPr>
                <w:tcW w:w="3686" w:type="dxa"/>
                <w:shd w:val="clear" w:color="auto" w:fill="C6D9F1" w:themeFill="text2" w:themeFillTint="33"/>
              </w:tcPr>
              <w:p w14:paraId="6DA87B98" w14:textId="77777777" w:rsidR="00D62896" w:rsidRPr="00FF027F" w:rsidRDefault="00D62896" w:rsidP="00B70D2E">
                <w:pPr>
                  <w:spacing w:line="240" w:lineRule="auto"/>
                  <w:ind w:left="284"/>
                  <w:jc w:val="left"/>
                  <w:rPr>
                    <w:rFonts w:ascii="Arial" w:hAnsi="Arial" w:cs="Arial"/>
                    <w:b/>
                    <w:lang w:val="en-GB"/>
                  </w:rPr>
                </w:pPr>
                <w:r w:rsidRPr="00FF027F">
                  <w:rPr>
                    <w:rFonts w:ascii="Arial" w:hAnsi="Arial" w:cs="Arial"/>
                    <w:b/>
                    <w:lang w:val="en-GB"/>
                  </w:rPr>
                  <w:t>Agency’s task</w:t>
                </w:r>
              </w:p>
            </w:tc>
            <w:tc>
              <w:tcPr>
                <w:tcW w:w="2268" w:type="dxa"/>
                <w:shd w:val="clear" w:color="auto" w:fill="C6D9F1" w:themeFill="text2" w:themeFillTint="33"/>
              </w:tcPr>
              <w:p w14:paraId="739A675C" w14:textId="77777777" w:rsidR="00D62896" w:rsidRPr="00FF027F" w:rsidRDefault="00D62896" w:rsidP="00B70D2E">
                <w:pPr>
                  <w:spacing w:line="240" w:lineRule="auto"/>
                  <w:ind w:left="284"/>
                  <w:jc w:val="left"/>
                  <w:rPr>
                    <w:rFonts w:ascii="Arial" w:hAnsi="Arial" w:cs="Arial"/>
                    <w:b/>
                    <w:lang w:val="en-GB"/>
                  </w:rPr>
                </w:pPr>
                <w:r w:rsidRPr="00FF027F">
                  <w:rPr>
                    <w:rFonts w:ascii="Arial" w:hAnsi="Arial" w:cs="Arial"/>
                    <w:b/>
                    <w:lang w:val="en-GB"/>
                  </w:rPr>
                  <w:t>Type of action</w:t>
                </w:r>
              </w:p>
            </w:tc>
            <w:tc>
              <w:tcPr>
                <w:cnfStyle w:val="000100000000" w:firstRow="0" w:lastRow="0" w:firstColumn="0" w:lastColumn="1" w:oddVBand="0" w:evenVBand="0" w:oddHBand="0" w:evenHBand="0" w:firstRowFirstColumn="0" w:firstRowLastColumn="0" w:lastRowFirstColumn="0" w:lastRowLastColumn="0"/>
                <w:tcW w:w="3118" w:type="dxa"/>
                <w:shd w:val="clear" w:color="auto" w:fill="C6D9F1" w:themeFill="text2" w:themeFillTint="33"/>
              </w:tcPr>
              <w:p w14:paraId="057C190E"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Legal basis</w:t>
                </w:r>
              </w:p>
            </w:tc>
          </w:tr>
          <w:tr w:rsidR="00D62896" w:rsidRPr="00FF027F" w14:paraId="005ED6EF" w14:textId="77777777" w:rsidTr="0045160F">
            <w:trPr>
              <w:cnfStyle w:val="010000000000" w:firstRow="0" w:lastRow="1" w:firstColumn="0" w:lastColumn="0" w:oddVBand="0" w:evenVBand="0" w:oddHBand="0" w:evenHBand="0" w:firstRowFirstColumn="0" w:firstRowLastColumn="0" w:lastRowFirstColumn="0" w:lastRowLastColumn="0"/>
              <w:trHeight w:val="1665"/>
            </w:trPr>
            <w:tc>
              <w:tcPr>
                <w:tcW w:w="3686" w:type="dxa"/>
              </w:tcPr>
              <w:p w14:paraId="355EA69B" w14:textId="77777777" w:rsidR="00D62896" w:rsidRPr="00FF027F" w:rsidRDefault="00D62896" w:rsidP="00B70D2E">
                <w:pPr>
                  <w:numPr>
                    <w:ilvl w:val="0"/>
                    <w:numId w:val="17"/>
                  </w:numPr>
                  <w:tabs>
                    <w:tab w:val="clear" w:pos="360"/>
                  </w:tabs>
                  <w:spacing w:line="240" w:lineRule="auto"/>
                  <w:ind w:left="709" w:right="33" w:hanging="425"/>
                  <w:jc w:val="left"/>
                  <w:rPr>
                    <w:rFonts w:ascii="Arial" w:hAnsi="Arial" w:cs="Arial"/>
                    <w:b w:val="0"/>
                    <w:lang w:val="en-GB"/>
                  </w:rPr>
                </w:pPr>
                <w:r w:rsidRPr="00FF027F">
                  <w:rPr>
                    <w:rFonts w:ascii="Arial" w:hAnsi="Arial" w:cs="Arial"/>
                    <w:b w:val="0"/>
                    <w:lang w:val="en-GB"/>
                  </w:rPr>
                  <w:t>Participate in the Gas Coordination Group established to facilitate the coordination of measures concerning security of gas supply.</w:t>
                </w:r>
              </w:p>
            </w:tc>
            <w:tc>
              <w:tcPr>
                <w:tcW w:w="2268" w:type="dxa"/>
              </w:tcPr>
              <w:p w14:paraId="0B2A6200"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Membership</w:t>
                </w:r>
              </w:p>
            </w:tc>
            <w:tc>
              <w:tcPr>
                <w:cnfStyle w:val="000100000000" w:firstRow="0" w:lastRow="0" w:firstColumn="0" w:lastColumn="1" w:oddVBand="0" w:evenVBand="0" w:oddHBand="0" w:evenHBand="0" w:firstRowFirstColumn="0" w:firstRowLastColumn="0" w:lastRowFirstColumn="0" w:lastRowLastColumn="0"/>
                <w:tcW w:w="3118" w:type="dxa"/>
              </w:tcPr>
              <w:p w14:paraId="73FE5DBB"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12(1) Reg 994/2010</w:t>
                </w:r>
              </w:p>
            </w:tc>
          </w:tr>
        </w:tbl>
        <w:p w14:paraId="51683603" w14:textId="77777777" w:rsidR="00D62896" w:rsidRPr="00FF027F" w:rsidRDefault="00D62896" w:rsidP="00460D5C">
          <w:pPr>
            <w:spacing w:before="120" w:after="120" w:line="360" w:lineRule="auto"/>
            <w:ind w:left="289"/>
            <w:rPr>
              <w:rFonts w:ascii="Arial" w:hAnsi="Arial" w:cs="Arial"/>
              <w:sz w:val="16"/>
              <w:szCs w:val="16"/>
              <w:lang w:val="en-GB"/>
            </w:rPr>
          </w:pPr>
        </w:p>
        <w:tbl>
          <w:tblPr>
            <w:tblStyle w:val="TableGrid8"/>
            <w:tblW w:w="9072" w:type="dxa"/>
            <w:tblInd w:w="108" w:type="dxa"/>
            <w:tblLayout w:type="fixed"/>
            <w:tblLook w:val="01E0" w:firstRow="1" w:lastRow="1" w:firstColumn="1" w:lastColumn="1" w:noHBand="0" w:noVBand="0"/>
          </w:tblPr>
          <w:tblGrid>
            <w:gridCol w:w="3686"/>
            <w:gridCol w:w="2268"/>
            <w:gridCol w:w="3118"/>
          </w:tblGrid>
          <w:tr w:rsidR="00D62896" w:rsidRPr="00FF027F" w14:paraId="07BE3506" w14:textId="77777777" w:rsidTr="00783FCF">
            <w:trPr>
              <w:cnfStyle w:val="100000000000" w:firstRow="1" w:lastRow="0" w:firstColumn="0" w:lastColumn="0" w:oddVBand="0" w:evenVBand="0" w:oddHBand="0" w:evenHBand="0" w:firstRowFirstColumn="0" w:firstRowLastColumn="0" w:lastRowFirstColumn="0" w:lastRowLastColumn="0"/>
              <w:trHeight w:val="170"/>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0CFAACA7" w14:textId="55B3E3C4" w:rsidR="00E67C35" w:rsidRPr="00FF027F" w:rsidRDefault="00D62896" w:rsidP="00E932AB">
                <w:pPr>
                  <w:spacing w:line="240" w:lineRule="auto"/>
                  <w:ind w:left="284"/>
                  <w:jc w:val="left"/>
                  <w:rPr>
                    <w:rFonts w:ascii="Arial" w:hAnsi="Arial" w:cs="Arial"/>
                    <w:color w:val="FFFFFF" w:themeColor="background1"/>
                    <w:lang w:val="en-GB"/>
                  </w:rPr>
                </w:pPr>
                <w:r w:rsidRPr="00FF027F">
                  <w:rPr>
                    <w:rFonts w:ascii="Arial" w:hAnsi="Arial" w:cs="Arial"/>
                    <w:color w:val="FFFFFF" w:themeColor="background1"/>
                    <w:highlight w:val="darkBlue"/>
                    <w:lang w:val="en-GB"/>
                  </w:rPr>
                  <w:t>D - Tasks assigned by REMIT</w:t>
                </w:r>
              </w:p>
            </w:tc>
          </w:tr>
          <w:tr w:rsidR="00D62896" w:rsidRPr="00FF027F" w14:paraId="661AC75E" w14:textId="77777777" w:rsidTr="00783FCF">
            <w:trPr>
              <w:trHeight w:val="170"/>
            </w:trPr>
            <w:tc>
              <w:tcPr>
                <w:tcW w:w="3686" w:type="dxa"/>
                <w:tcBorders>
                  <w:bottom w:val="single" w:sz="6" w:space="0" w:color="000080"/>
                </w:tcBorders>
                <w:shd w:val="clear" w:color="auto" w:fill="C6D9F1" w:themeFill="text2" w:themeFillTint="33"/>
              </w:tcPr>
              <w:p w14:paraId="2704DD0E" w14:textId="77777777" w:rsidR="00D62896" w:rsidRPr="00FF027F" w:rsidRDefault="00D62896" w:rsidP="00B70D2E">
                <w:pPr>
                  <w:spacing w:line="240" w:lineRule="auto"/>
                  <w:ind w:left="284"/>
                  <w:jc w:val="left"/>
                  <w:rPr>
                    <w:rFonts w:ascii="Arial" w:hAnsi="Arial" w:cs="Arial"/>
                    <w:b/>
                    <w:lang w:val="en-GB"/>
                  </w:rPr>
                </w:pPr>
                <w:r w:rsidRPr="00FF027F">
                  <w:rPr>
                    <w:rFonts w:ascii="Arial" w:hAnsi="Arial" w:cs="Arial"/>
                    <w:b/>
                    <w:lang w:val="en-GB"/>
                  </w:rPr>
                  <w:t>Agency’s task</w:t>
                </w:r>
              </w:p>
            </w:tc>
            <w:tc>
              <w:tcPr>
                <w:tcW w:w="2268" w:type="dxa"/>
                <w:tcBorders>
                  <w:bottom w:val="single" w:sz="6" w:space="0" w:color="000080"/>
                </w:tcBorders>
                <w:shd w:val="clear" w:color="auto" w:fill="C6D9F1" w:themeFill="text2" w:themeFillTint="33"/>
              </w:tcPr>
              <w:p w14:paraId="00A12C92" w14:textId="77777777" w:rsidR="00D62896" w:rsidRPr="00FF027F" w:rsidRDefault="00D62896" w:rsidP="00B70D2E">
                <w:pPr>
                  <w:spacing w:line="240" w:lineRule="auto"/>
                  <w:ind w:left="284"/>
                  <w:jc w:val="left"/>
                  <w:rPr>
                    <w:rFonts w:ascii="Arial" w:hAnsi="Arial" w:cs="Arial"/>
                    <w:b/>
                    <w:lang w:val="en-GB"/>
                  </w:rPr>
                </w:pPr>
                <w:r w:rsidRPr="00FF027F">
                  <w:rPr>
                    <w:rFonts w:ascii="Arial" w:hAnsi="Arial" w:cs="Arial"/>
                    <w:b/>
                    <w:lang w:val="en-GB"/>
                  </w:rPr>
                  <w:t>Type of action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shd w:val="clear" w:color="auto" w:fill="C6D9F1" w:themeFill="text2" w:themeFillTint="33"/>
              </w:tcPr>
              <w:p w14:paraId="42377F48"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Legal basis</w:t>
                </w:r>
              </w:p>
            </w:tc>
          </w:tr>
          <w:tr w:rsidR="00D62896" w:rsidRPr="00FF027F" w14:paraId="621DEBC1" w14:textId="77777777" w:rsidTr="00783FCF">
            <w:trPr>
              <w:trHeight w:val="170"/>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2C5F6121"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 xml:space="preserve">Monitoring, data collection, and registration </w:t>
                </w:r>
              </w:p>
            </w:tc>
          </w:tr>
          <w:tr w:rsidR="00D62896" w:rsidRPr="00FF027F" w14:paraId="2920649B" w14:textId="77777777" w:rsidTr="0045160F">
            <w:trPr>
              <w:trHeight w:val="170"/>
            </w:trPr>
            <w:tc>
              <w:tcPr>
                <w:tcW w:w="3686" w:type="dxa"/>
              </w:tcPr>
              <w:p w14:paraId="30EA30DE"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Monitor, in close collaboration with NRAs and other relevant authorities, trading activity in wholesale energy products to detect and prevent trading based on inside information and market manipulation.</w:t>
                </w:r>
              </w:p>
            </w:tc>
            <w:tc>
              <w:tcPr>
                <w:tcW w:w="2268" w:type="dxa"/>
              </w:tcPr>
              <w:p w14:paraId="236181C0"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Monitoring</w:t>
                </w:r>
              </w:p>
            </w:tc>
            <w:tc>
              <w:tcPr>
                <w:cnfStyle w:val="000100000000" w:firstRow="0" w:lastRow="0" w:firstColumn="0" w:lastColumn="1" w:oddVBand="0" w:evenVBand="0" w:oddHBand="0" w:evenHBand="0" w:firstRowFirstColumn="0" w:firstRowLastColumn="0" w:lastRowFirstColumn="0" w:lastRowLastColumn="0"/>
                <w:tcW w:w="3118" w:type="dxa"/>
              </w:tcPr>
              <w:p w14:paraId="6EBB7911"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7(1) Reg 1227/2011</w:t>
                </w:r>
              </w:p>
            </w:tc>
          </w:tr>
          <w:tr w:rsidR="00D62896" w:rsidRPr="00FF027F" w14:paraId="4E953866" w14:textId="77777777" w:rsidTr="0045160F">
            <w:trPr>
              <w:trHeight w:val="170"/>
            </w:trPr>
            <w:tc>
              <w:tcPr>
                <w:tcW w:w="3686" w:type="dxa"/>
              </w:tcPr>
              <w:p w14:paraId="5AC069A5"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Collect the data for assessing and monitoring wholesale energy markets.</w:t>
                </w:r>
              </w:p>
            </w:tc>
            <w:tc>
              <w:tcPr>
                <w:tcW w:w="2268" w:type="dxa"/>
              </w:tcPr>
              <w:p w14:paraId="22A1C8E4"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Data collection</w:t>
                </w:r>
              </w:p>
            </w:tc>
            <w:tc>
              <w:tcPr>
                <w:cnfStyle w:val="000100000000" w:firstRow="0" w:lastRow="0" w:firstColumn="0" w:lastColumn="1" w:oddVBand="0" w:evenVBand="0" w:oddHBand="0" w:evenHBand="0" w:firstRowFirstColumn="0" w:firstRowLastColumn="0" w:lastRowFirstColumn="0" w:lastRowLastColumn="0"/>
                <w:tcW w:w="3118" w:type="dxa"/>
              </w:tcPr>
              <w:p w14:paraId="33A4A686" w14:textId="77777777" w:rsidR="00D62896" w:rsidRPr="00FF027F" w:rsidRDefault="00D62896" w:rsidP="0008002A">
                <w:pPr>
                  <w:spacing w:line="240" w:lineRule="auto"/>
                  <w:ind w:left="284"/>
                  <w:jc w:val="left"/>
                  <w:rPr>
                    <w:rFonts w:ascii="Arial" w:hAnsi="Arial" w:cs="Arial"/>
                    <w:b w:val="0"/>
                    <w:lang w:val="en-GB"/>
                  </w:rPr>
                </w:pPr>
                <w:r w:rsidRPr="00FF027F">
                  <w:rPr>
                    <w:rFonts w:ascii="Arial" w:hAnsi="Arial" w:cs="Arial"/>
                    <w:b w:val="0"/>
                    <w:lang w:val="en-GB"/>
                  </w:rPr>
                  <w:t>Articles 3(4)(b), 4(2), 7(1), 8, 10(3), 16(2) and (3) Reg 1227/2011</w:t>
                </w:r>
              </w:p>
            </w:tc>
          </w:tr>
          <w:tr w:rsidR="00D62896" w:rsidRPr="00FF027F" w14:paraId="3215F4FC" w14:textId="77777777" w:rsidTr="00783FCF">
            <w:trPr>
              <w:cnfStyle w:val="010000000000" w:firstRow="0" w:lastRow="1" w:firstColumn="0" w:lastColumn="0" w:oddVBand="0" w:evenVBand="0" w:oddHBand="0" w:evenHBand="0" w:firstRowFirstColumn="0" w:firstRowLastColumn="0" w:lastRowFirstColumn="0" w:lastRowLastColumn="0"/>
              <w:trHeight w:val="170"/>
            </w:trPr>
            <w:tc>
              <w:tcPr>
                <w:tcW w:w="3686" w:type="dxa"/>
                <w:tcBorders>
                  <w:bottom w:val="single" w:sz="6" w:space="0" w:color="000080"/>
                </w:tcBorders>
              </w:tcPr>
              <w:p w14:paraId="4DA1731A" w14:textId="77777777" w:rsidR="00D62896" w:rsidRPr="00FC018F" w:rsidRDefault="00D62896" w:rsidP="00B70D2E">
                <w:pPr>
                  <w:numPr>
                    <w:ilvl w:val="0"/>
                    <w:numId w:val="18"/>
                  </w:numPr>
                  <w:tabs>
                    <w:tab w:val="clear" w:pos="360"/>
                  </w:tabs>
                  <w:spacing w:line="240" w:lineRule="auto"/>
                  <w:ind w:left="709" w:right="198" w:hanging="425"/>
                  <w:jc w:val="left"/>
                  <w:rPr>
                    <w:rFonts w:ascii="Arial" w:hAnsi="Arial" w:cs="Arial"/>
                    <w:b w:val="0"/>
                    <w:lang w:val="en-GB"/>
                  </w:rPr>
                </w:pPr>
                <w:r w:rsidRPr="00FC018F">
                  <w:rPr>
                    <w:rFonts w:ascii="Arial" w:hAnsi="Arial" w:cs="Arial"/>
                    <w:b w:val="0"/>
                    <w:lang w:val="en-GB"/>
                  </w:rPr>
                  <w:t xml:space="preserve">Establish a European Register of market participants. </w:t>
                </w:r>
              </w:p>
            </w:tc>
            <w:tc>
              <w:tcPr>
                <w:tcW w:w="2268" w:type="dxa"/>
                <w:tcBorders>
                  <w:bottom w:val="single" w:sz="6" w:space="0" w:color="000080"/>
                </w:tcBorders>
              </w:tcPr>
              <w:p w14:paraId="45C98250" w14:textId="77777777" w:rsidR="00D62896" w:rsidRPr="00FC018F" w:rsidRDefault="00D62896" w:rsidP="00B70D2E">
                <w:pPr>
                  <w:spacing w:line="240" w:lineRule="auto"/>
                  <w:ind w:left="284"/>
                  <w:jc w:val="left"/>
                  <w:rPr>
                    <w:rFonts w:ascii="Arial" w:hAnsi="Arial" w:cs="Arial"/>
                    <w:b w:val="0"/>
                    <w:lang w:val="en-GB"/>
                  </w:rPr>
                </w:pPr>
                <w:r w:rsidRPr="00FC018F">
                  <w:rPr>
                    <w:rFonts w:ascii="Arial" w:hAnsi="Arial" w:cs="Arial"/>
                    <w:b w:val="0"/>
                    <w:lang w:val="en-GB"/>
                  </w:rPr>
                  <w:t>Data collection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tcPr>
              <w:p w14:paraId="5E99170B"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9(3) Reg 1227/2011</w:t>
                </w:r>
              </w:p>
            </w:tc>
          </w:tr>
        </w:tbl>
        <w:p w14:paraId="1630CE76" w14:textId="0B076C82" w:rsidR="00E932AB" w:rsidRPr="00FF027F" w:rsidRDefault="00E932AB">
          <w:pPr>
            <w:rPr>
              <w:lang w:val="en-GB"/>
            </w:rPr>
          </w:pPr>
        </w:p>
        <w:tbl>
          <w:tblPr>
            <w:tblStyle w:val="TableGrid8"/>
            <w:tblW w:w="9072" w:type="dxa"/>
            <w:tblInd w:w="108" w:type="dxa"/>
            <w:tblLayout w:type="fixed"/>
            <w:tblLook w:val="01E0" w:firstRow="1" w:lastRow="1" w:firstColumn="1" w:lastColumn="1" w:noHBand="0" w:noVBand="0"/>
          </w:tblPr>
          <w:tblGrid>
            <w:gridCol w:w="3686"/>
            <w:gridCol w:w="2268"/>
            <w:gridCol w:w="3118"/>
          </w:tblGrid>
          <w:tr w:rsidR="00E932AB" w:rsidRPr="00FF027F" w14:paraId="1535B8BE" w14:textId="77777777" w:rsidTr="00783FCF">
            <w:trPr>
              <w:cnfStyle w:val="100000000000" w:firstRow="1" w:lastRow="0" w:firstColumn="0" w:lastColumn="0" w:oddVBand="0" w:evenVBand="0" w:oddHBand="0" w:evenHBand="0" w:firstRowFirstColumn="0" w:firstRowLastColumn="0" w:lastRowFirstColumn="0" w:lastRowLastColumn="0"/>
              <w:trHeight w:val="170"/>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0F644848" w14:textId="1C5C262A" w:rsidR="00D62896" w:rsidRPr="00FF027F" w:rsidRDefault="00D62896" w:rsidP="00B70D2E">
                <w:pPr>
                  <w:spacing w:line="240" w:lineRule="auto"/>
                  <w:ind w:left="284"/>
                  <w:jc w:val="left"/>
                  <w:rPr>
                    <w:rFonts w:ascii="Arial" w:hAnsi="Arial" w:cs="Arial"/>
                    <w:color w:val="auto"/>
                    <w:lang w:val="en-GB"/>
                  </w:rPr>
                </w:pPr>
                <w:r w:rsidRPr="00FF027F">
                  <w:rPr>
                    <w:rFonts w:ascii="Arial" w:hAnsi="Arial" w:cs="Arial"/>
                    <w:color w:val="auto"/>
                    <w:lang w:val="en-GB"/>
                  </w:rPr>
                  <w:t xml:space="preserve">Reporting and recommendations </w:t>
                </w:r>
              </w:p>
            </w:tc>
          </w:tr>
          <w:tr w:rsidR="00D62896" w:rsidRPr="00FF027F" w14:paraId="563B3D0C" w14:textId="77777777" w:rsidTr="0045160F">
            <w:trPr>
              <w:trHeight w:val="170"/>
            </w:trPr>
            <w:tc>
              <w:tcPr>
                <w:tcW w:w="3686" w:type="dxa"/>
              </w:tcPr>
              <w:p w14:paraId="48FD088C"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Report to the Commission on its activities under the Regulation.</w:t>
                </w:r>
              </w:p>
            </w:tc>
            <w:tc>
              <w:tcPr>
                <w:tcW w:w="2268" w:type="dxa"/>
              </w:tcPr>
              <w:p w14:paraId="2E3DAD31"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Reporting</w:t>
                </w:r>
              </w:p>
            </w:tc>
            <w:tc>
              <w:tcPr>
                <w:cnfStyle w:val="000100000000" w:firstRow="0" w:lastRow="0" w:firstColumn="0" w:lastColumn="1" w:oddVBand="0" w:evenVBand="0" w:oddHBand="0" w:evenHBand="0" w:firstRowFirstColumn="0" w:firstRowLastColumn="0" w:lastRowFirstColumn="0" w:lastRowLastColumn="0"/>
                <w:tcW w:w="3118" w:type="dxa"/>
              </w:tcPr>
              <w:p w14:paraId="0F29EB79"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7(3) Reg 1227/2011</w:t>
                </w:r>
              </w:p>
            </w:tc>
          </w:tr>
          <w:tr w:rsidR="00D62896" w:rsidRPr="00FF027F" w14:paraId="006385C2" w14:textId="77777777" w:rsidTr="0045160F">
            <w:trPr>
              <w:trHeight w:val="170"/>
            </w:trPr>
            <w:tc>
              <w:tcPr>
                <w:tcW w:w="3686" w:type="dxa"/>
              </w:tcPr>
              <w:p w14:paraId="39A1E920"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Make recommendations to the Commission as regards market rules, standards, and procedures which could improve market integrity and the functioning of the internal market.</w:t>
                </w:r>
              </w:p>
            </w:tc>
            <w:tc>
              <w:tcPr>
                <w:tcW w:w="2268" w:type="dxa"/>
              </w:tcPr>
              <w:p w14:paraId="13793C75"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118" w:type="dxa"/>
              </w:tcPr>
              <w:p w14:paraId="2D110116"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7(3) Reg 1227/2011</w:t>
                </w:r>
              </w:p>
            </w:tc>
          </w:tr>
          <w:tr w:rsidR="00D62896" w:rsidRPr="00FF027F" w14:paraId="3CFDFE2C" w14:textId="77777777" w:rsidTr="00783FCF">
            <w:trPr>
              <w:trHeight w:val="170"/>
            </w:trPr>
            <w:tc>
              <w:tcPr>
                <w:tcW w:w="3686" w:type="dxa"/>
                <w:tcBorders>
                  <w:bottom w:val="single" w:sz="6" w:space="0" w:color="000080"/>
                </w:tcBorders>
              </w:tcPr>
              <w:p w14:paraId="050F1203"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Make recommendations to the Commission as to the records of transactions, including orders to trade, which it considers are necessary to effectively and efficiently monitor wholesale energy markets.</w:t>
                </w:r>
              </w:p>
            </w:tc>
            <w:tc>
              <w:tcPr>
                <w:tcW w:w="2268" w:type="dxa"/>
                <w:tcBorders>
                  <w:bottom w:val="single" w:sz="6" w:space="0" w:color="000080"/>
                </w:tcBorders>
              </w:tcPr>
              <w:p w14:paraId="2E32A8DA"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Recommendation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tcPr>
              <w:p w14:paraId="6884780A"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7(3) Reg 1227/2011</w:t>
                </w:r>
              </w:p>
            </w:tc>
          </w:tr>
          <w:tr w:rsidR="00D62896" w:rsidRPr="00FF027F" w14:paraId="3E650648" w14:textId="77777777" w:rsidTr="00783FCF">
            <w:trPr>
              <w:trHeight w:val="170"/>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770CBABE"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 xml:space="preserve">Cooperation at Union and national level </w:t>
                </w:r>
              </w:p>
            </w:tc>
          </w:tr>
          <w:tr w:rsidR="00D62896" w:rsidRPr="00FF027F" w14:paraId="7A6B98E5" w14:textId="77777777" w:rsidTr="0045160F">
            <w:trPr>
              <w:trHeight w:val="170"/>
            </w:trPr>
            <w:tc>
              <w:tcPr>
                <w:tcW w:w="3686" w:type="dxa"/>
              </w:tcPr>
              <w:p w14:paraId="44AECA5A"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Cooperate with NRAs, ESMA, national financial market authorities and national competition authorities.</w:t>
                </w:r>
              </w:p>
            </w:tc>
            <w:tc>
              <w:tcPr>
                <w:tcW w:w="2268" w:type="dxa"/>
              </w:tcPr>
              <w:p w14:paraId="0095C281"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Cooperation</w:t>
                </w:r>
              </w:p>
            </w:tc>
            <w:tc>
              <w:tcPr>
                <w:cnfStyle w:val="000100000000" w:firstRow="0" w:lastRow="0" w:firstColumn="0" w:lastColumn="1" w:oddVBand="0" w:evenVBand="0" w:oddHBand="0" w:evenHBand="0" w:firstRowFirstColumn="0" w:firstRowLastColumn="0" w:lastRowFirstColumn="0" w:lastRowLastColumn="0"/>
                <w:tcW w:w="3118" w:type="dxa"/>
              </w:tcPr>
              <w:p w14:paraId="0C53803F"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1(3) Reg 1227/2011</w:t>
                </w:r>
              </w:p>
            </w:tc>
          </w:tr>
          <w:tr w:rsidR="00D62896" w:rsidRPr="00FF027F" w14:paraId="3D01E821" w14:textId="77777777" w:rsidTr="0045160F">
            <w:trPr>
              <w:trHeight w:val="170"/>
            </w:trPr>
            <w:tc>
              <w:tcPr>
                <w:tcW w:w="3686" w:type="dxa"/>
              </w:tcPr>
              <w:p w14:paraId="0CD594C0"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Ensure that NRAs carry out their tasks under the Regulation in a coordinated and consistent manner.</w:t>
                </w:r>
              </w:p>
            </w:tc>
            <w:tc>
              <w:tcPr>
                <w:tcW w:w="2268" w:type="dxa"/>
              </w:tcPr>
              <w:p w14:paraId="78B835E1"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Coordination</w:t>
                </w:r>
              </w:p>
            </w:tc>
            <w:tc>
              <w:tcPr>
                <w:cnfStyle w:val="000100000000" w:firstRow="0" w:lastRow="0" w:firstColumn="0" w:lastColumn="1" w:oddVBand="0" w:evenVBand="0" w:oddHBand="0" w:evenHBand="0" w:firstRowFirstColumn="0" w:firstRowLastColumn="0" w:lastRowFirstColumn="0" w:lastRowLastColumn="0"/>
                <w:tcW w:w="3118" w:type="dxa"/>
              </w:tcPr>
              <w:p w14:paraId="4DF7F86A"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16 Reg 1227/2011</w:t>
                </w:r>
              </w:p>
            </w:tc>
          </w:tr>
          <w:tr w:rsidR="00D62896" w:rsidRPr="00FF027F" w14:paraId="10C093C7" w14:textId="77777777" w:rsidTr="0045160F">
            <w:trPr>
              <w:trHeight w:val="170"/>
            </w:trPr>
            <w:tc>
              <w:tcPr>
                <w:tcW w:w="3686" w:type="dxa"/>
              </w:tcPr>
              <w:p w14:paraId="0D3309DE"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Publish non-binding guidance on the application of the definitions set out in Article 2 of the Regulation.</w:t>
                </w:r>
              </w:p>
            </w:tc>
            <w:tc>
              <w:tcPr>
                <w:tcW w:w="2268" w:type="dxa"/>
              </w:tcPr>
              <w:p w14:paraId="7A0E2EE2"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 xml:space="preserve">Guidance </w:t>
                </w:r>
              </w:p>
            </w:tc>
            <w:tc>
              <w:tcPr>
                <w:cnfStyle w:val="000100000000" w:firstRow="0" w:lastRow="0" w:firstColumn="0" w:lastColumn="1" w:oddVBand="0" w:evenVBand="0" w:oddHBand="0" w:evenHBand="0" w:firstRowFirstColumn="0" w:firstRowLastColumn="0" w:lastRowFirstColumn="0" w:lastRowLastColumn="0"/>
                <w:tcW w:w="3118" w:type="dxa"/>
              </w:tcPr>
              <w:p w14:paraId="0D299EDF"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16(1) Reg 1227/2011</w:t>
                </w:r>
              </w:p>
            </w:tc>
          </w:tr>
          <w:tr w:rsidR="00D62896" w:rsidRPr="00FF027F" w14:paraId="3C55B9A4" w14:textId="77777777" w:rsidTr="0045160F">
            <w:trPr>
              <w:trHeight w:val="170"/>
            </w:trPr>
            <w:tc>
              <w:tcPr>
                <w:tcW w:w="3686" w:type="dxa"/>
              </w:tcPr>
              <w:p w14:paraId="46F1E6B3"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Establish a mechanism to share information on trading activities in wholesale energy products with NRAs, competent financial authorities of the Member States, national competition authorities, ESMA and other relevant authorities.</w:t>
                </w:r>
              </w:p>
            </w:tc>
            <w:tc>
              <w:tcPr>
                <w:tcW w:w="2268" w:type="dxa"/>
              </w:tcPr>
              <w:p w14:paraId="492C3DB7" w14:textId="77777777" w:rsidR="00D62896" w:rsidRPr="00FF027F" w:rsidRDefault="00D62896" w:rsidP="00B70D2E">
                <w:pPr>
                  <w:spacing w:line="240" w:lineRule="auto"/>
                  <w:ind w:left="288"/>
                  <w:jc w:val="left"/>
                  <w:rPr>
                    <w:rFonts w:ascii="Arial" w:hAnsi="Arial" w:cs="Arial"/>
                    <w:lang w:val="en-GB"/>
                  </w:rPr>
                </w:pPr>
                <w:r w:rsidRPr="00FF027F">
                  <w:rPr>
                    <w:rFonts w:ascii="Arial" w:hAnsi="Arial" w:cs="Arial"/>
                    <w:lang w:val="en-GB"/>
                  </w:rPr>
                  <w:t>Guidance</w:t>
                </w:r>
              </w:p>
              <w:p w14:paraId="41486368" w14:textId="77777777" w:rsidR="00D62896" w:rsidRPr="00FF027F" w:rsidRDefault="00D62896" w:rsidP="00B70D2E">
                <w:pPr>
                  <w:spacing w:line="240" w:lineRule="auto"/>
                  <w:ind w:left="288"/>
                  <w:jc w:val="left"/>
                  <w:rPr>
                    <w:rFonts w:ascii="Arial" w:hAnsi="Arial" w:cs="Arial"/>
                    <w:lang w:val="en-GB"/>
                  </w:rPr>
                </w:pPr>
                <w:r w:rsidRPr="00FF027F">
                  <w:rPr>
                    <w:rFonts w:ascii="Arial" w:hAnsi="Arial" w:cs="Arial"/>
                    <w:lang w:val="en-GB"/>
                  </w:rPr>
                  <w:t>Cooperation</w:t>
                </w:r>
              </w:p>
            </w:tc>
            <w:tc>
              <w:tcPr>
                <w:cnfStyle w:val="000100000000" w:firstRow="0" w:lastRow="0" w:firstColumn="0" w:lastColumn="1" w:oddVBand="0" w:evenVBand="0" w:oddHBand="0" w:evenHBand="0" w:firstRowFirstColumn="0" w:firstRowLastColumn="0" w:lastRowFirstColumn="0" w:lastRowLastColumn="0"/>
                <w:tcW w:w="3118" w:type="dxa"/>
              </w:tcPr>
              <w:p w14:paraId="111A6307"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10(1) Reg 1227/2011</w:t>
                </w:r>
              </w:p>
            </w:tc>
          </w:tr>
          <w:tr w:rsidR="00D62896" w:rsidRPr="00FF027F" w14:paraId="220F2EB2" w14:textId="77777777" w:rsidTr="0045160F">
            <w:trPr>
              <w:trHeight w:val="170"/>
            </w:trPr>
            <w:tc>
              <w:tcPr>
                <w:tcW w:w="3686" w:type="dxa"/>
              </w:tcPr>
              <w:p w14:paraId="3FBFA7F6"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 xml:space="preserve">Cooperate with the authorities responsible for overseeing trading in emissions allowances or derivatives relating to emissions allowances and establish mechanisms to share information on records of transactions in such allowances and derivatives. </w:t>
                </w:r>
              </w:p>
            </w:tc>
            <w:tc>
              <w:tcPr>
                <w:tcW w:w="2268" w:type="dxa"/>
              </w:tcPr>
              <w:p w14:paraId="369B6AF9"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Cooperation</w:t>
                </w:r>
              </w:p>
            </w:tc>
            <w:tc>
              <w:tcPr>
                <w:cnfStyle w:val="000100000000" w:firstRow="0" w:lastRow="0" w:firstColumn="0" w:lastColumn="1" w:oddVBand="0" w:evenVBand="0" w:oddHBand="0" w:evenHBand="0" w:firstRowFirstColumn="0" w:firstRowLastColumn="0" w:lastRowFirstColumn="0" w:lastRowLastColumn="0"/>
                <w:tcW w:w="3118" w:type="dxa"/>
              </w:tcPr>
              <w:p w14:paraId="0363ADCC"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10(3) Reg 1227/2011</w:t>
                </w:r>
              </w:p>
            </w:tc>
          </w:tr>
          <w:tr w:rsidR="00D62896" w:rsidRPr="00FF027F" w14:paraId="42CF817E" w14:textId="77777777" w:rsidTr="0045160F">
            <w:trPr>
              <w:trHeight w:val="170"/>
            </w:trPr>
            <w:tc>
              <w:tcPr>
                <w:tcW w:w="3686" w:type="dxa"/>
              </w:tcPr>
              <w:p w14:paraId="3B7F365C"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Inform ESMA and the competent financial authority, on its own initiative or at NRAs’ request, where it suspects that acts are being or have been carried out which constitute market abuse.</w:t>
                </w:r>
              </w:p>
            </w:tc>
            <w:tc>
              <w:tcPr>
                <w:tcW w:w="2268" w:type="dxa"/>
              </w:tcPr>
              <w:p w14:paraId="1A553D24"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Information</w:t>
                </w:r>
              </w:p>
            </w:tc>
            <w:tc>
              <w:tcPr>
                <w:cnfStyle w:val="000100000000" w:firstRow="0" w:lastRow="0" w:firstColumn="0" w:lastColumn="1" w:oddVBand="0" w:evenVBand="0" w:oddHBand="0" w:evenHBand="0" w:firstRowFirstColumn="0" w:firstRowLastColumn="0" w:lastRowFirstColumn="0" w:lastRowLastColumn="0"/>
                <w:tcW w:w="3118" w:type="dxa"/>
              </w:tcPr>
              <w:p w14:paraId="53176020"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16(2) and (3)(b) and (d) Reg 1227/2011</w:t>
                </w:r>
              </w:p>
            </w:tc>
          </w:tr>
          <w:tr w:rsidR="00D62896" w:rsidRPr="00FF027F" w14:paraId="5D868F4B" w14:textId="77777777" w:rsidTr="0045160F">
            <w:trPr>
              <w:trHeight w:val="170"/>
            </w:trPr>
            <w:tc>
              <w:tcPr>
                <w:tcW w:w="3686" w:type="dxa"/>
              </w:tcPr>
              <w:p w14:paraId="2DA79EC2"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Request, on its own initiative or at NRAs’ request, one or more national regulatory authorities to supply any information related to a suspected breach of the Regulation.</w:t>
                </w:r>
              </w:p>
            </w:tc>
            <w:tc>
              <w:tcPr>
                <w:tcW w:w="2268" w:type="dxa"/>
              </w:tcPr>
              <w:p w14:paraId="1282461B"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Information</w:t>
                </w:r>
              </w:p>
            </w:tc>
            <w:tc>
              <w:tcPr>
                <w:cnfStyle w:val="000100000000" w:firstRow="0" w:lastRow="0" w:firstColumn="0" w:lastColumn="1" w:oddVBand="0" w:evenVBand="0" w:oddHBand="0" w:evenHBand="0" w:firstRowFirstColumn="0" w:firstRowLastColumn="0" w:lastRowFirstColumn="0" w:lastRowLastColumn="0"/>
                <w:tcW w:w="3118" w:type="dxa"/>
              </w:tcPr>
              <w:p w14:paraId="2AC8342E"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16(2) and (4)(a) Reg 1227/2011</w:t>
                </w:r>
              </w:p>
            </w:tc>
          </w:tr>
          <w:tr w:rsidR="00D62896" w:rsidRPr="00FF027F" w14:paraId="4F4D890E" w14:textId="77777777" w:rsidTr="0045160F">
            <w:trPr>
              <w:trHeight w:val="170"/>
            </w:trPr>
            <w:tc>
              <w:tcPr>
                <w:tcW w:w="3686" w:type="dxa"/>
              </w:tcPr>
              <w:p w14:paraId="0E340E22"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Request, on its own initiative or at NRAs’ request, one or more national regulatory authorities to commence an investigation and to take appropriate action where it suspects that there has been a breach of the Regulation.</w:t>
                </w:r>
              </w:p>
            </w:tc>
            <w:tc>
              <w:tcPr>
                <w:tcW w:w="2268" w:type="dxa"/>
              </w:tcPr>
              <w:p w14:paraId="7E0EF8AD"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Guidance</w:t>
                </w:r>
              </w:p>
            </w:tc>
            <w:tc>
              <w:tcPr>
                <w:cnfStyle w:val="000100000000" w:firstRow="0" w:lastRow="0" w:firstColumn="0" w:lastColumn="1" w:oddVBand="0" w:evenVBand="0" w:oddHBand="0" w:evenHBand="0" w:firstRowFirstColumn="0" w:firstRowLastColumn="0" w:lastRowFirstColumn="0" w:lastRowLastColumn="0"/>
                <w:tcW w:w="3118" w:type="dxa"/>
              </w:tcPr>
              <w:p w14:paraId="1F670C3F"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16(2) and (4)(b) Reg 1227/2011</w:t>
                </w:r>
              </w:p>
            </w:tc>
          </w:tr>
          <w:tr w:rsidR="00D62896" w:rsidRPr="00FF027F" w14:paraId="0043FC4D" w14:textId="77777777" w:rsidTr="00783FCF">
            <w:trPr>
              <w:cnfStyle w:val="010000000000" w:firstRow="0" w:lastRow="1" w:firstColumn="0" w:lastColumn="0" w:oddVBand="0" w:evenVBand="0" w:oddHBand="0" w:evenHBand="0" w:firstRowFirstColumn="0" w:firstRowLastColumn="0" w:lastRowFirstColumn="0" w:lastRowLastColumn="0"/>
              <w:trHeight w:val="170"/>
            </w:trPr>
            <w:tc>
              <w:tcPr>
                <w:tcW w:w="3686" w:type="dxa"/>
                <w:tcBorders>
                  <w:bottom w:val="single" w:sz="6" w:space="0" w:color="000080"/>
                </w:tcBorders>
              </w:tcPr>
              <w:p w14:paraId="6C8FB274" w14:textId="77777777" w:rsidR="00D62896" w:rsidRPr="00FC018F" w:rsidRDefault="00D62896" w:rsidP="00B70D2E">
                <w:pPr>
                  <w:numPr>
                    <w:ilvl w:val="0"/>
                    <w:numId w:val="18"/>
                  </w:numPr>
                  <w:tabs>
                    <w:tab w:val="clear" w:pos="360"/>
                  </w:tabs>
                  <w:spacing w:line="240" w:lineRule="auto"/>
                  <w:ind w:left="709" w:right="198" w:hanging="425"/>
                  <w:jc w:val="left"/>
                  <w:rPr>
                    <w:rFonts w:ascii="Arial" w:hAnsi="Arial" w:cs="Arial"/>
                    <w:b w:val="0"/>
                    <w:lang w:val="en-GB"/>
                  </w:rPr>
                </w:pPr>
                <w:r w:rsidRPr="00FC018F">
                  <w:rPr>
                    <w:rFonts w:ascii="Arial" w:hAnsi="Arial" w:cs="Arial"/>
                    <w:b w:val="0"/>
                    <w:lang w:val="en-GB"/>
                  </w:rPr>
                  <w:t>Establish and coordinate, on its own initiative or at NRAs’ request, an investigatory group where it suspects that there has been a breach of the Regulation and it considers that the possible breach has, or has had, a cross-border impact.</w:t>
                </w:r>
              </w:p>
            </w:tc>
            <w:tc>
              <w:tcPr>
                <w:tcW w:w="2268" w:type="dxa"/>
                <w:tcBorders>
                  <w:bottom w:val="single" w:sz="6" w:space="0" w:color="000080"/>
                </w:tcBorders>
              </w:tcPr>
              <w:p w14:paraId="5FBDFA35" w14:textId="77777777" w:rsidR="00D62896" w:rsidRPr="00FC018F" w:rsidRDefault="00D62896" w:rsidP="00B70D2E">
                <w:pPr>
                  <w:spacing w:line="240" w:lineRule="auto"/>
                  <w:ind w:left="284"/>
                  <w:jc w:val="left"/>
                  <w:rPr>
                    <w:rFonts w:ascii="Arial" w:hAnsi="Arial" w:cs="Arial"/>
                    <w:b w:val="0"/>
                    <w:lang w:val="en-GB"/>
                  </w:rPr>
                </w:pPr>
                <w:r w:rsidRPr="00FC018F">
                  <w:rPr>
                    <w:rFonts w:ascii="Arial" w:hAnsi="Arial" w:cs="Arial"/>
                    <w:b w:val="0"/>
                    <w:lang w:val="en-GB"/>
                  </w:rPr>
                  <w:t>Coordination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tcPr>
              <w:p w14:paraId="1634BD04"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16(2) and (4)(c) Reg 1227/2011</w:t>
                </w:r>
              </w:p>
            </w:tc>
          </w:tr>
        </w:tbl>
        <w:p w14:paraId="66298018" w14:textId="5E41315B" w:rsidR="00E932AB" w:rsidRPr="00FF027F" w:rsidRDefault="00E932AB">
          <w:pPr>
            <w:rPr>
              <w:lang w:val="en-GB"/>
            </w:rPr>
          </w:pPr>
        </w:p>
        <w:p w14:paraId="79358D22" w14:textId="77777777" w:rsidR="00A2781E" w:rsidRDefault="00A2781E">
          <w:r>
            <w:rPr>
              <w:b/>
              <w:bCs/>
            </w:rPr>
            <w:br w:type="page"/>
          </w:r>
        </w:p>
        <w:tbl>
          <w:tblPr>
            <w:tblStyle w:val="TableGrid8"/>
            <w:tblW w:w="9072" w:type="dxa"/>
            <w:tblInd w:w="108" w:type="dxa"/>
            <w:tblLayout w:type="fixed"/>
            <w:tblLook w:val="01E0" w:firstRow="1" w:lastRow="1" w:firstColumn="1" w:lastColumn="1" w:noHBand="0" w:noVBand="0"/>
          </w:tblPr>
          <w:tblGrid>
            <w:gridCol w:w="3686"/>
            <w:gridCol w:w="2268"/>
            <w:gridCol w:w="3118"/>
          </w:tblGrid>
          <w:tr w:rsidR="00E932AB" w:rsidRPr="00FF027F" w14:paraId="77B48372" w14:textId="77777777" w:rsidTr="00783FCF">
            <w:trPr>
              <w:cnfStyle w:val="100000000000" w:firstRow="1" w:lastRow="0" w:firstColumn="0" w:lastColumn="0" w:oddVBand="0" w:evenVBand="0" w:oddHBand="0" w:evenHBand="0" w:firstRowFirstColumn="0" w:firstRowLastColumn="0" w:lastRowFirstColumn="0" w:lastRowLastColumn="0"/>
              <w:trHeight w:val="170"/>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4B32D224" w14:textId="7F0B8D38" w:rsidR="00D62896" w:rsidRPr="00FF027F" w:rsidRDefault="00D62896" w:rsidP="00B70D2E">
                <w:pPr>
                  <w:spacing w:line="240" w:lineRule="auto"/>
                  <w:ind w:left="709" w:right="198" w:hanging="425"/>
                  <w:jc w:val="left"/>
                  <w:rPr>
                    <w:rFonts w:ascii="Arial" w:hAnsi="Arial" w:cs="Arial"/>
                    <w:color w:val="auto"/>
                    <w:lang w:val="en-GB"/>
                  </w:rPr>
                </w:pPr>
                <w:r w:rsidRPr="00FF027F">
                  <w:rPr>
                    <w:rFonts w:ascii="Arial" w:hAnsi="Arial" w:cs="Arial"/>
                    <w:color w:val="auto"/>
                    <w:lang w:val="en-GB"/>
                  </w:rPr>
                  <w:t xml:space="preserve">International relations </w:t>
                </w:r>
              </w:p>
            </w:tc>
          </w:tr>
          <w:tr w:rsidR="00D62896" w:rsidRPr="00FF027F" w14:paraId="1C53CA71" w14:textId="77777777" w:rsidTr="00783FCF">
            <w:trPr>
              <w:trHeight w:val="170"/>
            </w:trPr>
            <w:tc>
              <w:tcPr>
                <w:tcW w:w="3686" w:type="dxa"/>
                <w:tcBorders>
                  <w:bottom w:val="single" w:sz="6" w:space="0" w:color="000080"/>
                </w:tcBorders>
              </w:tcPr>
              <w:p w14:paraId="6323A8DE"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 xml:space="preserve">Develop contacts and enter into administrative arrangements with third country authorities in so far as is necessary to achieve the objectives set out in the </w:t>
                </w:r>
                <w:r w:rsidR="0008002A" w:rsidRPr="00FF027F">
                  <w:rPr>
                    <w:rFonts w:ascii="Arial" w:hAnsi="Arial" w:cs="Arial"/>
                    <w:lang w:val="en-GB"/>
                  </w:rPr>
                  <w:t xml:space="preserve">Regulation, in particular, </w:t>
                </w:r>
                <w:r w:rsidRPr="00FF027F">
                  <w:rPr>
                    <w:rFonts w:ascii="Arial" w:hAnsi="Arial" w:cs="Arial"/>
                    <w:lang w:val="en-GB"/>
                  </w:rPr>
                  <w:t>to promote the harmonisation of the regulatory framework.</w:t>
                </w:r>
              </w:p>
            </w:tc>
            <w:tc>
              <w:tcPr>
                <w:tcW w:w="2268" w:type="dxa"/>
                <w:tcBorders>
                  <w:bottom w:val="single" w:sz="6" w:space="0" w:color="000080"/>
                </w:tcBorders>
              </w:tcPr>
              <w:p w14:paraId="6A12419C"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Cooperation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tcPr>
              <w:p w14:paraId="596BEC44"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19 Reg 1227/2011</w:t>
                </w:r>
              </w:p>
            </w:tc>
          </w:tr>
          <w:tr w:rsidR="00D62896" w:rsidRPr="00FF027F" w14:paraId="2C329154" w14:textId="77777777" w:rsidTr="00783FCF">
            <w:trPr>
              <w:trHeight w:val="170"/>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558A0D71" w14:textId="77777777" w:rsidR="00D62896" w:rsidRPr="00FF027F" w:rsidRDefault="00D62896" w:rsidP="00B70D2E">
                <w:pPr>
                  <w:spacing w:line="240" w:lineRule="auto"/>
                  <w:ind w:left="709" w:right="198" w:hanging="425"/>
                  <w:jc w:val="left"/>
                  <w:rPr>
                    <w:rFonts w:ascii="Arial" w:hAnsi="Arial" w:cs="Arial"/>
                    <w:lang w:val="en-GB"/>
                  </w:rPr>
                </w:pPr>
                <w:r w:rsidRPr="00FF027F">
                  <w:rPr>
                    <w:rFonts w:ascii="Arial" w:hAnsi="Arial" w:cs="Arial"/>
                    <w:lang w:val="en-GB"/>
                  </w:rPr>
                  <w:t>Consultations and transparency</w:t>
                </w:r>
              </w:p>
            </w:tc>
          </w:tr>
          <w:tr w:rsidR="00D62896" w:rsidRPr="00FF027F" w14:paraId="6BC06400" w14:textId="77777777" w:rsidTr="0045160F">
            <w:trPr>
              <w:trHeight w:val="170"/>
            </w:trPr>
            <w:tc>
              <w:tcPr>
                <w:tcW w:w="3686" w:type="dxa"/>
              </w:tcPr>
              <w:p w14:paraId="2AFDFEDC"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Publish the Report to the Commission on its activities under the Regulation.</w:t>
                </w:r>
              </w:p>
            </w:tc>
            <w:tc>
              <w:tcPr>
                <w:tcW w:w="2268" w:type="dxa"/>
              </w:tcPr>
              <w:p w14:paraId="6D27125D"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Publication</w:t>
                </w:r>
              </w:p>
            </w:tc>
            <w:tc>
              <w:tcPr>
                <w:cnfStyle w:val="000100000000" w:firstRow="0" w:lastRow="0" w:firstColumn="0" w:lastColumn="1" w:oddVBand="0" w:evenVBand="0" w:oddHBand="0" w:evenHBand="0" w:firstRowFirstColumn="0" w:firstRowLastColumn="0" w:lastRowFirstColumn="0" w:lastRowLastColumn="0"/>
                <w:tcW w:w="3118" w:type="dxa"/>
              </w:tcPr>
              <w:p w14:paraId="0EF86ED4"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7(3) Reg 1227/2011</w:t>
                </w:r>
              </w:p>
            </w:tc>
          </w:tr>
          <w:tr w:rsidR="00D62896" w:rsidRPr="00FF027F" w14:paraId="203A41B0" w14:textId="77777777" w:rsidTr="0045160F">
            <w:trPr>
              <w:trHeight w:val="170"/>
            </w:trPr>
            <w:tc>
              <w:tcPr>
                <w:tcW w:w="3686" w:type="dxa"/>
              </w:tcPr>
              <w:p w14:paraId="4EC93B8D"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Consult with interested parties before making recommendations to the Commission as to the records of transactions.</w:t>
                </w:r>
              </w:p>
            </w:tc>
            <w:tc>
              <w:tcPr>
                <w:tcW w:w="2268" w:type="dxa"/>
              </w:tcPr>
              <w:p w14:paraId="18FE6B43"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Consultation</w:t>
                </w:r>
              </w:p>
            </w:tc>
            <w:tc>
              <w:tcPr>
                <w:cnfStyle w:val="000100000000" w:firstRow="0" w:lastRow="0" w:firstColumn="0" w:lastColumn="1" w:oddVBand="0" w:evenVBand="0" w:oddHBand="0" w:evenHBand="0" w:firstRowFirstColumn="0" w:firstRowLastColumn="0" w:lastRowFirstColumn="0" w:lastRowLastColumn="0"/>
                <w:tcW w:w="3118" w:type="dxa"/>
              </w:tcPr>
              <w:p w14:paraId="7365B76A"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7(3) Reg 1227/2011</w:t>
                </w:r>
              </w:p>
            </w:tc>
          </w:tr>
          <w:tr w:rsidR="00D62896" w:rsidRPr="00FF027F" w14:paraId="61C0B67B" w14:textId="77777777" w:rsidTr="0045160F">
            <w:trPr>
              <w:trHeight w:val="170"/>
            </w:trPr>
            <w:tc>
              <w:tcPr>
                <w:tcW w:w="3686" w:type="dxa"/>
              </w:tcPr>
              <w:p w14:paraId="75F6D13B"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Consult with the interested authorities before establishing the mechanisms to share information on trading activity in wholesale energy products with them.</w:t>
                </w:r>
              </w:p>
            </w:tc>
            <w:tc>
              <w:tcPr>
                <w:tcW w:w="2268" w:type="dxa"/>
              </w:tcPr>
              <w:p w14:paraId="18C5AB8A"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Consultation</w:t>
                </w:r>
              </w:p>
            </w:tc>
            <w:tc>
              <w:tcPr>
                <w:cnfStyle w:val="000100000000" w:firstRow="0" w:lastRow="0" w:firstColumn="0" w:lastColumn="1" w:oddVBand="0" w:evenVBand="0" w:oddHBand="0" w:evenHBand="0" w:firstRowFirstColumn="0" w:firstRowLastColumn="0" w:lastRowFirstColumn="0" w:lastRowLastColumn="0"/>
                <w:tcW w:w="3118" w:type="dxa"/>
              </w:tcPr>
              <w:p w14:paraId="72527E35"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10(1) Reg 1227/2011</w:t>
                </w:r>
              </w:p>
            </w:tc>
          </w:tr>
          <w:tr w:rsidR="00D62896" w:rsidRPr="00FF027F" w14:paraId="4A07D8E7" w14:textId="77777777" w:rsidTr="0045160F">
            <w:trPr>
              <w:trHeight w:val="170"/>
            </w:trPr>
            <w:tc>
              <w:tcPr>
                <w:tcW w:w="3686" w:type="dxa"/>
              </w:tcPr>
              <w:p w14:paraId="39257702"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Make all recommendations available to the European Parliament, the Council and the Commission and to the public.</w:t>
                </w:r>
              </w:p>
            </w:tc>
            <w:tc>
              <w:tcPr>
                <w:tcW w:w="2268" w:type="dxa"/>
              </w:tcPr>
              <w:p w14:paraId="6D5357E6"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Disclosure</w:t>
                </w:r>
              </w:p>
            </w:tc>
            <w:tc>
              <w:tcPr>
                <w:cnfStyle w:val="000100000000" w:firstRow="0" w:lastRow="0" w:firstColumn="0" w:lastColumn="1" w:oddVBand="0" w:evenVBand="0" w:oddHBand="0" w:evenHBand="0" w:firstRowFirstColumn="0" w:firstRowLastColumn="0" w:lastRowFirstColumn="0" w:lastRowLastColumn="0"/>
                <w:tcW w:w="3118" w:type="dxa"/>
              </w:tcPr>
              <w:p w14:paraId="315FFA08"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7(3) Reg 1227/2011</w:t>
                </w:r>
              </w:p>
            </w:tc>
          </w:tr>
          <w:tr w:rsidR="00D62896" w:rsidRPr="00FF027F" w14:paraId="55BE62D9" w14:textId="77777777" w:rsidTr="0045160F">
            <w:trPr>
              <w:trHeight w:val="170"/>
            </w:trPr>
            <w:tc>
              <w:tcPr>
                <w:tcW w:w="3686" w:type="dxa"/>
              </w:tcPr>
              <w:p w14:paraId="2A18E126"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lang w:val="en-GB"/>
                  </w:rPr>
                </w:pPr>
                <w:r w:rsidRPr="00FF027F">
                  <w:rPr>
                    <w:rFonts w:ascii="Arial" w:hAnsi="Arial" w:cs="Arial"/>
                    <w:lang w:val="en-GB"/>
                  </w:rPr>
                  <w:t>Make the European register, or extracts thereof, as well as part of the information which it possesses publicly available provided that commercially sensitive information on individual market participants is not disclosed and subject to confidentiality requirements.</w:t>
                </w:r>
              </w:p>
            </w:tc>
            <w:tc>
              <w:tcPr>
                <w:tcW w:w="2268" w:type="dxa"/>
              </w:tcPr>
              <w:p w14:paraId="1782305F" w14:textId="77777777" w:rsidR="00D62896" w:rsidRPr="00FF027F" w:rsidRDefault="00D62896" w:rsidP="00B70D2E">
                <w:pPr>
                  <w:spacing w:line="240" w:lineRule="auto"/>
                  <w:ind w:left="284"/>
                  <w:jc w:val="left"/>
                  <w:rPr>
                    <w:rFonts w:ascii="Arial" w:hAnsi="Arial" w:cs="Arial"/>
                    <w:lang w:val="en-GB"/>
                  </w:rPr>
                </w:pPr>
                <w:r w:rsidRPr="00FF027F">
                  <w:rPr>
                    <w:rFonts w:ascii="Arial" w:hAnsi="Arial" w:cs="Arial"/>
                    <w:lang w:val="en-GB"/>
                  </w:rPr>
                  <w:t>Disclosure</w:t>
                </w:r>
              </w:p>
            </w:tc>
            <w:tc>
              <w:tcPr>
                <w:cnfStyle w:val="000100000000" w:firstRow="0" w:lastRow="0" w:firstColumn="0" w:lastColumn="1" w:oddVBand="0" w:evenVBand="0" w:oddHBand="0" w:evenHBand="0" w:firstRowFirstColumn="0" w:firstRowLastColumn="0" w:lastRowFirstColumn="0" w:lastRowLastColumn="0"/>
                <w:tcW w:w="3118" w:type="dxa"/>
              </w:tcPr>
              <w:p w14:paraId="78865D83"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Articles 9(3) and 12 (2) Reg 1227/2011</w:t>
                </w:r>
              </w:p>
            </w:tc>
          </w:tr>
          <w:tr w:rsidR="00D62896" w:rsidRPr="00FF027F" w14:paraId="49544E84" w14:textId="77777777" w:rsidTr="00E932AB">
            <w:trPr>
              <w:cnfStyle w:val="010000000000" w:firstRow="0" w:lastRow="1" w:firstColumn="0" w:lastColumn="0" w:oddVBand="0" w:evenVBand="0" w:oddHBand="0" w:evenHBand="0" w:firstRowFirstColumn="0" w:firstRowLastColumn="0" w:lastRowFirstColumn="0" w:lastRowLastColumn="0"/>
              <w:trHeight w:val="1290"/>
            </w:trPr>
            <w:tc>
              <w:tcPr>
                <w:tcW w:w="3686" w:type="dxa"/>
              </w:tcPr>
              <w:p w14:paraId="03E30D35" w14:textId="77777777" w:rsidR="00D62896" w:rsidRPr="00FF027F" w:rsidRDefault="00D62896" w:rsidP="00B70D2E">
                <w:pPr>
                  <w:numPr>
                    <w:ilvl w:val="0"/>
                    <w:numId w:val="18"/>
                  </w:numPr>
                  <w:tabs>
                    <w:tab w:val="clear" w:pos="360"/>
                  </w:tabs>
                  <w:spacing w:line="240" w:lineRule="auto"/>
                  <w:ind w:left="709" w:right="198" w:hanging="425"/>
                  <w:jc w:val="left"/>
                  <w:rPr>
                    <w:rFonts w:ascii="Arial" w:hAnsi="Arial" w:cs="Arial"/>
                    <w:b w:val="0"/>
                    <w:lang w:val="en-GB"/>
                  </w:rPr>
                </w:pPr>
                <w:r w:rsidRPr="00FF027F">
                  <w:rPr>
                    <w:rFonts w:ascii="Arial" w:hAnsi="Arial" w:cs="Arial"/>
                    <w:b w:val="0"/>
                    <w:lang w:val="en-GB"/>
                  </w:rPr>
                  <w:t>Adopt and publish transparent rules on the manner it will disseminate information.</w:t>
                </w:r>
              </w:p>
            </w:tc>
            <w:tc>
              <w:tcPr>
                <w:tcW w:w="2268" w:type="dxa"/>
              </w:tcPr>
              <w:p w14:paraId="387E4CB9"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Adoption Publication</w:t>
                </w:r>
              </w:p>
            </w:tc>
            <w:tc>
              <w:tcPr>
                <w:cnfStyle w:val="000100000000" w:firstRow="0" w:lastRow="0" w:firstColumn="0" w:lastColumn="1" w:oddVBand="0" w:evenVBand="0" w:oddHBand="0" w:evenHBand="0" w:firstRowFirstColumn="0" w:firstRowLastColumn="0" w:lastRowFirstColumn="0" w:lastRowLastColumn="0"/>
                <w:tcW w:w="3118" w:type="dxa"/>
              </w:tcPr>
              <w:p w14:paraId="60521DF6" w14:textId="77777777" w:rsidR="00D62896" w:rsidRPr="00FF027F" w:rsidRDefault="00D62896" w:rsidP="00B70D2E">
                <w:pPr>
                  <w:spacing w:line="240" w:lineRule="auto"/>
                  <w:ind w:left="284"/>
                  <w:jc w:val="left"/>
                  <w:rPr>
                    <w:rFonts w:ascii="Arial" w:hAnsi="Arial" w:cs="Arial"/>
                    <w:b w:val="0"/>
                    <w:lang w:val="en-GB"/>
                  </w:rPr>
                </w:pPr>
                <w:r w:rsidRPr="00FF027F">
                  <w:rPr>
                    <w:rFonts w:ascii="Arial" w:hAnsi="Arial" w:cs="Arial"/>
                    <w:b w:val="0"/>
                    <w:lang w:val="en-GB"/>
                  </w:rPr>
                  <w:t>Article 12(2) Reg 1227/2011</w:t>
                </w:r>
              </w:p>
            </w:tc>
          </w:tr>
        </w:tbl>
        <w:p w14:paraId="42550A3A" w14:textId="77777777" w:rsidR="00D62896" w:rsidRPr="00FF027F" w:rsidRDefault="00D62896" w:rsidP="00460D5C">
          <w:pPr>
            <w:spacing w:before="120" w:after="120" w:line="360" w:lineRule="auto"/>
            <w:ind w:left="289"/>
            <w:rPr>
              <w:rFonts w:ascii="Arial" w:hAnsi="Arial" w:cs="Arial"/>
              <w:lang w:val="en-GB"/>
            </w:rPr>
          </w:pPr>
        </w:p>
        <w:tbl>
          <w:tblPr>
            <w:tblStyle w:val="TableGrid8"/>
            <w:tblW w:w="9072" w:type="dxa"/>
            <w:tblInd w:w="108" w:type="dxa"/>
            <w:tblLayout w:type="fixed"/>
            <w:tblLook w:val="01E0" w:firstRow="1" w:lastRow="1" w:firstColumn="1" w:lastColumn="1" w:noHBand="0" w:noVBand="0"/>
          </w:tblPr>
          <w:tblGrid>
            <w:gridCol w:w="3686"/>
            <w:gridCol w:w="2268"/>
            <w:gridCol w:w="3118"/>
          </w:tblGrid>
          <w:tr w:rsidR="00D62896" w:rsidRPr="00FF027F" w14:paraId="6F12BC71" w14:textId="77777777" w:rsidTr="0027646E">
            <w:trPr>
              <w:cnfStyle w:val="100000000000" w:firstRow="1" w:lastRow="0" w:firstColumn="0" w:lastColumn="0" w:oddVBand="0" w:evenVBand="0" w:oddHBand="0" w:evenHBand="0" w:firstRowFirstColumn="0" w:firstRowLastColumn="0" w:lastRowFirstColumn="0" w:lastRowLastColumn="0"/>
              <w:trHeight w:val="606"/>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749ABB5C" w14:textId="060F676C" w:rsidR="0045160F" w:rsidRPr="00FF027F" w:rsidRDefault="00D62896" w:rsidP="0027646E">
                <w:pPr>
                  <w:spacing w:line="240" w:lineRule="auto"/>
                  <w:ind w:left="284"/>
                  <w:jc w:val="left"/>
                  <w:rPr>
                    <w:rFonts w:ascii="Arial" w:hAnsi="Arial" w:cs="Arial"/>
                    <w:lang w:val="en-GB"/>
                  </w:rPr>
                </w:pPr>
                <w:r w:rsidRPr="00FF027F">
                  <w:rPr>
                    <w:rFonts w:ascii="Arial" w:hAnsi="Arial" w:cs="Arial"/>
                    <w:lang w:val="en-GB"/>
                  </w:rPr>
                  <w:t>E - Tasks a</w:t>
                </w:r>
                <w:r w:rsidR="0027646E" w:rsidRPr="00FF027F">
                  <w:rPr>
                    <w:rFonts w:ascii="Arial" w:hAnsi="Arial" w:cs="Arial"/>
                    <w:lang w:val="en-GB"/>
                  </w:rPr>
                  <w:t>ssigned by the TEN-E Regulation</w:t>
                </w:r>
              </w:p>
            </w:tc>
          </w:tr>
          <w:tr w:rsidR="00D62896" w:rsidRPr="00FF027F" w14:paraId="01CF5B71" w14:textId="77777777" w:rsidTr="00783FCF">
            <w:trPr>
              <w:trHeight w:val="170"/>
            </w:trPr>
            <w:tc>
              <w:tcPr>
                <w:tcW w:w="3686" w:type="dxa"/>
                <w:tcBorders>
                  <w:bottom w:val="single" w:sz="6" w:space="0" w:color="000080"/>
                </w:tcBorders>
                <w:shd w:val="clear" w:color="auto" w:fill="C6D9F1" w:themeFill="text2" w:themeFillTint="33"/>
              </w:tcPr>
              <w:p w14:paraId="3CD43D5A" w14:textId="77777777" w:rsidR="00D62896" w:rsidRPr="00FF027F" w:rsidRDefault="00D62896" w:rsidP="0045160F">
                <w:pPr>
                  <w:spacing w:line="240" w:lineRule="auto"/>
                  <w:ind w:left="284"/>
                  <w:jc w:val="left"/>
                  <w:rPr>
                    <w:rFonts w:ascii="Arial" w:hAnsi="Arial" w:cs="Arial"/>
                    <w:b/>
                    <w:lang w:val="en-GB"/>
                  </w:rPr>
                </w:pPr>
                <w:r w:rsidRPr="00FF027F">
                  <w:rPr>
                    <w:rFonts w:ascii="Arial" w:hAnsi="Arial" w:cs="Arial"/>
                    <w:b/>
                    <w:lang w:val="en-GB"/>
                  </w:rPr>
                  <w:t>Agency’s task</w:t>
                </w:r>
              </w:p>
            </w:tc>
            <w:tc>
              <w:tcPr>
                <w:tcW w:w="2268" w:type="dxa"/>
                <w:tcBorders>
                  <w:bottom w:val="single" w:sz="6" w:space="0" w:color="000080"/>
                </w:tcBorders>
                <w:shd w:val="clear" w:color="auto" w:fill="C6D9F1" w:themeFill="text2" w:themeFillTint="33"/>
              </w:tcPr>
              <w:p w14:paraId="35427ABD" w14:textId="77777777" w:rsidR="00D62896" w:rsidRPr="00FF027F" w:rsidRDefault="00D62896" w:rsidP="0045160F">
                <w:pPr>
                  <w:spacing w:line="240" w:lineRule="auto"/>
                  <w:ind w:left="284"/>
                  <w:jc w:val="left"/>
                  <w:rPr>
                    <w:rFonts w:ascii="Arial" w:hAnsi="Arial" w:cs="Arial"/>
                    <w:b/>
                    <w:lang w:val="en-GB"/>
                  </w:rPr>
                </w:pPr>
                <w:r w:rsidRPr="00FF027F">
                  <w:rPr>
                    <w:rFonts w:ascii="Arial" w:hAnsi="Arial" w:cs="Arial"/>
                    <w:b/>
                    <w:lang w:val="en-GB"/>
                  </w:rPr>
                  <w:t>Type of action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shd w:val="clear" w:color="auto" w:fill="C6D9F1" w:themeFill="text2" w:themeFillTint="33"/>
              </w:tcPr>
              <w:p w14:paraId="526B84B8"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Legal basis</w:t>
                </w:r>
              </w:p>
            </w:tc>
          </w:tr>
          <w:tr w:rsidR="00D62896" w:rsidRPr="00FF027F" w14:paraId="4258B4EF" w14:textId="77777777" w:rsidTr="00783FCF">
            <w:trPr>
              <w:trHeight w:val="170"/>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0AF3B44D"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Monitoring and recommendation</w:t>
                </w:r>
              </w:p>
            </w:tc>
          </w:tr>
          <w:tr w:rsidR="00D62896" w:rsidRPr="00FF027F" w14:paraId="59A05B0A" w14:textId="77777777" w:rsidTr="0045160F">
            <w:trPr>
              <w:trHeight w:val="1767"/>
            </w:trPr>
            <w:tc>
              <w:tcPr>
                <w:tcW w:w="3686" w:type="dxa"/>
              </w:tcPr>
              <w:p w14:paraId="6021FFD1" w14:textId="77777777" w:rsidR="00D62896" w:rsidRPr="00FF027F" w:rsidRDefault="00D62896" w:rsidP="00E260EE">
                <w:pPr>
                  <w:pStyle w:val="ListParagraph"/>
                  <w:numPr>
                    <w:ilvl w:val="0"/>
                    <w:numId w:val="22"/>
                  </w:numPr>
                  <w:spacing w:after="120"/>
                  <w:ind w:left="720" w:right="202" w:hanging="432"/>
                  <w:jc w:val="left"/>
                  <w:rPr>
                    <w:rFonts w:ascii="Arial" w:hAnsi="Arial" w:cs="Arial"/>
                    <w:bCs/>
                    <w:lang w:val="en-GB" w:eastAsia="fr-FR"/>
                  </w:rPr>
                </w:pPr>
                <w:r w:rsidRPr="00FF027F">
                  <w:rPr>
                    <w:rFonts w:ascii="Arial" w:hAnsi="Arial" w:cs="Arial"/>
                    <w:bCs/>
                    <w:lang w:val="en-GB" w:eastAsia="fr-FR"/>
                  </w:rPr>
                  <w:t>Monitor the progress achieved in implementing the projects of common interest and make recommendations to facilitate the implementation of projects of common interest.</w:t>
                </w:r>
              </w:p>
            </w:tc>
            <w:tc>
              <w:tcPr>
                <w:tcW w:w="2268" w:type="dxa"/>
              </w:tcPr>
              <w:p w14:paraId="135FDF07"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 xml:space="preserve">Monitoring Recommendation </w:t>
                </w:r>
              </w:p>
            </w:tc>
            <w:tc>
              <w:tcPr>
                <w:cnfStyle w:val="000100000000" w:firstRow="0" w:lastRow="0" w:firstColumn="0" w:lastColumn="1" w:oddVBand="0" w:evenVBand="0" w:oddHBand="0" w:evenHBand="0" w:firstRowFirstColumn="0" w:firstRowLastColumn="0" w:lastRowFirstColumn="0" w:lastRowLastColumn="0"/>
                <w:tcW w:w="3118" w:type="dxa"/>
              </w:tcPr>
              <w:p w14:paraId="5FFBCACF" w14:textId="77777777" w:rsidR="00D62896" w:rsidRPr="00FF027F" w:rsidRDefault="00D62896" w:rsidP="0045160F">
                <w:pPr>
                  <w:spacing w:line="240" w:lineRule="auto"/>
                  <w:ind w:left="284"/>
                  <w:jc w:val="left"/>
                  <w:rPr>
                    <w:rFonts w:ascii="Arial" w:hAnsi="Arial" w:cs="Arial"/>
                    <w:b w:val="0"/>
                    <w:lang w:val="en-GB"/>
                  </w:rPr>
                </w:pPr>
                <w:r w:rsidRPr="00FF027F">
                  <w:rPr>
                    <w:rFonts w:ascii="Arial" w:hAnsi="Arial" w:cs="Arial"/>
                    <w:b w:val="0"/>
                    <w:lang w:val="en-GB"/>
                  </w:rPr>
                  <w:t>Article 5(3) Reg 347/2013</w:t>
                </w:r>
              </w:p>
            </w:tc>
          </w:tr>
          <w:tr w:rsidR="00D62896" w:rsidRPr="00FF027F" w14:paraId="58985AE7" w14:textId="77777777" w:rsidTr="0045160F">
            <w:trPr>
              <w:trHeight w:val="1767"/>
            </w:trPr>
            <w:tc>
              <w:tcPr>
                <w:tcW w:w="3686" w:type="dxa"/>
              </w:tcPr>
              <w:p w14:paraId="77D1616D" w14:textId="77777777" w:rsidR="00D62896" w:rsidRPr="00FF027F" w:rsidRDefault="00D62896" w:rsidP="00E260EE">
                <w:pPr>
                  <w:pStyle w:val="ListParagraph"/>
                  <w:numPr>
                    <w:ilvl w:val="0"/>
                    <w:numId w:val="22"/>
                  </w:numPr>
                  <w:spacing w:after="120"/>
                  <w:ind w:left="720" w:right="202" w:hanging="432"/>
                  <w:jc w:val="left"/>
                  <w:rPr>
                    <w:rFonts w:ascii="Arial" w:hAnsi="Arial" w:cs="Arial"/>
                    <w:bCs/>
                    <w:lang w:val="en-GB" w:eastAsia="fr-FR"/>
                  </w:rPr>
                </w:pPr>
                <w:r w:rsidRPr="00FF027F">
                  <w:rPr>
                    <w:rFonts w:ascii="Arial" w:hAnsi="Arial" w:cs="Arial"/>
                    <w:lang w:val="en-GB" w:eastAsia="fr-FR"/>
                  </w:rPr>
                  <w:t>Submit to the Groups a consolidated report for the projects of common interest, evaluating the progress achieved and make, where appropriate, recommendations on how to overcome the delays and difficulties encountered.</w:t>
                </w:r>
              </w:p>
            </w:tc>
            <w:tc>
              <w:tcPr>
                <w:tcW w:w="2268" w:type="dxa"/>
              </w:tcPr>
              <w:p w14:paraId="369387C9"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Reporting Recommendations</w:t>
                </w:r>
              </w:p>
            </w:tc>
            <w:tc>
              <w:tcPr>
                <w:cnfStyle w:val="000100000000" w:firstRow="0" w:lastRow="0" w:firstColumn="0" w:lastColumn="1" w:oddVBand="0" w:evenVBand="0" w:oddHBand="0" w:evenHBand="0" w:firstRowFirstColumn="0" w:firstRowLastColumn="0" w:lastRowFirstColumn="0" w:lastRowLastColumn="0"/>
                <w:tcW w:w="3118" w:type="dxa"/>
              </w:tcPr>
              <w:p w14:paraId="54CD0728" w14:textId="77777777" w:rsidR="00D62896" w:rsidRPr="00FF027F" w:rsidRDefault="00D62896" w:rsidP="0045160F">
                <w:pPr>
                  <w:spacing w:line="240" w:lineRule="auto"/>
                  <w:ind w:left="284"/>
                  <w:jc w:val="left"/>
                  <w:rPr>
                    <w:rFonts w:ascii="Arial" w:hAnsi="Arial" w:cs="Arial"/>
                    <w:b w:val="0"/>
                    <w:lang w:val="en-GB"/>
                  </w:rPr>
                </w:pPr>
                <w:r w:rsidRPr="00FF027F">
                  <w:rPr>
                    <w:rFonts w:ascii="Arial" w:hAnsi="Arial" w:cs="Arial"/>
                    <w:b w:val="0"/>
                    <w:lang w:val="en-GB"/>
                  </w:rPr>
                  <w:t>Article 5 (5) Reg 347/2013, Article 6 (8) and (9) Reg 713/2009</w:t>
                </w:r>
              </w:p>
            </w:tc>
          </w:tr>
          <w:tr w:rsidR="00D62896" w:rsidRPr="00FF027F" w14:paraId="5B19978F" w14:textId="77777777" w:rsidTr="00A2781E">
            <w:trPr>
              <w:trHeight w:val="1443"/>
            </w:trPr>
            <w:tc>
              <w:tcPr>
                <w:tcW w:w="3686" w:type="dxa"/>
              </w:tcPr>
              <w:p w14:paraId="67E433CC"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Provide an opinion to Member States and the Commission on the methodologies submitted by ENTSOs and publish it.</w:t>
                </w:r>
              </w:p>
            </w:tc>
            <w:tc>
              <w:tcPr>
                <w:tcW w:w="2268" w:type="dxa"/>
              </w:tcPr>
              <w:p w14:paraId="38A3F7D2" w14:textId="77777777" w:rsidR="00D62896" w:rsidRPr="00FF027F" w:rsidRDefault="00D62896" w:rsidP="0045160F">
                <w:pPr>
                  <w:spacing w:line="240" w:lineRule="auto"/>
                  <w:ind w:left="284"/>
                  <w:jc w:val="left"/>
                  <w:rPr>
                    <w:rFonts w:ascii="Arial" w:hAnsi="Arial" w:cs="Arial"/>
                    <w:b/>
                    <w:lang w:val="en-GB"/>
                  </w:rPr>
                </w:pPr>
                <w:r w:rsidRPr="00FF027F">
                  <w:rPr>
                    <w:rFonts w:ascii="Arial" w:hAnsi="Arial" w:cs="Arial"/>
                    <w:lang w:val="en-GB"/>
                  </w:rPr>
                  <w:t>Opinion Publication</w:t>
                </w:r>
              </w:p>
            </w:tc>
            <w:tc>
              <w:tcPr>
                <w:cnfStyle w:val="000100000000" w:firstRow="0" w:lastRow="0" w:firstColumn="0" w:lastColumn="1" w:oddVBand="0" w:evenVBand="0" w:oddHBand="0" w:evenHBand="0" w:firstRowFirstColumn="0" w:firstRowLastColumn="0" w:lastRowFirstColumn="0" w:lastRowLastColumn="0"/>
                <w:tcW w:w="3118" w:type="dxa"/>
              </w:tcPr>
              <w:p w14:paraId="0566FD8C" w14:textId="77777777" w:rsidR="00D62896" w:rsidRPr="00FF027F" w:rsidRDefault="00B327E1" w:rsidP="0045160F">
                <w:pPr>
                  <w:spacing w:line="240" w:lineRule="auto"/>
                  <w:ind w:left="284"/>
                  <w:jc w:val="left"/>
                  <w:rPr>
                    <w:rFonts w:ascii="Arial" w:hAnsi="Arial" w:cs="Arial"/>
                    <w:b w:val="0"/>
                    <w:lang w:val="en-GB"/>
                  </w:rPr>
                </w:pPr>
                <w:r w:rsidRPr="00FF027F">
                  <w:rPr>
                    <w:rFonts w:ascii="Arial" w:hAnsi="Arial" w:cs="Arial"/>
                    <w:b w:val="0"/>
                    <w:lang w:val="en-GB"/>
                  </w:rPr>
                  <w:t xml:space="preserve">Article 11(2) Reg </w:t>
                </w:r>
                <w:r w:rsidR="00D62896" w:rsidRPr="00FF027F">
                  <w:rPr>
                    <w:rFonts w:ascii="Arial" w:hAnsi="Arial" w:cs="Arial"/>
                    <w:b w:val="0"/>
                    <w:lang w:val="en-GB"/>
                  </w:rPr>
                  <w:t>347/2013</w:t>
                </w:r>
              </w:p>
            </w:tc>
          </w:tr>
          <w:tr w:rsidR="00D62896" w:rsidRPr="00FF027F" w14:paraId="05BEFC05" w14:textId="77777777" w:rsidTr="0045160F">
            <w:trPr>
              <w:trHeight w:val="840"/>
            </w:trPr>
            <w:tc>
              <w:tcPr>
                <w:tcW w:w="3686" w:type="dxa"/>
              </w:tcPr>
              <w:p w14:paraId="7FD82F86"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Request of relevant network, load flow and market data and relevant confidentiality agreements.</w:t>
                </w:r>
              </w:p>
            </w:tc>
            <w:tc>
              <w:tcPr>
                <w:tcW w:w="2268" w:type="dxa"/>
              </w:tcPr>
              <w:p w14:paraId="23A41B12"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Request</w:t>
                </w:r>
              </w:p>
            </w:tc>
            <w:tc>
              <w:tcPr>
                <w:cnfStyle w:val="000100000000" w:firstRow="0" w:lastRow="0" w:firstColumn="0" w:lastColumn="1" w:oddVBand="0" w:evenVBand="0" w:oddHBand="0" w:evenHBand="0" w:firstRowFirstColumn="0" w:firstRowLastColumn="0" w:lastRowFirstColumn="0" w:lastRowLastColumn="0"/>
                <w:tcW w:w="3118" w:type="dxa"/>
              </w:tcPr>
              <w:p w14:paraId="69AF50E3" w14:textId="77777777" w:rsidR="00D62896" w:rsidRPr="00FF027F" w:rsidRDefault="00B327E1" w:rsidP="0045160F">
                <w:pPr>
                  <w:spacing w:line="240" w:lineRule="auto"/>
                  <w:ind w:left="284"/>
                  <w:jc w:val="left"/>
                  <w:rPr>
                    <w:rFonts w:ascii="Arial" w:hAnsi="Arial" w:cs="Arial"/>
                    <w:b w:val="0"/>
                    <w:lang w:val="en-GB"/>
                  </w:rPr>
                </w:pPr>
                <w:r w:rsidRPr="00FF027F">
                  <w:rPr>
                    <w:rFonts w:ascii="Arial" w:hAnsi="Arial" w:cs="Arial"/>
                    <w:b w:val="0"/>
                    <w:lang w:val="en-GB"/>
                  </w:rPr>
                  <w:t xml:space="preserve">Article 11(5) Reg </w:t>
                </w:r>
                <w:r w:rsidR="00D62896" w:rsidRPr="00FF027F">
                  <w:rPr>
                    <w:rFonts w:ascii="Arial" w:hAnsi="Arial" w:cs="Arial"/>
                    <w:b w:val="0"/>
                    <w:lang w:val="en-GB"/>
                  </w:rPr>
                  <w:t>347/2013</w:t>
                </w:r>
              </w:p>
            </w:tc>
          </w:tr>
          <w:tr w:rsidR="00D62896" w:rsidRPr="00FF027F" w14:paraId="20D032FB" w14:textId="77777777" w:rsidTr="0045160F">
            <w:trPr>
              <w:trHeight w:val="1767"/>
            </w:trPr>
            <w:tc>
              <w:tcPr>
                <w:tcW w:w="3686" w:type="dxa"/>
              </w:tcPr>
              <w:p w14:paraId="0AD70058"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Request, on its own initiative or upon a duly reasoned request by NRAs or stakeholders, and after formally consulting the organisations representing all relevant stakeholders and the Commission, of updates and improvements of methodologies; publication of the requests by NRAs or stakeholders and of all relevant non-commercially sensitive documents.</w:t>
                </w:r>
              </w:p>
            </w:tc>
            <w:tc>
              <w:tcPr>
                <w:tcW w:w="2268" w:type="dxa"/>
              </w:tcPr>
              <w:p w14:paraId="7534F01B" w14:textId="77777777" w:rsidR="00D62896" w:rsidRPr="00FF027F" w:rsidRDefault="00D62896" w:rsidP="0045160F">
                <w:pPr>
                  <w:spacing w:line="240" w:lineRule="auto"/>
                  <w:ind w:left="284"/>
                  <w:jc w:val="left"/>
                  <w:rPr>
                    <w:rFonts w:ascii="Arial" w:hAnsi="Arial" w:cs="Arial"/>
                    <w:b/>
                    <w:lang w:val="en-GB"/>
                  </w:rPr>
                </w:pPr>
                <w:r w:rsidRPr="00FF027F">
                  <w:rPr>
                    <w:rFonts w:ascii="Arial" w:hAnsi="Arial" w:cs="Arial"/>
                    <w:lang w:val="en-GB"/>
                  </w:rPr>
                  <w:t>Request, Consultation Publication</w:t>
                </w:r>
              </w:p>
            </w:tc>
            <w:tc>
              <w:tcPr>
                <w:cnfStyle w:val="000100000000" w:firstRow="0" w:lastRow="0" w:firstColumn="0" w:lastColumn="1" w:oddVBand="0" w:evenVBand="0" w:oddHBand="0" w:evenHBand="0" w:firstRowFirstColumn="0" w:firstRowLastColumn="0" w:lastRowFirstColumn="0" w:lastRowLastColumn="0"/>
                <w:tcW w:w="3118" w:type="dxa"/>
              </w:tcPr>
              <w:p w14:paraId="0AEC283C" w14:textId="77777777" w:rsidR="00D62896" w:rsidRPr="00FF027F" w:rsidRDefault="00B327E1" w:rsidP="0045160F">
                <w:pPr>
                  <w:spacing w:line="240" w:lineRule="auto"/>
                  <w:ind w:left="284"/>
                  <w:jc w:val="left"/>
                  <w:rPr>
                    <w:rFonts w:ascii="Arial" w:hAnsi="Arial" w:cs="Arial"/>
                    <w:b w:val="0"/>
                    <w:lang w:val="en-GB"/>
                  </w:rPr>
                </w:pPr>
                <w:r w:rsidRPr="00FF027F">
                  <w:rPr>
                    <w:rFonts w:ascii="Arial" w:hAnsi="Arial" w:cs="Arial"/>
                    <w:b w:val="0"/>
                    <w:lang w:val="en-GB"/>
                  </w:rPr>
                  <w:t xml:space="preserve">Article 11(6) Reg </w:t>
                </w:r>
                <w:r w:rsidR="00D62896" w:rsidRPr="00FF027F">
                  <w:rPr>
                    <w:rFonts w:ascii="Arial" w:hAnsi="Arial" w:cs="Arial"/>
                    <w:b w:val="0"/>
                    <w:lang w:val="en-GB"/>
                  </w:rPr>
                  <w:t>347/2013</w:t>
                </w:r>
              </w:p>
            </w:tc>
          </w:tr>
          <w:tr w:rsidR="00D62896" w:rsidRPr="00FF027F" w14:paraId="605A6FB8" w14:textId="77777777" w:rsidTr="0045160F">
            <w:trPr>
              <w:trHeight w:val="1767"/>
            </w:trPr>
            <w:tc>
              <w:tcPr>
                <w:tcW w:w="3686" w:type="dxa"/>
              </w:tcPr>
              <w:p w14:paraId="6E408EF6"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Decision on investments requests, including cross-border cost allocation in case of disagreement among NRAs concerned or on their joint request; consultation of NRAs concerned and of project promoters; publication.</w:t>
                </w:r>
              </w:p>
            </w:tc>
            <w:tc>
              <w:tcPr>
                <w:tcW w:w="2268" w:type="dxa"/>
              </w:tcPr>
              <w:p w14:paraId="3DB97405"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Decision Consultation Publication</w:t>
                </w:r>
              </w:p>
            </w:tc>
            <w:tc>
              <w:tcPr>
                <w:cnfStyle w:val="000100000000" w:firstRow="0" w:lastRow="0" w:firstColumn="0" w:lastColumn="1" w:oddVBand="0" w:evenVBand="0" w:oddHBand="0" w:evenHBand="0" w:firstRowFirstColumn="0" w:firstRowLastColumn="0" w:lastRowFirstColumn="0" w:lastRowLastColumn="0"/>
                <w:tcW w:w="3118" w:type="dxa"/>
              </w:tcPr>
              <w:p w14:paraId="0EA4B903" w14:textId="77777777" w:rsidR="00D62896" w:rsidRPr="00FF027F" w:rsidRDefault="00B327E1" w:rsidP="0045160F">
                <w:pPr>
                  <w:spacing w:line="240" w:lineRule="auto"/>
                  <w:ind w:left="284"/>
                  <w:jc w:val="left"/>
                  <w:rPr>
                    <w:rFonts w:ascii="Arial" w:hAnsi="Arial" w:cs="Arial"/>
                    <w:b w:val="0"/>
                    <w:lang w:val="en-GB"/>
                  </w:rPr>
                </w:pPr>
                <w:r w:rsidRPr="00FF027F">
                  <w:rPr>
                    <w:rFonts w:ascii="Arial" w:hAnsi="Arial" w:cs="Arial"/>
                    <w:b w:val="0"/>
                    <w:lang w:val="en-GB"/>
                  </w:rPr>
                  <w:t xml:space="preserve">Article 12 (6) Reg </w:t>
                </w:r>
                <w:r w:rsidR="00D62896" w:rsidRPr="00FF027F">
                  <w:rPr>
                    <w:rFonts w:ascii="Arial" w:hAnsi="Arial" w:cs="Arial"/>
                    <w:b w:val="0"/>
                    <w:lang w:val="en-GB"/>
                  </w:rPr>
                  <w:t>347/2013</w:t>
                </w:r>
              </w:p>
            </w:tc>
          </w:tr>
          <w:tr w:rsidR="00D62896" w:rsidRPr="00FF027F" w14:paraId="6E92B556" w14:textId="77777777" w:rsidTr="0045160F">
            <w:trPr>
              <w:trHeight w:val="750"/>
            </w:trPr>
            <w:tc>
              <w:tcPr>
                <w:tcW w:w="3686" w:type="dxa"/>
              </w:tcPr>
              <w:p w14:paraId="087CD890"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Notification to the Commission of all cost allocation decisions, together with all the relevant information.</w:t>
                </w:r>
              </w:p>
            </w:tc>
            <w:tc>
              <w:tcPr>
                <w:tcW w:w="2268" w:type="dxa"/>
              </w:tcPr>
              <w:p w14:paraId="388CC350"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Notification</w:t>
                </w:r>
              </w:p>
            </w:tc>
            <w:tc>
              <w:tcPr>
                <w:cnfStyle w:val="000100000000" w:firstRow="0" w:lastRow="0" w:firstColumn="0" w:lastColumn="1" w:oddVBand="0" w:evenVBand="0" w:oddHBand="0" w:evenHBand="0" w:firstRowFirstColumn="0" w:firstRowLastColumn="0" w:lastRowFirstColumn="0" w:lastRowLastColumn="0"/>
                <w:tcW w:w="3118" w:type="dxa"/>
              </w:tcPr>
              <w:p w14:paraId="0B2D93FB" w14:textId="77777777" w:rsidR="00D62896" w:rsidRPr="00FF027F" w:rsidRDefault="00B327E1" w:rsidP="0045160F">
                <w:pPr>
                  <w:spacing w:line="240" w:lineRule="auto"/>
                  <w:ind w:left="284"/>
                  <w:jc w:val="left"/>
                  <w:rPr>
                    <w:rFonts w:ascii="Arial" w:hAnsi="Arial" w:cs="Arial"/>
                    <w:b w:val="0"/>
                    <w:lang w:val="en-GB"/>
                  </w:rPr>
                </w:pPr>
                <w:r w:rsidRPr="00FF027F">
                  <w:rPr>
                    <w:rFonts w:ascii="Arial" w:hAnsi="Arial" w:cs="Arial"/>
                    <w:b w:val="0"/>
                    <w:lang w:val="en-GB"/>
                  </w:rPr>
                  <w:t xml:space="preserve">Article 12 (7) Reg </w:t>
                </w:r>
                <w:r w:rsidR="00D62896" w:rsidRPr="00FF027F">
                  <w:rPr>
                    <w:rFonts w:ascii="Arial" w:hAnsi="Arial" w:cs="Arial"/>
                    <w:b w:val="0"/>
                    <w:lang w:val="en-GB"/>
                  </w:rPr>
                  <w:t>347/2013</w:t>
                </w:r>
              </w:p>
            </w:tc>
          </w:tr>
          <w:tr w:rsidR="00D62896" w:rsidRPr="00FF027F" w14:paraId="306D9446" w14:textId="77777777" w:rsidTr="0045160F">
            <w:trPr>
              <w:trHeight w:val="1767"/>
            </w:trPr>
            <w:tc>
              <w:tcPr>
                <w:tcW w:w="3686" w:type="dxa"/>
              </w:tcPr>
              <w:p w14:paraId="0D438414"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Facilitate the sharing of good practices and make recommendations regarding: (a) the appropriate incentives to be granted to some project of common interest; (b) a common methodology to evaluate the incurred higher risks of investments in electricity and gas infrastructure.</w:t>
                </w:r>
              </w:p>
            </w:tc>
            <w:tc>
              <w:tcPr>
                <w:tcW w:w="2268" w:type="dxa"/>
              </w:tcPr>
              <w:p w14:paraId="722EB307"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Cooperation Recommendation</w:t>
                </w:r>
              </w:p>
            </w:tc>
            <w:tc>
              <w:tcPr>
                <w:cnfStyle w:val="000100000000" w:firstRow="0" w:lastRow="0" w:firstColumn="0" w:lastColumn="1" w:oddVBand="0" w:evenVBand="0" w:oddHBand="0" w:evenHBand="0" w:firstRowFirstColumn="0" w:firstRowLastColumn="0" w:lastRowFirstColumn="0" w:lastRowLastColumn="0"/>
                <w:tcW w:w="3118" w:type="dxa"/>
              </w:tcPr>
              <w:p w14:paraId="0497037D" w14:textId="77777777" w:rsidR="00D62896" w:rsidRPr="00FF027F" w:rsidRDefault="00B327E1" w:rsidP="0045160F">
                <w:pPr>
                  <w:spacing w:line="240" w:lineRule="auto"/>
                  <w:ind w:left="284"/>
                  <w:jc w:val="left"/>
                  <w:rPr>
                    <w:rFonts w:ascii="Arial" w:hAnsi="Arial" w:cs="Arial"/>
                    <w:b w:val="0"/>
                    <w:lang w:val="en-GB"/>
                  </w:rPr>
                </w:pPr>
                <w:r w:rsidRPr="00FF027F">
                  <w:rPr>
                    <w:rFonts w:ascii="Arial" w:hAnsi="Arial" w:cs="Arial"/>
                    <w:b w:val="0"/>
                    <w:lang w:val="en-GB"/>
                  </w:rPr>
                  <w:t xml:space="preserve">Article 13 (5) Reg </w:t>
                </w:r>
                <w:r w:rsidR="00D62896" w:rsidRPr="00FF027F">
                  <w:rPr>
                    <w:rFonts w:ascii="Arial" w:hAnsi="Arial" w:cs="Arial"/>
                    <w:b w:val="0"/>
                    <w:lang w:val="en-GB"/>
                  </w:rPr>
                  <w:t>347/2013 and Article 7(2) Reg 713/2009</w:t>
                </w:r>
              </w:p>
            </w:tc>
          </w:tr>
          <w:tr w:rsidR="00D62896" w:rsidRPr="00FF027F" w14:paraId="292158BE" w14:textId="77777777" w:rsidTr="0045160F">
            <w:trPr>
              <w:trHeight w:val="1767"/>
            </w:trPr>
            <w:tc>
              <w:tcPr>
                <w:tcW w:w="3686" w:type="dxa"/>
              </w:tcPr>
              <w:p w14:paraId="76DE0E4E"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Opinion on the common network operation tools adopted by the ENTSOs.</w:t>
                </w:r>
              </w:p>
            </w:tc>
            <w:tc>
              <w:tcPr>
                <w:tcW w:w="2268" w:type="dxa"/>
              </w:tcPr>
              <w:p w14:paraId="3FD7AE1D"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Opinion</w:t>
                </w:r>
              </w:p>
            </w:tc>
            <w:tc>
              <w:tcPr>
                <w:cnfStyle w:val="000100000000" w:firstRow="0" w:lastRow="0" w:firstColumn="0" w:lastColumn="1" w:oddVBand="0" w:evenVBand="0" w:oddHBand="0" w:evenHBand="0" w:firstRowFirstColumn="0" w:firstRowLastColumn="0" w:lastRowFirstColumn="0" w:lastRowLastColumn="0"/>
                <w:tcW w:w="3118" w:type="dxa"/>
              </w:tcPr>
              <w:p w14:paraId="503F580A" w14:textId="77777777" w:rsidR="00D62896" w:rsidRPr="00FF027F" w:rsidRDefault="00D62896" w:rsidP="0045160F">
                <w:pPr>
                  <w:spacing w:line="240" w:lineRule="auto"/>
                  <w:ind w:left="284"/>
                  <w:jc w:val="left"/>
                  <w:rPr>
                    <w:rFonts w:ascii="Arial" w:hAnsi="Arial" w:cs="Arial"/>
                    <w:b w:val="0"/>
                    <w:lang w:val="en-GB"/>
                  </w:rPr>
                </w:pPr>
                <w:r w:rsidRPr="00FF027F">
                  <w:rPr>
                    <w:rFonts w:ascii="Arial" w:hAnsi="Arial" w:cs="Arial"/>
                    <w:b w:val="0"/>
                    <w:lang w:val="en-GB"/>
                  </w:rPr>
                  <w:t>Article 8 (3) Reg 714/2009</w:t>
                </w:r>
              </w:p>
            </w:tc>
          </w:tr>
          <w:tr w:rsidR="00D62896" w:rsidRPr="00FF027F" w14:paraId="62E6DC04" w14:textId="77777777" w:rsidTr="0027646E">
            <w:trPr>
              <w:trHeight w:val="1020"/>
            </w:trPr>
            <w:tc>
              <w:tcPr>
                <w:tcW w:w="3686" w:type="dxa"/>
              </w:tcPr>
              <w:p w14:paraId="7F563415"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Ensure exchange of information between Groups.</w:t>
                </w:r>
              </w:p>
            </w:tc>
            <w:tc>
              <w:tcPr>
                <w:tcW w:w="2268" w:type="dxa"/>
              </w:tcPr>
              <w:p w14:paraId="2918F946"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Information</w:t>
                </w:r>
              </w:p>
            </w:tc>
            <w:tc>
              <w:tcPr>
                <w:cnfStyle w:val="000100000000" w:firstRow="0" w:lastRow="0" w:firstColumn="0" w:lastColumn="1" w:oddVBand="0" w:evenVBand="0" w:oddHBand="0" w:evenHBand="0" w:firstRowFirstColumn="0" w:firstRowLastColumn="0" w:lastRowFirstColumn="0" w:lastRowLastColumn="0"/>
                <w:tcW w:w="3118" w:type="dxa"/>
              </w:tcPr>
              <w:p w14:paraId="3E1FBEC8" w14:textId="77777777" w:rsidR="00D62896" w:rsidRPr="00FF027F" w:rsidRDefault="00D62896" w:rsidP="0045160F">
                <w:pPr>
                  <w:spacing w:line="240" w:lineRule="auto"/>
                  <w:ind w:left="284"/>
                  <w:jc w:val="left"/>
                  <w:rPr>
                    <w:rFonts w:ascii="Arial" w:hAnsi="Arial" w:cs="Arial"/>
                    <w:b w:val="0"/>
                    <w:lang w:val="en-GB"/>
                  </w:rPr>
                </w:pPr>
                <w:r w:rsidRPr="00FF027F">
                  <w:rPr>
                    <w:rFonts w:ascii="Arial" w:hAnsi="Arial" w:cs="Arial"/>
                    <w:b w:val="0"/>
                    <w:lang w:val="en-GB"/>
                  </w:rPr>
                  <w:t xml:space="preserve">Annex III (1)  </w:t>
                </w:r>
              </w:p>
            </w:tc>
          </w:tr>
          <w:tr w:rsidR="00D62896" w:rsidRPr="00FF027F" w14:paraId="2ECDB1BA" w14:textId="77777777" w:rsidTr="0045160F">
            <w:trPr>
              <w:trHeight w:val="1767"/>
            </w:trPr>
            <w:tc>
              <w:tcPr>
                <w:tcW w:w="3686" w:type="dxa"/>
              </w:tcPr>
              <w:p w14:paraId="4D936BBB" w14:textId="77777777" w:rsidR="00D62896" w:rsidRPr="00FF027F" w:rsidRDefault="00D62896" w:rsidP="00E260EE">
                <w:pPr>
                  <w:pStyle w:val="ListParagraph"/>
                  <w:numPr>
                    <w:ilvl w:val="0"/>
                    <w:numId w:val="22"/>
                  </w:numPr>
                  <w:spacing w:after="120"/>
                  <w:ind w:left="720" w:right="202" w:hanging="432"/>
                  <w:jc w:val="left"/>
                  <w:rPr>
                    <w:rFonts w:ascii="Arial" w:hAnsi="Arial" w:cs="Arial"/>
                    <w:lang w:val="en-GB" w:eastAsia="fr-FR"/>
                  </w:rPr>
                </w:pPr>
                <w:r w:rsidRPr="00FF027F">
                  <w:rPr>
                    <w:rFonts w:ascii="Arial" w:hAnsi="Arial" w:cs="Arial"/>
                    <w:lang w:val="en-GB" w:eastAsia="fr-FR"/>
                  </w:rPr>
                  <w:t>Where necessary, check the consistent application of the criteria/cost-benefit analysis methodology and evaluate their cross-border relevance for proposed projects falling under the categories set out in Annex II.1 and 2 of Regulation 1347/2013.</w:t>
                </w:r>
              </w:p>
            </w:tc>
            <w:tc>
              <w:tcPr>
                <w:tcW w:w="2268" w:type="dxa"/>
              </w:tcPr>
              <w:p w14:paraId="2B98BC74" w14:textId="77777777" w:rsidR="00D62896" w:rsidRPr="00FF027F" w:rsidRDefault="00D62896" w:rsidP="0045160F">
                <w:pPr>
                  <w:spacing w:line="240" w:lineRule="auto"/>
                  <w:ind w:left="284"/>
                  <w:jc w:val="left"/>
                  <w:rPr>
                    <w:rFonts w:ascii="Arial" w:hAnsi="Arial" w:cs="Arial"/>
                    <w:lang w:val="en-GB"/>
                  </w:rPr>
                </w:pPr>
                <w:r w:rsidRPr="00FF027F">
                  <w:rPr>
                    <w:rFonts w:ascii="Arial" w:hAnsi="Arial" w:cs="Arial"/>
                    <w:lang w:val="en-GB"/>
                  </w:rPr>
                  <w:t>Analysis</w:t>
                </w:r>
              </w:p>
            </w:tc>
            <w:tc>
              <w:tcPr>
                <w:cnfStyle w:val="000100000000" w:firstRow="0" w:lastRow="0" w:firstColumn="0" w:lastColumn="1" w:oddVBand="0" w:evenVBand="0" w:oddHBand="0" w:evenHBand="0" w:firstRowFirstColumn="0" w:firstRowLastColumn="0" w:lastRowFirstColumn="0" w:lastRowLastColumn="0"/>
                <w:tcW w:w="3118" w:type="dxa"/>
              </w:tcPr>
              <w:p w14:paraId="1D82679D" w14:textId="77777777" w:rsidR="00D62896" w:rsidRPr="00FF027F" w:rsidRDefault="00D62896" w:rsidP="0045160F">
                <w:pPr>
                  <w:spacing w:line="240" w:lineRule="auto"/>
                  <w:ind w:left="284"/>
                  <w:jc w:val="left"/>
                  <w:rPr>
                    <w:rFonts w:ascii="Arial" w:hAnsi="Arial" w:cs="Arial"/>
                    <w:b w:val="0"/>
                    <w:lang w:val="en-GB"/>
                  </w:rPr>
                </w:pPr>
                <w:r w:rsidRPr="00FF027F">
                  <w:rPr>
                    <w:rFonts w:ascii="Arial" w:hAnsi="Arial" w:cs="Arial"/>
                    <w:b w:val="0"/>
                    <w:lang w:val="en-GB"/>
                  </w:rPr>
                  <w:t>Annex III (2)</w:t>
                </w:r>
              </w:p>
            </w:tc>
          </w:tr>
          <w:tr w:rsidR="00D62896" w:rsidRPr="00FF027F" w14:paraId="061944CC" w14:textId="77777777" w:rsidTr="0027646E">
            <w:trPr>
              <w:cnfStyle w:val="010000000000" w:firstRow="0" w:lastRow="1" w:firstColumn="0" w:lastColumn="0" w:oddVBand="0" w:evenVBand="0" w:oddHBand="0" w:evenHBand="0" w:firstRowFirstColumn="0" w:firstRowLastColumn="0" w:lastRowFirstColumn="0" w:lastRowLastColumn="0"/>
              <w:trHeight w:val="1443"/>
            </w:trPr>
            <w:tc>
              <w:tcPr>
                <w:tcW w:w="3686" w:type="dxa"/>
              </w:tcPr>
              <w:p w14:paraId="2427EF2F" w14:textId="77777777" w:rsidR="00D62896" w:rsidRPr="00FF027F" w:rsidRDefault="00D62896" w:rsidP="00E260EE">
                <w:pPr>
                  <w:pStyle w:val="ListParagraph"/>
                  <w:numPr>
                    <w:ilvl w:val="0"/>
                    <w:numId w:val="22"/>
                  </w:numPr>
                  <w:spacing w:after="120"/>
                  <w:ind w:left="720" w:right="202" w:hanging="432"/>
                  <w:jc w:val="left"/>
                  <w:rPr>
                    <w:rFonts w:ascii="Arial" w:hAnsi="Arial" w:cs="Arial"/>
                    <w:b w:val="0"/>
                    <w:lang w:val="en-GB" w:eastAsia="fr-FR"/>
                  </w:rPr>
                </w:pPr>
                <w:r w:rsidRPr="00FF027F">
                  <w:rPr>
                    <w:rFonts w:ascii="Arial" w:hAnsi="Arial" w:cs="Arial"/>
                    <w:b w:val="0"/>
                    <w:lang w:val="en-GB" w:eastAsia="fr-FR"/>
                  </w:rPr>
                  <w:t>Opinion on the draft regional list of proposed projects falling under the categories set out in Annex II.1 and 2 drawn up by the Groups.</w:t>
                </w:r>
              </w:p>
            </w:tc>
            <w:tc>
              <w:tcPr>
                <w:tcW w:w="2268" w:type="dxa"/>
              </w:tcPr>
              <w:p w14:paraId="2B0FA3E9" w14:textId="77777777" w:rsidR="00D62896" w:rsidRPr="00FF027F" w:rsidRDefault="00D62896" w:rsidP="0045160F">
                <w:pPr>
                  <w:spacing w:line="240" w:lineRule="auto"/>
                  <w:ind w:left="284"/>
                  <w:jc w:val="left"/>
                  <w:rPr>
                    <w:rFonts w:ascii="Arial" w:hAnsi="Arial" w:cs="Arial"/>
                    <w:b w:val="0"/>
                    <w:lang w:val="en-GB"/>
                  </w:rPr>
                </w:pPr>
                <w:r w:rsidRPr="00FF027F">
                  <w:rPr>
                    <w:rFonts w:ascii="Arial" w:hAnsi="Arial" w:cs="Arial"/>
                    <w:b w:val="0"/>
                    <w:lang w:val="en-GB"/>
                  </w:rPr>
                  <w:t>Opinion</w:t>
                </w:r>
              </w:p>
            </w:tc>
            <w:tc>
              <w:tcPr>
                <w:cnfStyle w:val="000100000000" w:firstRow="0" w:lastRow="0" w:firstColumn="0" w:lastColumn="1" w:oddVBand="0" w:evenVBand="0" w:oddHBand="0" w:evenHBand="0" w:firstRowFirstColumn="0" w:firstRowLastColumn="0" w:lastRowFirstColumn="0" w:lastRowLastColumn="0"/>
                <w:tcW w:w="3118" w:type="dxa"/>
              </w:tcPr>
              <w:p w14:paraId="120FE036" w14:textId="77777777" w:rsidR="00D62896" w:rsidRPr="00FF027F" w:rsidRDefault="00D62896" w:rsidP="0045160F">
                <w:pPr>
                  <w:spacing w:line="240" w:lineRule="auto"/>
                  <w:ind w:left="284"/>
                  <w:jc w:val="left"/>
                  <w:rPr>
                    <w:rFonts w:ascii="Arial" w:hAnsi="Arial" w:cs="Arial"/>
                    <w:b w:val="0"/>
                    <w:lang w:val="en-GB"/>
                  </w:rPr>
                </w:pPr>
                <w:r w:rsidRPr="00FF027F">
                  <w:rPr>
                    <w:rFonts w:ascii="Arial" w:hAnsi="Arial" w:cs="Arial"/>
                    <w:b w:val="0"/>
                    <w:lang w:val="en-GB"/>
                  </w:rPr>
                  <w:t xml:space="preserve">Annex III (2) and Article 15(1) Reg 713/2009  </w:t>
                </w:r>
              </w:p>
            </w:tc>
          </w:tr>
        </w:tbl>
        <w:p w14:paraId="22E802D0" w14:textId="77777777" w:rsidR="00B760E2" w:rsidRPr="00FF027F" w:rsidRDefault="00B760E2" w:rsidP="00460D5C">
          <w:pPr>
            <w:spacing w:before="120" w:after="120" w:line="360" w:lineRule="auto"/>
            <w:ind w:left="289"/>
            <w:rPr>
              <w:rFonts w:ascii="Arial" w:hAnsi="Arial" w:cs="Arial"/>
              <w:color w:val="1F497D" w:themeColor="text2"/>
              <w:lang w:val="en-GB"/>
            </w:rPr>
          </w:pPr>
        </w:p>
        <w:tbl>
          <w:tblPr>
            <w:tblStyle w:val="TableGrid8"/>
            <w:tblW w:w="9072" w:type="dxa"/>
            <w:tblInd w:w="108" w:type="dxa"/>
            <w:tblLook w:val="01E0" w:firstRow="1" w:lastRow="1" w:firstColumn="1" w:lastColumn="1" w:noHBand="0" w:noVBand="0"/>
          </w:tblPr>
          <w:tblGrid>
            <w:gridCol w:w="3656"/>
            <w:gridCol w:w="2298"/>
            <w:gridCol w:w="3118"/>
          </w:tblGrid>
          <w:tr w:rsidR="00B760E2" w:rsidRPr="00FF027F" w14:paraId="2A8DF229" w14:textId="77777777" w:rsidTr="007634B5">
            <w:trPr>
              <w:cnfStyle w:val="100000000000" w:firstRow="1" w:lastRow="0" w:firstColumn="0" w:lastColumn="0" w:oddVBand="0" w:evenVBand="0" w:oddHBand="0" w:evenHBand="0" w:firstRowFirstColumn="0" w:firstRowLastColumn="0" w:lastRowFirstColumn="0" w:lastRowLastColumn="0"/>
              <w:trHeight w:val="141"/>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1F9B796C" w14:textId="2B5AB651" w:rsidR="00B760E2" w:rsidRPr="00FF027F" w:rsidRDefault="00B760E2" w:rsidP="00E932AB">
                <w:pPr>
                  <w:keepLines w:val="0"/>
                  <w:tabs>
                    <w:tab w:val="clear" w:pos="1985"/>
                    <w:tab w:val="clear" w:pos="5103"/>
                  </w:tabs>
                  <w:ind w:left="289"/>
                  <w:jc w:val="left"/>
                  <w:rPr>
                    <w:rFonts w:ascii="Arial" w:eastAsiaTheme="minorHAnsi" w:hAnsi="Arial" w:cs="Arial"/>
                    <w:color w:val="FFFFFF" w:themeColor="background1"/>
                    <w:sz w:val="22"/>
                    <w:szCs w:val="22"/>
                    <w:lang w:val="en-GB" w:eastAsia="en-US"/>
                  </w:rPr>
                </w:pPr>
                <w:r w:rsidRPr="00FF027F">
                  <w:rPr>
                    <w:rFonts w:ascii="Arial" w:eastAsiaTheme="minorHAnsi" w:hAnsi="Arial" w:cs="Arial"/>
                    <w:color w:val="1F497D" w:themeColor="text2"/>
                    <w:sz w:val="22"/>
                    <w:szCs w:val="22"/>
                    <w:lang w:val="en-GB" w:eastAsia="en-US"/>
                  </w:rPr>
                  <w:t xml:space="preserve"> </w:t>
                </w:r>
                <w:r w:rsidRPr="00FF027F">
                  <w:rPr>
                    <w:rFonts w:ascii="Arial" w:eastAsiaTheme="minorHAnsi" w:hAnsi="Arial" w:cs="Arial"/>
                    <w:color w:val="FFFFFF" w:themeColor="background1"/>
                    <w:sz w:val="22"/>
                    <w:szCs w:val="22"/>
                    <w:lang w:val="en-GB" w:eastAsia="en-US"/>
                  </w:rPr>
                  <w:t xml:space="preserve">F – </w:t>
                </w:r>
                <w:r w:rsidRPr="00FF027F">
                  <w:rPr>
                    <w:rFonts w:ascii="Arial" w:eastAsiaTheme="minorHAnsi" w:hAnsi="Arial" w:cs="Arial"/>
                    <w:color w:val="FFFFFF" w:themeColor="background1"/>
                    <w:lang w:val="en-GB" w:eastAsia="en-US"/>
                  </w:rPr>
                  <w:t>Tasks assigned by the Network Code on Capacity Allocation Mechanisms in Gas Transmission Systems</w:t>
                </w:r>
                <w:r w:rsidR="00E932AB" w:rsidRPr="00FF027F">
                  <w:rPr>
                    <w:rFonts w:ascii="Arial" w:eastAsiaTheme="minorHAnsi" w:hAnsi="Arial" w:cs="Arial"/>
                    <w:color w:val="FFFFFF" w:themeColor="background1"/>
                    <w:sz w:val="22"/>
                    <w:szCs w:val="22"/>
                    <w:lang w:val="en-GB" w:eastAsia="en-US"/>
                  </w:rPr>
                  <w:t xml:space="preserve"> </w:t>
                </w:r>
              </w:p>
            </w:tc>
          </w:tr>
          <w:tr w:rsidR="00B760E2" w:rsidRPr="00FF027F" w14:paraId="75749D89" w14:textId="77777777" w:rsidTr="007634B5">
            <w:trPr>
              <w:trHeight w:val="141"/>
            </w:trPr>
            <w:tc>
              <w:tcPr>
                <w:tcW w:w="3656" w:type="dxa"/>
                <w:tcBorders>
                  <w:bottom w:val="single" w:sz="6" w:space="0" w:color="000080"/>
                </w:tcBorders>
                <w:shd w:val="clear" w:color="auto" w:fill="C6D9F1" w:themeFill="text2" w:themeFillTint="33"/>
              </w:tcPr>
              <w:p w14:paraId="228FE524" w14:textId="77777777" w:rsidR="00B760E2" w:rsidRPr="00FF027F" w:rsidRDefault="00B760E2" w:rsidP="00B760E2">
                <w:pPr>
                  <w:keepLines w:val="0"/>
                  <w:tabs>
                    <w:tab w:val="clear" w:pos="1985"/>
                    <w:tab w:val="clear" w:pos="5103"/>
                  </w:tabs>
                  <w:ind w:left="289"/>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Agency’s task</w:t>
                </w:r>
              </w:p>
            </w:tc>
            <w:tc>
              <w:tcPr>
                <w:tcW w:w="2298" w:type="dxa"/>
                <w:tcBorders>
                  <w:bottom w:val="single" w:sz="6" w:space="0" w:color="000080"/>
                </w:tcBorders>
                <w:shd w:val="clear" w:color="auto" w:fill="C6D9F1" w:themeFill="text2" w:themeFillTint="33"/>
              </w:tcPr>
              <w:p w14:paraId="05564C2E" w14:textId="77777777" w:rsidR="00B760E2" w:rsidRPr="00FF027F" w:rsidRDefault="00B760E2" w:rsidP="00B760E2">
                <w:pPr>
                  <w:keepLines w:val="0"/>
                  <w:tabs>
                    <w:tab w:val="clear" w:pos="1985"/>
                    <w:tab w:val="clear" w:pos="5103"/>
                  </w:tabs>
                  <w:ind w:left="289"/>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Type of action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shd w:val="clear" w:color="auto" w:fill="C6D9F1" w:themeFill="text2" w:themeFillTint="33"/>
              </w:tcPr>
              <w:p w14:paraId="5AB539BB" w14:textId="77777777" w:rsidR="00B760E2" w:rsidRPr="00FF027F" w:rsidRDefault="00B760E2" w:rsidP="00B760E2">
                <w:pPr>
                  <w:keepLines w:val="0"/>
                  <w:tabs>
                    <w:tab w:val="clear" w:pos="1985"/>
                    <w:tab w:val="clear" w:pos="5103"/>
                  </w:tabs>
                  <w:ind w:left="289"/>
                  <w:jc w:val="left"/>
                  <w:rPr>
                    <w:rFonts w:ascii="Arial" w:eastAsiaTheme="minorHAnsi" w:hAnsi="Arial" w:cs="Arial"/>
                    <w:color w:val="1F497D" w:themeColor="text2"/>
                    <w:sz w:val="22"/>
                    <w:szCs w:val="22"/>
                    <w:lang w:val="en-GB" w:eastAsia="en-US"/>
                  </w:rPr>
                </w:pPr>
                <w:r w:rsidRPr="00FF027F">
                  <w:rPr>
                    <w:rFonts w:ascii="Arial" w:eastAsiaTheme="minorHAnsi" w:hAnsi="Arial" w:cs="Arial"/>
                    <w:color w:val="1F497D" w:themeColor="text2"/>
                    <w:sz w:val="22"/>
                    <w:szCs w:val="22"/>
                    <w:lang w:val="en-GB" w:eastAsia="en-US"/>
                  </w:rPr>
                  <w:t>Legal basis</w:t>
                </w:r>
              </w:p>
            </w:tc>
          </w:tr>
          <w:tr w:rsidR="00B760E2" w:rsidRPr="00FF027F" w14:paraId="641BEF9E" w14:textId="77777777" w:rsidTr="007634B5">
            <w:trPr>
              <w:trHeight w:val="141"/>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15CC9279" w14:textId="08B7F1E3" w:rsidR="00B760E2" w:rsidRPr="00FF027F" w:rsidRDefault="00B760E2" w:rsidP="00B760E2">
                <w:pPr>
                  <w:keepLines w:val="0"/>
                  <w:tabs>
                    <w:tab w:val="clear" w:pos="1985"/>
                    <w:tab w:val="clear" w:pos="5103"/>
                  </w:tabs>
                  <w:ind w:left="289"/>
                  <w:jc w:val="left"/>
                  <w:rPr>
                    <w:rFonts w:ascii="Arial" w:eastAsiaTheme="minorHAnsi" w:hAnsi="Arial" w:cs="Arial"/>
                    <w:color w:val="1F497D" w:themeColor="text2"/>
                    <w:sz w:val="22"/>
                    <w:szCs w:val="22"/>
                    <w:lang w:val="en-GB" w:eastAsia="en-US"/>
                  </w:rPr>
                </w:pPr>
                <w:r w:rsidRPr="00FF027F">
                  <w:rPr>
                    <w:rFonts w:ascii="Arial" w:eastAsiaTheme="minorHAnsi" w:hAnsi="Arial" w:cs="Arial"/>
                    <w:color w:val="1F497D" w:themeColor="text2"/>
                    <w:sz w:val="22"/>
                    <w:szCs w:val="22"/>
                    <w:lang w:val="en-GB" w:eastAsia="en-US"/>
                  </w:rPr>
                  <w:t xml:space="preserve">  </w:t>
                </w:r>
              </w:p>
            </w:tc>
          </w:tr>
          <w:tr w:rsidR="00B760E2" w:rsidRPr="00FF027F" w14:paraId="37111906" w14:textId="77777777" w:rsidTr="007634B5">
            <w:trPr>
              <w:trHeight w:val="141"/>
            </w:trPr>
            <w:tc>
              <w:tcPr>
                <w:tcW w:w="3656" w:type="dxa"/>
              </w:tcPr>
              <w:p w14:paraId="1EC45B10" w14:textId="0082F64F" w:rsidR="00B760E2" w:rsidRPr="00FF027F" w:rsidRDefault="00AE7749" w:rsidP="006D214F">
                <w:pPr>
                  <w:pStyle w:val="ListParagraph"/>
                  <w:numPr>
                    <w:ilvl w:val="0"/>
                    <w:numId w:val="51"/>
                  </w:numPr>
                  <w:spacing w:after="120"/>
                  <w:ind w:left="743" w:right="202" w:hanging="425"/>
                  <w:rPr>
                    <w:rFonts w:ascii="Arial" w:eastAsiaTheme="minorHAnsi" w:hAnsi="Arial" w:cs="Arial"/>
                    <w:lang w:val="en-GB"/>
                  </w:rPr>
                </w:pPr>
                <w:r w:rsidRPr="00FF027F">
                  <w:rPr>
                    <w:rFonts w:ascii="Arial" w:eastAsiaTheme="minorHAnsi" w:hAnsi="Arial" w:cs="Arial"/>
                    <w:lang w:val="en-GB"/>
                  </w:rPr>
                  <w:t xml:space="preserve">Report changes in the amount of bundled capacity offered at interconnection </w:t>
                </w:r>
                <w:r w:rsidRPr="00FF027F">
                  <w:rPr>
                    <w:rFonts w:ascii="Arial" w:hAnsi="Arial" w:cs="Arial"/>
                    <w:bCs/>
                    <w:lang w:val="en-GB" w:eastAsia="fr-FR"/>
                  </w:rPr>
                  <w:t>points</w:t>
                </w:r>
                <w:r w:rsidRPr="00FF027F">
                  <w:rPr>
                    <w:rFonts w:ascii="Arial" w:eastAsiaTheme="minorHAnsi" w:hAnsi="Arial" w:cs="Arial"/>
                    <w:lang w:val="en-GB"/>
                  </w:rPr>
                  <w:t xml:space="preserve"> as a result of the process pursuant to Article 6 (1) Regulation 984/2013</w:t>
                </w:r>
              </w:p>
            </w:tc>
            <w:tc>
              <w:tcPr>
                <w:tcW w:w="2298" w:type="dxa"/>
              </w:tcPr>
              <w:p w14:paraId="6DE64668" w14:textId="059A82EB" w:rsidR="00B760E2" w:rsidRPr="00FF027F" w:rsidRDefault="00AE7749" w:rsidP="00FC018F">
                <w:pPr>
                  <w:keepLines w:val="0"/>
                  <w:tabs>
                    <w:tab w:val="clear" w:pos="1985"/>
                    <w:tab w:val="clear" w:pos="5103"/>
                  </w:tabs>
                  <w:ind w:left="289"/>
                  <w:jc w:val="left"/>
                  <w:rPr>
                    <w:rFonts w:ascii="Arial" w:eastAsiaTheme="minorHAnsi" w:hAnsi="Arial" w:cs="Arial"/>
                    <w:lang w:val="en-GB" w:eastAsia="en-US"/>
                  </w:rPr>
                </w:pPr>
                <w:r w:rsidRPr="00FF027F">
                  <w:rPr>
                    <w:rFonts w:ascii="Arial" w:eastAsiaTheme="minorHAnsi" w:hAnsi="Arial" w:cs="Arial"/>
                    <w:sz w:val="22"/>
                    <w:szCs w:val="22"/>
                    <w:lang w:val="en-GB" w:eastAsia="en-US"/>
                  </w:rPr>
                  <w:t xml:space="preserve"> </w:t>
                </w:r>
                <w:r w:rsidRPr="00FF027F">
                  <w:rPr>
                    <w:rFonts w:ascii="Arial" w:eastAsiaTheme="minorHAnsi" w:hAnsi="Arial" w:cs="Arial"/>
                    <w:lang w:val="en-GB" w:eastAsia="en-US"/>
                  </w:rPr>
                  <w:t>Reporting</w:t>
                </w:r>
              </w:p>
            </w:tc>
            <w:tc>
              <w:tcPr>
                <w:cnfStyle w:val="000100000000" w:firstRow="0" w:lastRow="0" w:firstColumn="0" w:lastColumn="1" w:oddVBand="0" w:evenVBand="0" w:oddHBand="0" w:evenHBand="0" w:firstRowFirstColumn="0" w:firstRowLastColumn="0" w:lastRowFirstColumn="0" w:lastRowLastColumn="0"/>
                <w:tcW w:w="3118" w:type="dxa"/>
              </w:tcPr>
              <w:p w14:paraId="3627FC91" w14:textId="6A80B064" w:rsidR="00B760E2" w:rsidRPr="00FF027F" w:rsidRDefault="00AE7749" w:rsidP="00B760E2">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sz w:val="22"/>
                    <w:szCs w:val="22"/>
                    <w:lang w:val="en-GB" w:eastAsia="en-US"/>
                  </w:rPr>
                  <w:t xml:space="preserve"> </w:t>
                </w:r>
                <w:r w:rsidRPr="00FF027F">
                  <w:rPr>
                    <w:rFonts w:ascii="Arial" w:eastAsiaTheme="minorHAnsi" w:hAnsi="Arial" w:cs="Arial"/>
                    <w:b w:val="0"/>
                    <w:lang w:val="en-GB" w:eastAsia="en-US"/>
                  </w:rPr>
                  <w:t>Article 6 (4) Reg 984/2013</w:t>
                </w:r>
              </w:p>
            </w:tc>
          </w:tr>
          <w:tr w:rsidR="00B760E2" w:rsidRPr="00FF027F" w14:paraId="1510D591" w14:textId="77777777" w:rsidTr="007634B5">
            <w:trPr>
              <w:trHeight w:val="141"/>
            </w:trPr>
            <w:tc>
              <w:tcPr>
                <w:tcW w:w="3656" w:type="dxa"/>
              </w:tcPr>
              <w:p w14:paraId="25F9C68F" w14:textId="2512C7CA" w:rsidR="00B760E2" w:rsidRPr="00FF027F" w:rsidRDefault="00AE7749" w:rsidP="006D214F">
                <w:pPr>
                  <w:pStyle w:val="ListParagraph"/>
                  <w:numPr>
                    <w:ilvl w:val="0"/>
                    <w:numId w:val="51"/>
                  </w:numPr>
                  <w:spacing w:after="120"/>
                  <w:ind w:left="743" w:right="202" w:hanging="425"/>
                  <w:rPr>
                    <w:rFonts w:ascii="Arial" w:eastAsiaTheme="minorHAnsi" w:hAnsi="Arial" w:cs="Arial"/>
                    <w:lang w:val="en-GB"/>
                  </w:rPr>
                </w:pPr>
                <w:r w:rsidRPr="00FF027F">
                  <w:rPr>
                    <w:rFonts w:ascii="Arial" w:eastAsiaTheme="minorHAnsi" w:hAnsi="Arial" w:cs="Arial"/>
                    <w:lang w:val="en-GB"/>
                  </w:rPr>
                  <w:t>Publish a r</w:t>
                </w:r>
                <w:r w:rsidR="00B760E2" w:rsidRPr="00FF027F">
                  <w:rPr>
                    <w:rFonts w:ascii="Arial" w:eastAsiaTheme="minorHAnsi" w:hAnsi="Arial" w:cs="Arial"/>
                    <w:lang w:val="en-GB"/>
                  </w:rPr>
                  <w:t xml:space="preserve">eport </w:t>
                </w:r>
                <w:r w:rsidRPr="00FF027F">
                  <w:rPr>
                    <w:rFonts w:ascii="Arial" w:eastAsiaTheme="minorHAnsi" w:hAnsi="Arial" w:cs="Arial"/>
                    <w:lang w:val="en-GB"/>
                  </w:rPr>
                  <w:t xml:space="preserve">on the progress made on bundled capacity  </w:t>
                </w:r>
              </w:p>
            </w:tc>
            <w:tc>
              <w:tcPr>
                <w:tcW w:w="2298" w:type="dxa"/>
              </w:tcPr>
              <w:p w14:paraId="7A432B72" w14:textId="77777777" w:rsidR="00B760E2" w:rsidRPr="00FF027F" w:rsidRDefault="00B760E2" w:rsidP="00B760E2">
                <w:pPr>
                  <w:keepLines w:val="0"/>
                  <w:tabs>
                    <w:tab w:val="clear" w:pos="1985"/>
                    <w:tab w:val="clear" w:pos="5103"/>
                  </w:tabs>
                  <w:ind w:left="289"/>
                  <w:jc w:val="left"/>
                  <w:rPr>
                    <w:rFonts w:ascii="Arial" w:eastAsiaTheme="minorHAnsi" w:hAnsi="Arial" w:cs="Arial"/>
                    <w:lang w:val="en-GB" w:eastAsia="en-US"/>
                  </w:rPr>
                </w:pPr>
                <w:r w:rsidRPr="00FF027F">
                  <w:rPr>
                    <w:rFonts w:ascii="Arial" w:eastAsiaTheme="minorHAnsi" w:hAnsi="Arial" w:cs="Arial"/>
                    <w:lang w:val="en-GB" w:eastAsia="en-US"/>
                  </w:rPr>
                  <w:t>Reporting</w:t>
                </w:r>
              </w:p>
            </w:tc>
            <w:tc>
              <w:tcPr>
                <w:cnfStyle w:val="000100000000" w:firstRow="0" w:lastRow="0" w:firstColumn="0" w:lastColumn="1" w:oddVBand="0" w:evenVBand="0" w:oddHBand="0" w:evenHBand="0" w:firstRowFirstColumn="0" w:firstRowLastColumn="0" w:lastRowFirstColumn="0" w:lastRowLastColumn="0"/>
                <w:tcW w:w="3118" w:type="dxa"/>
              </w:tcPr>
              <w:p w14:paraId="7DE6A9E6" w14:textId="08FCC090" w:rsidR="00AE7749" w:rsidRPr="00FF027F" w:rsidRDefault="00AE7749" w:rsidP="00AE7749">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lang w:val="en-GB" w:eastAsia="en-US"/>
                  </w:rPr>
                  <w:t xml:space="preserve"> Article 20 (1) Reg 984/2013</w:t>
                </w:r>
              </w:p>
            </w:tc>
          </w:tr>
          <w:tr w:rsidR="00B760E2" w:rsidRPr="00FF027F" w14:paraId="4C2623EF" w14:textId="77777777" w:rsidTr="007634B5">
            <w:trPr>
              <w:cnfStyle w:val="010000000000" w:firstRow="0" w:lastRow="1" w:firstColumn="0" w:lastColumn="0" w:oddVBand="0" w:evenVBand="0" w:oddHBand="0" w:evenHBand="0" w:firstRowFirstColumn="0" w:firstRowLastColumn="0" w:lastRowFirstColumn="0" w:lastRowLastColumn="0"/>
              <w:trHeight w:val="141"/>
            </w:trPr>
            <w:tc>
              <w:tcPr>
                <w:tcW w:w="3656" w:type="dxa"/>
              </w:tcPr>
              <w:p w14:paraId="41DDDCA4" w14:textId="700BAB7A" w:rsidR="00B760E2" w:rsidRPr="00FF027F" w:rsidRDefault="00AE7749" w:rsidP="00E932AB">
                <w:pPr>
                  <w:pStyle w:val="ListParagraph"/>
                  <w:numPr>
                    <w:ilvl w:val="0"/>
                    <w:numId w:val="51"/>
                  </w:numPr>
                  <w:spacing w:after="120"/>
                  <w:ind w:left="743" w:right="202" w:hanging="425"/>
                  <w:jc w:val="left"/>
                  <w:rPr>
                    <w:rFonts w:ascii="Arial" w:eastAsiaTheme="minorHAnsi" w:hAnsi="Arial" w:cs="Arial"/>
                    <w:b w:val="0"/>
                    <w:lang w:val="en-GB"/>
                  </w:rPr>
                </w:pPr>
                <w:r w:rsidRPr="00FF027F">
                  <w:rPr>
                    <w:rFonts w:ascii="Arial" w:eastAsiaTheme="minorHAnsi" w:hAnsi="Arial" w:cs="Arial"/>
                    <w:b w:val="0"/>
                    <w:lang w:val="en-GB"/>
                  </w:rPr>
                  <w:t xml:space="preserve">Facilitate implementation of the most appropriate option </w:t>
                </w:r>
                <w:r w:rsidR="00430918" w:rsidRPr="00FF027F">
                  <w:rPr>
                    <w:rFonts w:ascii="Arial" w:eastAsiaTheme="minorHAnsi" w:hAnsi="Arial" w:cs="Arial"/>
                    <w:b w:val="0"/>
                    <w:lang w:val="en-GB"/>
                  </w:rPr>
                  <w:t>identified by th</w:t>
                </w:r>
                <w:r w:rsidR="0088271B" w:rsidRPr="00FF027F">
                  <w:rPr>
                    <w:rFonts w:ascii="Arial" w:eastAsiaTheme="minorHAnsi" w:hAnsi="Arial" w:cs="Arial"/>
                    <w:b w:val="0"/>
                    <w:lang w:val="en-GB"/>
                  </w:rPr>
                  <w:t>e report as per Article 27 (3) R</w:t>
                </w:r>
                <w:r w:rsidR="00430918" w:rsidRPr="00FF027F">
                  <w:rPr>
                    <w:rFonts w:ascii="Arial" w:eastAsiaTheme="minorHAnsi" w:hAnsi="Arial" w:cs="Arial"/>
                    <w:b w:val="0"/>
                    <w:lang w:val="en-GB"/>
                  </w:rPr>
                  <w:t>egulation 984/2013</w:t>
                </w:r>
              </w:p>
            </w:tc>
            <w:tc>
              <w:tcPr>
                <w:tcW w:w="2298" w:type="dxa"/>
              </w:tcPr>
              <w:p w14:paraId="7766458F" w14:textId="594719DB" w:rsidR="00B760E2" w:rsidRPr="00FF027F" w:rsidRDefault="00AE7749" w:rsidP="00B760E2">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sz w:val="22"/>
                    <w:szCs w:val="22"/>
                    <w:lang w:val="en-GB" w:eastAsia="en-US"/>
                  </w:rPr>
                  <w:t xml:space="preserve"> </w:t>
                </w:r>
                <w:r w:rsidRPr="00FF027F">
                  <w:rPr>
                    <w:rFonts w:ascii="Arial" w:eastAsiaTheme="minorHAnsi" w:hAnsi="Arial" w:cs="Arial"/>
                    <w:b w:val="0"/>
                    <w:lang w:val="en-GB" w:eastAsia="en-US"/>
                  </w:rPr>
                  <w:t>Facil</w:t>
                </w:r>
                <w:r w:rsidR="00430918" w:rsidRPr="00FF027F">
                  <w:rPr>
                    <w:rFonts w:ascii="Arial" w:eastAsiaTheme="minorHAnsi" w:hAnsi="Arial" w:cs="Arial"/>
                    <w:b w:val="0"/>
                    <w:lang w:val="en-GB" w:eastAsia="en-US"/>
                  </w:rPr>
                  <w:t>i</w:t>
                </w:r>
                <w:r w:rsidRPr="00FF027F">
                  <w:rPr>
                    <w:rFonts w:ascii="Arial" w:eastAsiaTheme="minorHAnsi" w:hAnsi="Arial" w:cs="Arial"/>
                    <w:b w:val="0"/>
                    <w:lang w:val="en-GB" w:eastAsia="en-US"/>
                  </w:rPr>
                  <w:t>tator</w:t>
                </w:r>
              </w:p>
            </w:tc>
            <w:tc>
              <w:tcPr>
                <w:cnfStyle w:val="000100000000" w:firstRow="0" w:lastRow="0" w:firstColumn="0" w:lastColumn="1" w:oddVBand="0" w:evenVBand="0" w:oddHBand="0" w:evenHBand="0" w:firstRowFirstColumn="0" w:firstRowLastColumn="0" w:lastRowFirstColumn="0" w:lastRowLastColumn="0"/>
                <w:tcW w:w="3118" w:type="dxa"/>
              </w:tcPr>
              <w:p w14:paraId="298771D1" w14:textId="014E4DC0" w:rsidR="00B760E2" w:rsidRPr="00FF027F" w:rsidRDefault="00430918" w:rsidP="00B760E2">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lang w:val="en-GB" w:eastAsia="en-US"/>
                  </w:rPr>
                  <w:t xml:space="preserve"> Article 27 (3) Reg 984/2013</w:t>
                </w:r>
              </w:p>
            </w:tc>
          </w:tr>
        </w:tbl>
        <w:p w14:paraId="7C85F98C" w14:textId="77777777" w:rsidR="00A25E92" w:rsidRPr="00FF027F" w:rsidRDefault="00A25E92" w:rsidP="00A25E92">
          <w:pPr>
            <w:spacing w:before="120" w:after="120" w:line="360" w:lineRule="auto"/>
            <w:rPr>
              <w:rFonts w:ascii="Arial" w:hAnsi="Arial" w:cs="Arial"/>
              <w:b/>
              <w:color w:val="FFFFFF" w:themeColor="background1"/>
              <w:lang w:val="en-GB"/>
            </w:rPr>
          </w:pPr>
        </w:p>
        <w:p w14:paraId="0B5E31D3" w14:textId="0FFB9277" w:rsidR="00DB5E45" w:rsidRDefault="00DB5E45"/>
        <w:tbl>
          <w:tblPr>
            <w:tblStyle w:val="TableGrid8"/>
            <w:tblW w:w="9072" w:type="dxa"/>
            <w:tblInd w:w="108" w:type="dxa"/>
            <w:tblLook w:val="01E0" w:firstRow="1" w:lastRow="1" w:firstColumn="1" w:lastColumn="1" w:noHBand="0" w:noVBand="0"/>
          </w:tblPr>
          <w:tblGrid>
            <w:gridCol w:w="3656"/>
            <w:gridCol w:w="2298"/>
            <w:gridCol w:w="3118"/>
          </w:tblGrid>
          <w:tr w:rsidR="00A25E92" w:rsidRPr="00FF027F" w14:paraId="0E585C39" w14:textId="77777777" w:rsidTr="002F6D71">
            <w:trPr>
              <w:cnfStyle w:val="100000000000" w:firstRow="1" w:lastRow="0" w:firstColumn="0" w:lastColumn="0" w:oddVBand="0" w:evenVBand="0" w:oddHBand="0" w:evenHBand="0" w:firstRowFirstColumn="0" w:firstRowLastColumn="0" w:lastRowFirstColumn="0" w:lastRowLastColumn="0"/>
              <w:trHeight w:val="141"/>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58D8C05C" w14:textId="180ED06A" w:rsidR="00A25E92" w:rsidRPr="00FF027F" w:rsidRDefault="00A25E92" w:rsidP="00E932AB">
                <w:pPr>
                  <w:keepLines w:val="0"/>
                  <w:tabs>
                    <w:tab w:val="clear" w:pos="1985"/>
                    <w:tab w:val="clear" w:pos="5103"/>
                  </w:tabs>
                  <w:ind w:left="289"/>
                  <w:jc w:val="left"/>
                  <w:rPr>
                    <w:rFonts w:ascii="Arial" w:eastAsiaTheme="minorHAnsi" w:hAnsi="Arial" w:cs="Arial"/>
                    <w:color w:val="FFFFFF" w:themeColor="background1"/>
                    <w:sz w:val="22"/>
                    <w:szCs w:val="22"/>
                    <w:lang w:val="en-GB" w:eastAsia="en-US"/>
                  </w:rPr>
                </w:pPr>
                <w:r w:rsidRPr="00FF027F">
                  <w:rPr>
                    <w:rFonts w:ascii="Arial" w:eastAsiaTheme="minorHAnsi" w:hAnsi="Arial" w:cs="Arial"/>
                    <w:color w:val="FFFFFF" w:themeColor="background1"/>
                    <w:sz w:val="22"/>
                    <w:szCs w:val="22"/>
                    <w:lang w:val="en-GB" w:eastAsia="en-US"/>
                  </w:rPr>
                  <w:t xml:space="preserve">G – </w:t>
                </w:r>
                <w:r w:rsidRPr="00FF027F">
                  <w:rPr>
                    <w:rFonts w:ascii="Arial" w:eastAsiaTheme="minorHAnsi" w:hAnsi="Arial" w:cs="Arial"/>
                    <w:color w:val="FFFFFF" w:themeColor="background1"/>
                    <w:lang w:val="en-GB" w:eastAsia="en-US"/>
                  </w:rPr>
                  <w:t xml:space="preserve">Tasks assigned by the Network Code on Gas Balancing of Transmission Networks </w:t>
                </w:r>
              </w:p>
            </w:tc>
          </w:tr>
          <w:tr w:rsidR="00A25E92" w:rsidRPr="00FF027F" w14:paraId="49411895" w14:textId="77777777" w:rsidTr="002F6D71">
            <w:trPr>
              <w:trHeight w:val="141"/>
            </w:trPr>
            <w:tc>
              <w:tcPr>
                <w:tcW w:w="3656" w:type="dxa"/>
                <w:tcBorders>
                  <w:bottom w:val="single" w:sz="6" w:space="0" w:color="000080"/>
                </w:tcBorders>
                <w:shd w:val="clear" w:color="auto" w:fill="C6D9F1" w:themeFill="text2" w:themeFillTint="33"/>
              </w:tcPr>
              <w:p w14:paraId="6ED69F2A" w14:textId="77777777" w:rsidR="00A25E92" w:rsidRPr="00FF027F" w:rsidRDefault="00A25E92" w:rsidP="002F6D71">
                <w:pPr>
                  <w:keepLines w:val="0"/>
                  <w:tabs>
                    <w:tab w:val="clear" w:pos="1985"/>
                    <w:tab w:val="clear" w:pos="5103"/>
                  </w:tabs>
                  <w:ind w:left="289"/>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Agency’s task</w:t>
                </w:r>
              </w:p>
            </w:tc>
            <w:tc>
              <w:tcPr>
                <w:tcW w:w="2298" w:type="dxa"/>
                <w:tcBorders>
                  <w:bottom w:val="single" w:sz="6" w:space="0" w:color="000080"/>
                </w:tcBorders>
                <w:shd w:val="clear" w:color="auto" w:fill="C6D9F1" w:themeFill="text2" w:themeFillTint="33"/>
              </w:tcPr>
              <w:p w14:paraId="3AA511C2" w14:textId="77777777" w:rsidR="00A25E92" w:rsidRPr="00FF027F" w:rsidRDefault="00A25E92" w:rsidP="002F6D71">
                <w:pPr>
                  <w:keepLines w:val="0"/>
                  <w:tabs>
                    <w:tab w:val="clear" w:pos="1985"/>
                    <w:tab w:val="clear" w:pos="5103"/>
                  </w:tabs>
                  <w:ind w:left="289"/>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Type of action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shd w:val="clear" w:color="auto" w:fill="C6D9F1" w:themeFill="text2" w:themeFillTint="33"/>
              </w:tcPr>
              <w:p w14:paraId="69A710EC" w14:textId="77777777" w:rsidR="00A25E92" w:rsidRPr="00FF027F" w:rsidRDefault="00A25E92" w:rsidP="002F6D71">
                <w:pPr>
                  <w:keepLines w:val="0"/>
                  <w:tabs>
                    <w:tab w:val="clear" w:pos="1985"/>
                    <w:tab w:val="clear" w:pos="5103"/>
                  </w:tabs>
                  <w:ind w:left="289"/>
                  <w:jc w:val="left"/>
                  <w:rPr>
                    <w:rFonts w:ascii="Arial" w:eastAsiaTheme="minorHAnsi" w:hAnsi="Arial" w:cs="Arial"/>
                    <w:color w:val="1F497D" w:themeColor="text2"/>
                    <w:sz w:val="22"/>
                    <w:szCs w:val="22"/>
                    <w:lang w:val="en-GB" w:eastAsia="en-US"/>
                  </w:rPr>
                </w:pPr>
                <w:r w:rsidRPr="00FF027F">
                  <w:rPr>
                    <w:rFonts w:ascii="Arial" w:eastAsiaTheme="minorHAnsi" w:hAnsi="Arial" w:cs="Arial"/>
                    <w:color w:val="1F497D" w:themeColor="text2"/>
                    <w:sz w:val="22"/>
                    <w:szCs w:val="22"/>
                    <w:lang w:val="en-GB" w:eastAsia="en-US"/>
                  </w:rPr>
                  <w:t>Legal basis</w:t>
                </w:r>
              </w:p>
            </w:tc>
          </w:tr>
          <w:tr w:rsidR="00A25E92" w:rsidRPr="00FF027F" w14:paraId="2A97EB79" w14:textId="77777777" w:rsidTr="004F7A95">
            <w:trPr>
              <w:trHeight w:val="518"/>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6158E6B7" w14:textId="77777777" w:rsidR="00A25E92" w:rsidRPr="00FF027F" w:rsidRDefault="00A25E92" w:rsidP="002F6D71">
                <w:pPr>
                  <w:keepLines w:val="0"/>
                  <w:tabs>
                    <w:tab w:val="clear" w:pos="1985"/>
                    <w:tab w:val="clear" w:pos="5103"/>
                  </w:tabs>
                  <w:ind w:left="289"/>
                  <w:jc w:val="left"/>
                  <w:rPr>
                    <w:rFonts w:ascii="Arial" w:eastAsiaTheme="minorHAnsi" w:hAnsi="Arial" w:cs="Arial"/>
                    <w:color w:val="1F497D" w:themeColor="text2"/>
                    <w:sz w:val="22"/>
                    <w:szCs w:val="22"/>
                    <w:lang w:val="en-GB" w:eastAsia="en-US"/>
                  </w:rPr>
                </w:pPr>
                <w:r w:rsidRPr="00FF027F">
                  <w:rPr>
                    <w:rFonts w:ascii="Arial" w:eastAsiaTheme="minorHAnsi" w:hAnsi="Arial" w:cs="Arial"/>
                    <w:color w:val="1F497D" w:themeColor="text2"/>
                    <w:sz w:val="22"/>
                    <w:szCs w:val="22"/>
                    <w:lang w:val="en-GB" w:eastAsia="en-US"/>
                  </w:rPr>
                  <w:t xml:space="preserve">  </w:t>
                </w:r>
              </w:p>
            </w:tc>
          </w:tr>
          <w:tr w:rsidR="00A25E92" w:rsidRPr="00FF027F" w14:paraId="5615BDDF" w14:textId="77777777" w:rsidTr="002F6D71">
            <w:trPr>
              <w:trHeight w:val="141"/>
            </w:trPr>
            <w:tc>
              <w:tcPr>
                <w:tcW w:w="3656" w:type="dxa"/>
              </w:tcPr>
              <w:p w14:paraId="21315780" w14:textId="15E2E396" w:rsidR="00A25E92" w:rsidRPr="00FF027F" w:rsidRDefault="00981FCC" w:rsidP="006D214F">
                <w:pPr>
                  <w:pStyle w:val="ListParagraph"/>
                  <w:numPr>
                    <w:ilvl w:val="0"/>
                    <w:numId w:val="52"/>
                  </w:numPr>
                  <w:spacing w:after="120"/>
                  <w:ind w:left="743" w:right="202" w:hanging="425"/>
                  <w:rPr>
                    <w:rFonts w:ascii="Arial" w:eastAsiaTheme="minorHAnsi" w:hAnsi="Arial" w:cs="Arial"/>
                    <w:lang w:val="en-GB" w:eastAsia="fr-FR"/>
                  </w:rPr>
                </w:pPr>
                <w:r w:rsidRPr="00FF027F">
                  <w:rPr>
                    <w:rFonts w:ascii="Arial" w:eastAsiaTheme="minorHAnsi" w:hAnsi="Arial" w:cs="Arial"/>
                    <w:lang w:val="en-GB" w:eastAsia="fr-FR"/>
                  </w:rPr>
                  <w:t xml:space="preserve">Provide an opinion </w:t>
                </w:r>
                <w:r w:rsidRPr="00FF027F">
                  <w:rPr>
                    <w:rFonts w:ascii="Arial" w:eastAsiaTheme="minorHAnsi" w:hAnsi="Arial" w:cs="Arial"/>
                    <w:bCs/>
                    <w:lang w:val="en-GB"/>
                  </w:rPr>
                  <w:t>to</w:t>
                </w:r>
                <w:r w:rsidRPr="00FF027F">
                  <w:rPr>
                    <w:rFonts w:ascii="Arial" w:eastAsiaTheme="minorHAnsi" w:hAnsi="Arial" w:cs="Arial"/>
                    <w:lang w:val="en-GB" w:eastAsia="fr-FR"/>
                  </w:rPr>
                  <w:t xml:space="preserve"> </w:t>
                </w:r>
                <w:r w:rsidRPr="00FF027F">
                  <w:rPr>
                    <w:rFonts w:ascii="Arial" w:eastAsiaTheme="minorHAnsi" w:hAnsi="Arial" w:cs="Arial"/>
                    <w:bCs/>
                    <w:lang w:val="en-GB"/>
                  </w:rPr>
                  <w:t>the</w:t>
                </w:r>
                <w:r w:rsidRPr="00FF027F">
                  <w:rPr>
                    <w:rFonts w:ascii="Arial" w:eastAsiaTheme="minorHAnsi" w:hAnsi="Arial" w:cs="Arial"/>
                    <w:lang w:val="en-GB" w:eastAsia="fr-FR"/>
                  </w:rPr>
                  <w:t xml:space="preserve"> adjacent </w:t>
                </w:r>
                <w:r w:rsidRPr="00FF027F">
                  <w:rPr>
                    <w:rFonts w:ascii="Arial" w:eastAsiaTheme="minorHAnsi" w:hAnsi="Arial" w:cs="Arial"/>
                    <w:bCs/>
                    <w:lang w:val="en-GB"/>
                  </w:rPr>
                  <w:t>national</w:t>
                </w:r>
                <w:r w:rsidRPr="00FF027F">
                  <w:rPr>
                    <w:rFonts w:ascii="Arial" w:eastAsiaTheme="minorHAnsi" w:hAnsi="Arial" w:cs="Arial"/>
                    <w:lang w:val="en-GB" w:eastAsia="fr-FR"/>
                  </w:rPr>
                  <w:t xml:space="preserve"> </w:t>
                </w:r>
                <w:r w:rsidR="00EB1C30" w:rsidRPr="00FF027F">
                  <w:rPr>
                    <w:rFonts w:ascii="Arial" w:eastAsiaTheme="minorHAnsi" w:hAnsi="Arial" w:cs="Arial"/>
                    <w:lang w:val="en-GB" w:eastAsia="fr-FR"/>
                  </w:rPr>
                  <w:t xml:space="preserve">regulatory authority </w:t>
                </w:r>
                <w:r w:rsidRPr="00FF027F">
                  <w:rPr>
                    <w:rFonts w:ascii="Arial" w:eastAsiaTheme="minorHAnsi" w:hAnsi="Arial" w:cs="Arial"/>
                    <w:lang w:val="en-GB" w:eastAsia="fr-FR"/>
                  </w:rPr>
                  <w:t xml:space="preserve">(-ies) on the motivated decision referred to </w:t>
                </w:r>
                <w:r w:rsidR="004F7A95" w:rsidRPr="00FF027F">
                  <w:rPr>
                    <w:rFonts w:ascii="Arial" w:eastAsiaTheme="minorHAnsi" w:hAnsi="Arial" w:cs="Arial"/>
                    <w:lang w:val="en-GB" w:eastAsia="fr-FR"/>
                  </w:rPr>
                  <w:t>in Article 27 (1) of Regulation 312/2014</w:t>
                </w:r>
              </w:p>
            </w:tc>
            <w:tc>
              <w:tcPr>
                <w:tcW w:w="2298" w:type="dxa"/>
              </w:tcPr>
              <w:p w14:paraId="1BB73FDC" w14:textId="678DBF49" w:rsidR="00A25E92" w:rsidRPr="00FF027F" w:rsidRDefault="00A25E92" w:rsidP="00016A74">
                <w:pPr>
                  <w:keepLines w:val="0"/>
                  <w:tabs>
                    <w:tab w:val="clear" w:pos="1985"/>
                    <w:tab w:val="clear" w:pos="5103"/>
                  </w:tabs>
                  <w:ind w:left="289"/>
                  <w:jc w:val="left"/>
                  <w:rPr>
                    <w:rFonts w:ascii="Arial" w:eastAsiaTheme="minorHAnsi" w:hAnsi="Arial" w:cs="Arial"/>
                    <w:lang w:val="en-GB" w:eastAsia="en-US"/>
                  </w:rPr>
                </w:pPr>
                <w:r w:rsidRPr="00FF027F">
                  <w:rPr>
                    <w:rFonts w:ascii="Arial" w:eastAsiaTheme="minorHAnsi" w:hAnsi="Arial" w:cs="Arial"/>
                    <w:sz w:val="22"/>
                    <w:szCs w:val="22"/>
                    <w:lang w:val="en-GB" w:eastAsia="en-US"/>
                  </w:rPr>
                  <w:t xml:space="preserve"> </w:t>
                </w:r>
                <w:r w:rsidRPr="00FF027F">
                  <w:rPr>
                    <w:rFonts w:ascii="Arial" w:eastAsiaTheme="minorHAnsi" w:hAnsi="Arial" w:cs="Arial"/>
                    <w:lang w:val="en-GB" w:eastAsia="en-US"/>
                  </w:rPr>
                  <w:t>Opinion</w:t>
                </w:r>
              </w:p>
            </w:tc>
            <w:tc>
              <w:tcPr>
                <w:cnfStyle w:val="000100000000" w:firstRow="0" w:lastRow="0" w:firstColumn="0" w:lastColumn="1" w:oddVBand="0" w:evenVBand="0" w:oddHBand="0" w:evenHBand="0" w:firstRowFirstColumn="0" w:firstRowLastColumn="0" w:lastRowFirstColumn="0" w:lastRowLastColumn="0"/>
                <w:tcW w:w="3118" w:type="dxa"/>
              </w:tcPr>
              <w:p w14:paraId="51055EE1" w14:textId="75612692" w:rsidR="00A25E92" w:rsidRPr="00FF027F" w:rsidRDefault="00A25E92" w:rsidP="002F6D71">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sz w:val="22"/>
                    <w:szCs w:val="22"/>
                    <w:lang w:val="en-GB" w:eastAsia="en-US"/>
                  </w:rPr>
                  <w:t xml:space="preserve"> </w:t>
                </w:r>
                <w:r w:rsidRPr="00FF027F">
                  <w:rPr>
                    <w:rFonts w:ascii="Arial" w:eastAsiaTheme="minorHAnsi" w:hAnsi="Arial" w:cs="Arial"/>
                    <w:b w:val="0"/>
                    <w:lang w:val="en-GB" w:eastAsia="en-US"/>
                  </w:rPr>
                  <w:t xml:space="preserve">Article </w:t>
                </w:r>
                <w:r w:rsidR="00981FCC" w:rsidRPr="00FF027F">
                  <w:rPr>
                    <w:rFonts w:ascii="Arial" w:eastAsiaTheme="minorHAnsi" w:hAnsi="Arial" w:cs="Arial"/>
                    <w:b w:val="0"/>
                    <w:lang w:val="en-GB" w:eastAsia="en-US"/>
                  </w:rPr>
                  <w:t>7</w:t>
                </w:r>
                <w:r w:rsidRPr="00FF027F">
                  <w:rPr>
                    <w:rFonts w:ascii="Arial" w:eastAsiaTheme="minorHAnsi" w:hAnsi="Arial" w:cs="Arial"/>
                    <w:b w:val="0"/>
                    <w:lang w:val="en-GB" w:eastAsia="en-US"/>
                  </w:rPr>
                  <w:t xml:space="preserve"> (4) Reg </w:t>
                </w:r>
                <w:r w:rsidR="00981FCC" w:rsidRPr="00FF027F">
                  <w:rPr>
                    <w:rFonts w:ascii="Arial" w:eastAsiaTheme="minorHAnsi" w:hAnsi="Arial" w:cs="Arial"/>
                    <w:b w:val="0"/>
                    <w:lang w:val="en-GB" w:eastAsia="en-US"/>
                  </w:rPr>
                  <w:t>713</w:t>
                </w:r>
                <w:r w:rsidRPr="00FF027F">
                  <w:rPr>
                    <w:rFonts w:ascii="Arial" w:eastAsiaTheme="minorHAnsi" w:hAnsi="Arial" w:cs="Arial"/>
                    <w:b w:val="0"/>
                    <w:lang w:val="en-GB" w:eastAsia="en-US"/>
                  </w:rPr>
                  <w:t>/20</w:t>
                </w:r>
                <w:r w:rsidR="00981FCC" w:rsidRPr="00FF027F">
                  <w:rPr>
                    <w:rFonts w:ascii="Arial" w:eastAsiaTheme="minorHAnsi" w:hAnsi="Arial" w:cs="Arial"/>
                    <w:b w:val="0"/>
                    <w:lang w:val="en-GB" w:eastAsia="en-US"/>
                  </w:rPr>
                  <w:t>09</w:t>
                </w:r>
              </w:p>
            </w:tc>
          </w:tr>
          <w:tr w:rsidR="00A25E92" w:rsidRPr="00FF027F" w14:paraId="6E326585" w14:textId="77777777" w:rsidTr="002F6D71">
            <w:trPr>
              <w:trHeight w:val="141"/>
            </w:trPr>
            <w:tc>
              <w:tcPr>
                <w:tcW w:w="3656" w:type="dxa"/>
              </w:tcPr>
              <w:p w14:paraId="1B21EF94" w14:textId="668DBA6B" w:rsidR="00A25E92" w:rsidRPr="00FF027F" w:rsidRDefault="00307FF9" w:rsidP="006D214F">
                <w:pPr>
                  <w:pStyle w:val="ListParagraph"/>
                  <w:numPr>
                    <w:ilvl w:val="0"/>
                    <w:numId w:val="52"/>
                  </w:numPr>
                  <w:spacing w:after="120"/>
                  <w:ind w:left="743" w:right="202" w:hanging="425"/>
                  <w:rPr>
                    <w:rFonts w:ascii="Arial" w:eastAsiaTheme="minorHAnsi" w:hAnsi="Arial" w:cs="Arial"/>
                    <w:lang w:val="en-GB" w:eastAsia="fr-FR"/>
                  </w:rPr>
                </w:pPr>
                <w:r w:rsidRPr="00FF027F">
                  <w:rPr>
                    <w:rFonts w:ascii="Arial" w:eastAsiaTheme="minorHAnsi" w:hAnsi="Arial" w:cs="Arial"/>
                    <w:lang w:val="en-GB" w:eastAsia="fr-FR"/>
                  </w:rPr>
                  <w:t>Receive the notification of the motivated decision of the national regulatory authority pursuant to Article 46 (4) of Regulation 312/2014</w:t>
                </w:r>
                <w:r w:rsidR="00A25E92" w:rsidRPr="00FF027F">
                  <w:rPr>
                    <w:rFonts w:ascii="Arial" w:eastAsiaTheme="minorHAnsi" w:hAnsi="Arial" w:cs="Arial"/>
                    <w:lang w:val="en-GB" w:eastAsia="fr-FR"/>
                  </w:rPr>
                  <w:t xml:space="preserve"> </w:t>
                </w:r>
              </w:p>
            </w:tc>
            <w:tc>
              <w:tcPr>
                <w:tcW w:w="2298" w:type="dxa"/>
              </w:tcPr>
              <w:p w14:paraId="7FF0B2E4" w14:textId="14196C46" w:rsidR="00A25E92" w:rsidRPr="00FF027F" w:rsidRDefault="00307FF9" w:rsidP="002F6D71">
                <w:pPr>
                  <w:keepLines w:val="0"/>
                  <w:tabs>
                    <w:tab w:val="clear" w:pos="1985"/>
                    <w:tab w:val="clear" w:pos="5103"/>
                  </w:tabs>
                  <w:ind w:left="289"/>
                  <w:jc w:val="left"/>
                  <w:rPr>
                    <w:rFonts w:ascii="Arial" w:eastAsiaTheme="minorHAnsi" w:hAnsi="Arial" w:cs="Arial"/>
                    <w:lang w:val="en-GB" w:eastAsia="en-US"/>
                  </w:rPr>
                </w:pPr>
                <w:r w:rsidRPr="00FF027F">
                  <w:rPr>
                    <w:rFonts w:ascii="Arial" w:eastAsiaTheme="minorHAnsi" w:hAnsi="Arial" w:cs="Arial"/>
                    <w:lang w:val="en-GB" w:eastAsia="en-US"/>
                  </w:rPr>
                  <w:t xml:space="preserve"> Notification </w:t>
                </w:r>
              </w:p>
            </w:tc>
            <w:tc>
              <w:tcPr>
                <w:cnfStyle w:val="000100000000" w:firstRow="0" w:lastRow="0" w:firstColumn="0" w:lastColumn="1" w:oddVBand="0" w:evenVBand="0" w:oddHBand="0" w:evenHBand="0" w:firstRowFirstColumn="0" w:firstRowLastColumn="0" w:lastRowFirstColumn="0" w:lastRowLastColumn="0"/>
                <w:tcW w:w="3118" w:type="dxa"/>
              </w:tcPr>
              <w:p w14:paraId="500BC286" w14:textId="7C8B01F5" w:rsidR="00A25E92" w:rsidRPr="00FF027F" w:rsidRDefault="00307FF9" w:rsidP="00254984">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lang w:val="en-GB" w:eastAsia="en-US"/>
                  </w:rPr>
                  <w:t xml:space="preserve"> Article 46 (4</w:t>
                </w:r>
                <w:r w:rsidR="00254984" w:rsidRPr="00FF027F">
                  <w:rPr>
                    <w:rFonts w:ascii="Arial" w:eastAsiaTheme="minorHAnsi" w:hAnsi="Arial" w:cs="Arial"/>
                    <w:b w:val="0"/>
                    <w:lang w:val="en-GB" w:eastAsia="en-US"/>
                  </w:rPr>
                  <w:t>) Reg 312</w:t>
                </w:r>
                <w:r w:rsidR="00A25E92" w:rsidRPr="00FF027F">
                  <w:rPr>
                    <w:rFonts w:ascii="Arial" w:eastAsiaTheme="minorHAnsi" w:hAnsi="Arial" w:cs="Arial"/>
                    <w:b w:val="0"/>
                    <w:lang w:val="en-GB" w:eastAsia="en-US"/>
                  </w:rPr>
                  <w:t>/201</w:t>
                </w:r>
                <w:r w:rsidR="00254984" w:rsidRPr="00FF027F">
                  <w:rPr>
                    <w:rFonts w:ascii="Arial" w:eastAsiaTheme="minorHAnsi" w:hAnsi="Arial" w:cs="Arial"/>
                    <w:b w:val="0"/>
                    <w:lang w:val="en-GB" w:eastAsia="en-US"/>
                  </w:rPr>
                  <w:t>4</w:t>
                </w:r>
              </w:p>
            </w:tc>
          </w:tr>
          <w:tr w:rsidR="00A25E92" w:rsidRPr="00FF027F" w14:paraId="21877F86" w14:textId="77777777" w:rsidTr="002F6D71">
            <w:trPr>
              <w:cnfStyle w:val="010000000000" w:firstRow="0" w:lastRow="1" w:firstColumn="0" w:lastColumn="0" w:oddVBand="0" w:evenVBand="0" w:oddHBand="0" w:evenHBand="0" w:firstRowFirstColumn="0" w:firstRowLastColumn="0" w:lastRowFirstColumn="0" w:lastRowLastColumn="0"/>
              <w:trHeight w:val="141"/>
            </w:trPr>
            <w:tc>
              <w:tcPr>
                <w:tcW w:w="3656" w:type="dxa"/>
              </w:tcPr>
              <w:p w14:paraId="1E6D8D2A" w14:textId="41E3BABD" w:rsidR="00A25E92" w:rsidRPr="00FF027F" w:rsidRDefault="00307FF9" w:rsidP="006D214F">
                <w:pPr>
                  <w:pStyle w:val="ListParagraph"/>
                  <w:numPr>
                    <w:ilvl w:val="0"/>
                    <w:numId w:val="52"/>
                  </w:numPr>
                  <w:spacing w:after="120"/>
                  <w:ind w:left="743" w:right="202" w:hanging="425"/>
                  <w:rPr>
                    <w:rFonts w:ascii="Arial" w:eastAsiaTheme="minorHAnsi" w:hAnsi="Arial" w:cs="Arial"/>
                    <w:b w:val="0"/>
                    <w:lang w:val="en-GB"/>
                  </w:rPr>
                </w:pPr>
                <w:r w:rsidRPr="00FF027F">
                  <w:rPr>
                    <w:rFonts w:ascii="Arial" w:eastAsiaTheme="minorHAnsi" w:hAnsi="Arial" w:cs="Arial"/>
                    <w:b w:val="0"/>
                    <w:lang w:val="en-GB" w:eastAsia="fr-FR"/>
                  </w:rPr>
                  <w:t xml:space="preserve">Receive the notification </w:t>
                </w:r>
                <w:r w:rsidR="00254984" w:rsidRPr="00FF027F">
                  <w:rPr>
                    <w:rFonts w:ascii="Arial" w:eastAsiaTheme="minorHAnsi" w:hAnsi="Arial" w:cs="Arial"/>
                    <w:b w:val="0"/>
                    <w:lang w:val="en-GB" w:eastAsia="fr-FR"/>
                  </w:rPr>
                  <w:t>of the decision on a transitional period for TSOs</w:t>
                </w:r>
              </w:p>
            </w:tc>
            <w:tc>
              <w:tcPr>
                <w:tcW w:w="2298" w:type="dxa"/>
              </w:tcPr>
              <w:p w14:paraId="6BCD42AC" w14:textId="1F6D92AA" w:rsidR="00A25E92" w:rsidRPr="00FF027F" w:rsidRDefault="00307FF9" w:rsidP="002F6D71">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lang w:val="en-GB" w:eastAsia="en-US"/>
                  </w:rPr>
                  <w:t xml:space="preserve"> Notification</w:t>
                </w:r>
              </w:p>
            </w:tc>
            <w:tc>
              <w:tcPr>
                <w:cnfStyle w:val="000100000000" w:firstRow="0" w:lastRow="0" w:firstColumn="0" w:lastColumn="1" w:oddVBand="0" w:evenVBand="0" w:oddHBand="0" w:evenHBand="0" w:firstRowFirstColumn="0" w:firstRowLastColumn="0" w:lastRowFirstColumn="0" w:lastRowLastColumn="0"/>
                <w:tcW w:w="3118" w:type="dxa"/>
              </w:tcPr>
              <w:p w14:paraId="3C83A616" w14:textId="305E99DA" w:rsidR="00A25E92" w:rsidRPr="00FF027F" w:rsidRDefault="00254984" w:rsidP="00254984">
                <w:pPr>
                  <w:keepLines w:val="0"/>
                  <w:tabs>
                    <w:tab w:val="clear" w:pos="1985"/>
                    <w:tab w:val="clear" w:pos="5103"/>
                  </w:tabs>
                  <w:ind w:left="289"/>
                  <w:jc w:val="left"/>
                  <w:rPr>
                    <w:rFonts w:ascii="Arial" w:eastAsiaTheme="minorHAnsi" w:hAnsi="Arial" w:cs="Arial"/>
                    <w:b w:val="0"/>
                    <w:lang w:val="en-GB" w:eastAsia="en-US"/>
                  </w:rPr>
                </w:pPr>
                <w:r w:rsidRPr="00FF027F">
                  <w:rPr>
                    <w:rFonts w:ascii="Arial" w:eastAsiaTheme="minorHAnsi" w:hAnsi="Arial" w:cs="Arial"/>
                    <w:b w:val="0"/>
                    <w:lang w:val="en-GB" w:eastAsia="en-US"/>
                  </w:rPr>
                  <w:t xml:space="preserve"> Article 52 (2</w:t>
                </w:r>
                <w:r w:rsidR="00A25E92" w:rsidRPr="00FF027F">
                  <w:rPr>
                    <w:rFonts w:ascii="Arial" w:eastAsiaTheme="minorHAnsi" w:hAnsi="Arial" w:cs="Arial"/>
                    <w:b w:val="0"/>
                    <w:lang w:val="en-GB" w:eastAsia="en-US"/>
                  </w:rPr>
                  <w:t xml:space="preserve">) Reg </w:t>
                </w:r>
                <w:r w:rsidRPr="00FF027F">
                  <w:rPr>
                    <w:rFonts w:ascii="Arial" w:eastAsiaTheme="minorHAnsi" w:hAnsi="Arial" w:cs="Arial"/>
                    <w:b w:val="0"/>
                    <w:lang w:val="en-GB" w:eastAsia="en-US"/>
                  </w:rPr>
                  <w:t>312/2014</w:t>
                </w:r>
              </w:p>
            </w:tc>
          </w:tr>
        </w:tbl>
        <w:p w14:paraId="3AC35AC8" w14:textId="77777777" w:rsidR="00A25E92" w:rsidRPr="00FF027F" w:rsidRDefault="00A25E92" w:rsidP="00A25E92">
          <w:pPr>
            <w:spacing w:before="120" w:after="120" w:line="360" w:lineRule="auto"/>
            <w:rPr>
              <w:rFonts w:ascii="Arial" w:hAnsi="Arial" w:cs="Arial"/>
              <w:color w:val="1F497D" w:themeColor="text2"/>
              <w:lang w:val="en-GB"/>
            </w:rPr>
          </w:pPr>
        </w:p>
        <w:tbl>
          <w:tblPr>
            <w:tblStyle w:val="TableGrid8"/>
            <w:tblW w:w="9072" w:type="dxa"/>
            <w:tblInd w:w="108" w:type="dxa"/>
            <w:tblLook w:val="01E0" w:firstRow="1" w:lastRow="1" w:firstColumn="1" w:lastColumn="1" w:noHBand="0" w:noVBand="0"/>
          </w:tblPr>
          <w:tblGrid>
            <w:gridCol w:w="3656"/>
            <w:gridCol w:w="2298"/>
            <w:gridCol w:w="3118"/>
          </w:tblGrid>
          <w:tr w:rsidR="00EB1C30" w:rsidRPr="00FF027F" w14:paraId="2B5B9646" w14:textId="77777777" w:rsidTr="002F6D71">
            <w:trPr>
              <w:cnfStyle w:val="100000000000" w:firstRow="1" w:lastRow="0" w:firstColumn="0" w:lastColumn="0" w:oddVBand="0" w:evenVBand="0" w:oddHBand="0" w:evenHBand="0" w:firstRowFirstColumn="0" w:firstRowLastColumn="0" w:lastRowFirstColumn="0" w:lastRowLastColumn="0"/>
              <w:trHeight w:val="141"/>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4D7F653C" w14:textId="27952A6F" w:rsidR="00EB1C30" w:rsidRPr="00FF027F" w:rsidRDefault="00EB1C30" w:rsidP="00E932AB">
                <w:pPr>
                  <w:keepLines w:val="0"/>
                  <w:tabs>
                    <w:tab w:val="clear" w:pos="1985"/>
                    <w:tab w:val="clear" w:pos="5103"/>
                  </w:tabs>
                  <w:ind w:left="288"/>
                  <w:jc w:val="left"/>
                  <w:rPr>
                    <w:rFonts w:ascii="Arial" w:eastAsiaTheme="minorHAnsi" w:hAnsi="Arial" w:cs="Arial"/>
                    <w:color w:val="FFFFFF" w:themeColor="background1"/>
                    <w:lang w:val="en-GB" w:eastAsia="en-US"/>
                  </w:rPr>
                </w:pPr>
                <w:r w:rsidRPr="00FF027F">
                  <w:rPr>
                    <w:rFonts w:ascii="Arial" w:eastAsiaTheme="minorHAnsi" w:hAnsi="Arial" w:cs="Arial"/>
                    <w:b w:val="0"/>
                    <w:color w:val="1F497D" w:themeColor="text2"/>
                    <w:sz w:val="22"/>
                    <w:szCs w:val="22"/>
                    <w:lang w:val="en-GB" w:eastAsia="en-US"/>
                  </w:rPr>
                  <w:t xml:space="preserve"> </w:t>
                </w:r>
                <w:r w:rsidRPr="00FF027F">
                  <w:rPr>
                    <w:rFonts w:ascii="Arial" w:eastAsiaTheme="minorHAnsi" w:hAnsi="Arial" w:cs="Arial"/>
                    <w:color w:val="FFFFFF" w:themeColor="background1"/>
                    <w:lang w:val="en-GB" w:eastAsia="en-US"/>
                  </w:rPr>
                  <w:t>H – Tasks assigned by Annex I to Regulation No 715/2009 on conditions for access to the natural gas transmission networks as amended by Com</w:t>
                </w:r>
                <w:r w:rsidR="00E932AB" w:rsidRPr="00FF027F">
                  <w:rPr>
                    <w:rFonts w:ascii="Arial" w:eastAsiaTheme="minorHAnsi" w:hAnsi="Arial" w:cs="Arial"/>
                    <w:color w:val="FFFFFF" w:themeColor="background1"/>
                    <w:lang w:val="en-GB" w:eastAsia="en-US"/>
                  </w:rPr>
                  <w:t xml:space="preserve">mission decision (2012/490/EU) </w:t>
                </w:r>
              </w:p>
            </w:tc>
          </w:tr>
          <w:tr w:rsidR="00EB1C30" w:rsidRPr="00FF027F" w14:paraId="3E446DE0" w14:textId="77777777" w:rsidTr="00E932AB">
            <w:trPr>
              <w:trHeight w:val="507"/>
            </w:trPr>
            <w:tc>
              <w:tcPr>
                <w:tcW w:w="3656" w:type="dxa"/>
                <w:tcBorders>
                  <w:bottom w:val="single" w:sz="6" w:space="0" w:color="000080"/>
                </w:tcBorders>
                <w:shd w:val="clear" w:color="auto" w:fill="C6D9F1" w:themeFill="text2" w:themeFillTint="33"/>
              </w:tcPr>
              <w:p w14:paraId="73A0CF59" w14:textId="77777777" w:rsidR="00EB1C30" w:rsidRPr="00FF027F" w:rsidRDefault="00EB1C30" w:rsidP="00EB1C30">
                <w:pPr>
                  <w:keepLines w:val="0"/>
                  <w:tabs>
                    <w:tab w:val="clear" w:pos="1985"/>
                    <w:tab w:val="clear" w:pos="5103"/>
                  </w:tabs>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Agency’s task</w:t>
                </w:r>
              </w:p>
            </w:tc>
            <w:tc>
              <w:tcPr>
                <w:tcW w:w="2298" w:type="dxa"/>
                <w:tcBorders>
                  <w:bottom w:val="single" w:sz="6" w:space="0" w:color="000080"/>
                </w:tcBorders>
                <w:shd w:val="clear" w:color="auto" w:fill="C6D9F1" w:themeFill="text2" w:themeFillTint="33"/>
              </w:tcPr>
              <w:p w14:paraId="7B3F73F4" w14:textId="77777777" w:rsidR="00EB1C30" w:rsidRPr="00FF027F" w:rsidRDefault="00EB1C30" w:rsidP="00EB1C30">
                <w:pPr>
                  <w:keepLines w:val="0"/>
                  <w:tabs>
                    <w:tab w:val="clear" w:pos="1985"/>
                    <w:tab w:val="clear" w:pos="5103"/>
                  </w:tabs>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Type of action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shd w:val="clear" w:color="auto" w:fill="C6D9F1" w:themeFill="text2" w:themeFillTint="33"/>
              </w:tcPr>
              <w:p w14:paraId="4C5043C3" w14:textId="77777777" w:rsidR="00EB1C30" w:rsidRPr="00FF027F" w:rsidRDefault="00EB1C30" w:rsidP="00EB1C30">
                <w:pPr>
                  <w:keepLines w:val="0"/>
                  <w:tabs>
                    <w:tab w:val="clear" w:pos="1985"/>
                    <w:tab w:val="clear" w:pos="5103"/>
                  </w:tabs>
                  <w:jc w:val="left"/>
                  <w:rPr>
                    <w:rFonts w:ascii="Arial" w:eastAsiaTheme="minorHAnsi" w:hAnsi="Arial" w:cs="Arial"/>
                    <w:color w:val="1F497D" w:themeColor="text2"/>
                    <w:sz w:val="22"/>
                    <w:szCs w:val="22"/>
                    <w:lang w:val="en-GB" w:eastAsia="en-US"/>
                  </w:rPr>
                </w:pPr>
                <w:r w:rsidRPr="00FF027F">
                  <w:rPr>
                    <w:rFonts w:ascii="Arial" w:eastAsiaTheme="minorHAnsi" w:hAnsi="Arial" w:cs="Arial"/>
                    <w:color w:val="1F497D" w:themeColor="text2"/>
                    <w:sz w:val="22"/>
                    <w:szCs w:val="22"/>
                    <w:lang w:val="en-GB" w:eastAsia="en-US"/>
                  </w:rPr>
                  <w:t>Legal basis</w:t>
                </w:r>
              </w:p>
            </w:tc>
          </w:tr>
          <w:tr w:rsidR="00EB1C30" w:rsidRPr="00FF027F" w14:paraId="19CA265F" w14:textId="77777777" w:rsidTr="002F6D71">
            <w:trPr>
              <w:trHeight w:val="518"/>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623802A4" w14:textId="1D9F7146" w:rsidR="00EB1C30" w:rsidRPr="00FF027F" w:rsidRDefault="00EB1C30" w:rsidP="00EB1C30">
                <w:pPr>
                  <w:keepLines w:val="0"/>
                  <w:tabs>
                    <w:tab w:val="clear" w:pos="1985"/>
                    <w:tab w:val="clear" w:pos="5103"/>
                  </w:tabs>
                  <w:jc w:val="left"/>
                  <w:rPr>
                    <w:rFonts w:ascii="Arial" w:eastAsiaTheme="minorHAnsi" w:hAnsi="Arial" w:cs="Arial"/>
                    <w:color w:val="1F497D" w:themeColor="text2"/>
                    <w:sz w:val="22"/>
                    <w:szCs w:val="22"/>
                    <w:lang w:val="en-GB" w:eastAsia="en-US"/>
                  </w:rPr>
                </w:pPr>
              </w:p>
            </w:tc>
          </w:tr>
          <w:tr w:rsidR="00EB1C30" w:rsidRPr="00FF027F" w14:paraId="77589FBB" w14:textId="77777777" w:rsidTr="002F6D71">
            <w:trPr>
              <w:trHeight w:val="141"/>
            </w:trPr>
            <w:tc>
              <w:tcPr>
                <w:tcW w:w="3656" w:type="dxa"/>
              </w:tcPr>
              <w:p w14:paraId="7B2EC75A" w14:textId="5973391B" w:rsidR="00A25E92" w:rsidRPr="00FF027F" w:rsidRDefault="00430555" w:rsidP="0027646E">
                <w:pPr>
                  <w:pStyle w:val="ListParagraph"/>
                  <w:numPr>
                    <w:ilvl w:val="0"/>
                    <w:numId w:val="53"/>
                  </w:numPr>
                  <w:spacing w:after="120"/>
                  <w:ind w:right="202"/>
                  <w:rPr>
                    <w:rFonts w:ascii="Arial" w:eastAsiaTheme="minorHAnsi" w:hAnsi="Arial" w:cs="Arial"/>
                    <w:lang w:val="en-GB" w:eastAsia="fr-FR"/>
                  </w:rPr>
                </w:pPr>
                <w:r w:rsidRPr="00FF027F">
                  <w:rPr>
                    <w:rFonts w:ascii="Arial" w:eastAsiaTheme="minorHAnsi" w:hAnsi="Arial" w:cs="Arial"/>
                    <w:lang w:val="en-GB" w:eastAsia="fr-FR"/>
                  </w:rPr>
                  <w:t>Publishing, by 1</w:t>
                </w:r>
                <w:r w:rsidRPr="00FF027F">
                  <w:rPr>
                    <w:rFonts w:ascii="Arial" w:eastAsiaTheme="minorHAnsi" w:hAnsi="Arial" w:cs="Arial"/>
                    <w:vertAlign w:val="superscript"/>
                    <w:lang w:val="en-GB" w:eastAsia="fr-FR"/>
                  </w:rPr>
                  <w:t>st</w:t>
                </w:r>
                <w:r w:rsidRPr="00FF027F">
                  <w:rPr>
                    <w:rFonts w:ascii="Arial" w:eastAsiaTheme="minorHAnsi" w:hAnsi="Arial" w:cs="Arial"/>
                    <w:lang w:val="en-GB" w:eastAsia="fr-FR"/>
                  </w:rPr>
                  <w:t xml:space="preserve"> of March of every year, commencing with the year 2014, a monitoring report on congestion at interconnection points with respect to firm capacity products sold in the preceding year </w:t>
                </w:r>
              </w:p>
            </w:tc>
            <w:tc>
              <w:tcPr>
                <w:tcW w:w="2298" w:type="dxa"/>
              </w:tcPr>
              <w:p w14:paraId="18F035EE" w14:textId="1D055FBA" w:rsidR="00EB1C30" w:rsidRPr="00FF027F" w:rsidRDefault="00EB1C30" w:rsidP="00016A74">
                <w:pPr>
                  <w:keepLines w:val="0"/>
                  <w:tabs>
                    <w:tab w:val="clear" w:pos="1985"/>
                    <w:tab w:val="clear" w:pos="5103"/>
                  </w:tabs>
                  <w:jc w:val="left"/>
                  <w:rPr>
                    <w:rFonts w:ascii="Arial" w:eastAsiaTheme="minorHAnsi" w:hAnsi="Arial" w:cs="Arial"/>
                    <w:lang w:val="en-GB" w:eastAsia="en-US"/>
                  </w:rPr>
                </w:pPr>
                <w:r w:rsidRPr="00FF027F">
                  <w:rPr>
                    <w:rFonts w:ascii="Arial" w:eastAsiaTheme="minorHAnsi" w:hAnsi="Arial" w:cs="Arial"/>
                    <w:sz w:val="22"/>
                    <w:szCs w:val="22"/>
                    <w:lang w:val="en-GB" w:eastAsia="en-US"/>
                  </w:rPr>
                  <w:t xml:space="preserve"> </w:t>
                </w:r>
                <w:r w:rsidR="00430555" w:rsidRPr="00FF027F">
                  <w:rPr>
                    <w:rFonts w:ascii="Arial" w:eastAsiaTheme="minorHAnsi" w:hAnsi="Arial" w:cs="Arial"/>
                    <w:lang w:val="en-GB" w:eastAsia="en-US"/>
                  </w:rPr>
                  <w:t>Publication</w:t>
                </w:r>
              </w:p>
            </w:tc>
            <w:tc>
              <w:tcPr>
                <w:cnfStyle w:val="000100000000" w:firstRow="0" w:lastRow="0" w:firstColumn="0" w:lastColumn="1" w:oddVBand="0" w:evenVBand="0" w:oddHBand="0" w:evenHBand="0" w:firstRowFirstColumn="0" w:firstRowLastColumn="0" w:lastRowFirstColumn="0" w:lastRowLastColumn="0"/>
                <w:tcW w:w="3118" w:type="dxa"/>
              </w:tcPr>
              <w:p w14:paraId="20DDC844" w14:textId="30859FD7" w:rsidR="00EB1C30" w:rsidRPr="00FF027F" w:rsidRDefault="00EB1C30" w:rsidP="00016A74">
                <w:pPr>
                  <w:keepLines w:val="0"/>
                  <w:tabs>
                    <w:tab w:val="clear" w:pos="1985"/>
                    <w:tab w:val="clear" w:pos="5103"/>
                  </w:tabs>
                  <w:jc w:val="left"/>
                  <w:rPr>
                    <w:rFonts w:ascii="Arial" w:eastAsiaTheme="minorHAnsi" w:hAnsi="Arial" w:cs="Arial"/>
                    <w:b w:val="0"/>
                    <w:lang w:val="en-GB" w:eastAsia="en-US"/>
                  </w:rPr>
                </w:pPr>
                <w:r w:rsidRPr="00FF027F">
                  <w:rPr>
                    <w:rFonts w:ascii="Arial" w:eastAsiaTheme="minorHAnsi" w:hAnsi="Arial" w:cs="Arial"/>
                    <w:b w:val="0"/>
                    <w:sz w:val="22"/>
                    <w:szCs w:val="22"/>
                    <w:lang w:val="en-GB" w:eastAsia="en-US"/>
                  </w:rPr>
                  <w:t xml:space="preserve"> </w:t>
                </w:r>
                <w:r w:rsidR="00430555" w:rsidRPr="00FF027F">
                  <w:rPr>
                    <w:rFonts w:ascii="Arial" w:eastAsiaTheme="minorHAnsi" w:hAnsi="Arial" w:cs="Arial"/>
                    <w:b w:val="0"/>
                    <w:lang w:val="en-GB" w:eastAsia="en-US"/>
                  </w:rPr>
                  <w:t>Point 2.2.1. (2)</w:t>
                </w:r>
                <w:r w:rsidR="008A6A64" w:rsidRPr="00FF027F">
                  <w:rPr>
                    <w:rFonts w:ascii="Arial" w:eastAsiaTheme="minorHAnsi" w:hAnsi="Arial" w:cs="Arial"/>
                    <w:b w:val="0"/>
                    <w:lang w:val="en-GB" w:eastAsia="en-US"/>
                  </w:rPr>
                  <w:t xml:space="preserve"> Annex I </w:t>
                </w:r>
              </w:p>
            </w:tc>
          </w:tr>
          <w:tr w:rsidR="00EB1C30" w:rsidRPr="00FF027F" w14:paraId="4D073F73" w14:textId="77777777" w:rsidTr="002F6D71">
            <w:trPr>
              <w:trHeight w:val="141"/>
            </w:trPr>
            <w:tc>
              <w:tcPr>
                <w:tcW w:w="3656" w:type="dxa"/>
              </w:tcPr>
              <w:p w14:paraId="1DF4D0A2" w14:textId="23955709" w:rsidR="00A25E92" w:rsidRPr="00FF027F" w:rsidRDefault="00EB1C30" w:rsidP="006D214F">
                <w:pPr>
                  <w:pStyle w:val="ListParagraph"/>
                  <w:numPr>
                    <w:ilvl w:val="0"/>
                    <w:numId w:val="53"/>
                  </w:numPr>
                  <w:spacing w:after="120"/>
                  <w:ind w:left="743" w:right="202" w:hanging="425"/>
                  <w:rPr>
                    <w:rFonts w:ascii="Arial" w:eastAsiaTheme="minorHAnsi" w:hAnsi="Arial" w:cs="Arial"/>
                    <w:lang w:val="en-GB" w:eastAsia="fr-FR"/>
                  </w:rPr>
                </w:pPr>
                <w:r w:rsidRPr="00FF027F">
                  <w:rPr>
                    <w:rFonts w:ascii="Arial" w:eastAsiaTheme="minorHAnsi" w:hAnsi="Arial" w:cs="Arial"/>
                    <w:lang w:val="en-GB" w:eastAsia="fr-FR"/>
                  </w:rPr>
                  <w:t>Receive the notification of</w:t>
                </w:r>
                <w:r w:rsidR="00964A9B" w:rsidRPr="00FF027F">
                  <w:rPr>
                    <w:rFonts w:ascii="Arial" w:eastAsiaTheme="minorHAnsi" w:hAnsi="Arial" w:cs="Arial"/>
                    <w:lang w:val="en-GB" w:eastAsia="fr-FR"/>
                  </w:rPr>
                  <w:t xml:space="preserve"> the decision of the national regulatory authority not to apply the provisions of point 2.2.2 of Annex I to Reg 715/2009</w:t>
                </w:r>
              </w:p>
            </w:tc>
            <w:tc>
              <w:tcPr>
                <w:tcW w:w="2298" w:type="dxa"/>
              </w:tcPr>
              <w:p w14:paraId="53F48887" w14:textId="77777777" w:rsidR="00EB1C30" w:rsidRPr="00FF027F" w:rsidRDefault="00EB1C30" w:rsidP="00EB1C30">
                <w:pPr>
                  <w:keepLines w:val="0"/>
                  <w:tabs>
                    <w:tab w:val="clear" w:pos="1985"/>
                    <w:tab w:val="clear" w:pos="5103"/>
                  </w:tabs>
                  <w:jc w:val="left"/>
                  <w:rPr>
                    <w:rFonts w:ascii="Arial" w:eastAsiaTheme="minorHAnsi" w:hAnsi="Arial" w:cs="Arial"/>
                    <w:lang w:val="en-GB" w:eastAsia="en-US"/>
                  </w:rPr>
                </w:pPr>
                <w:r w:rsidRPr="00FF027F">
                  <w:rPr>
                    <w:rFonts w:ascii="Arial" w:eastAsiaTheme="minorHAnsi" w:hAnsi="Arial" w:cs="Arial"/>
                    <w:lang w:val="en-GB" w:eastAsia="en-US"/>
                  </w:rPr>
                  <w:t xml:space="preserve"> Notification </w:t>
                </w:r>
              </w:p>
            </w:tc>
            <w:tc>
              <w:tcPr>
                <w:cnfStyle w:val="000100000000" w:firstRow="0" w:lastRow="0" w:firstColumn="0" w:lastColumn="1" w:oddVBand="0" w:evenVBand="0" w:oddHBand="0" w:evenHBand="0" w:firstRowFirstColumn="0" w:firstRowLastColumn="0" w:lastRowFirstColumn="0" w:lastRowLastColumn="0"/>
                <w:tcW w:w="3118" w:type="dxa"/>
              </w:tcPr>
              <w:p w14:paraId="67268D4A" w14:textId="1151C896" w:rsidR="00EB1C30" w:rsidRPr="00FF027F" w:rsidRDefault="00EB1C30" w:rsidP="00016A74">
                <w:pPr>
                  <w:keepLines w:val="0"/>
                  <w:tabs>
                    <w:tab w:val="clear" w:pos="1985"/>
                    <w:tab w:val="clear" w:pos="5103"/>
                  </w:tabs>
                  <w:jc w:val="left"/>
                  <w:rPr>
                    <w:rFonts w:ascii="Arial" w:eastAsiaTheme="minorHAnsi" w:hAnsi="Arial" w:cs="Arial"/>
                    <w:b w:val="0"/>
                    <w:lang w:val="en-GB" w:eastAsia="en-US"/>
                  </w:rPr>
                </w:pPr>
                <w:r w:rsidRPr="00FF027F">
                  <w:rPr>
                    <w:rFonts w:ascii="Arial" w:eastAsiaTheme="minorHAnsi" w:hAnsi="Arial" w:cs="Arial"/>
                    <w:b w:val="0"/>
                    <w:sz w:val="22"/>
                    <w:szCs w:val="22"/>
                    <w:lang w:val="en-GB" w:eastAsia="en-US"/>
                  </w:rPr>
                  <w:t xml:space="preserve"> </w:t>
                </w:r>
                <w:r w:rsidR="00964A9B" w:rsidRPr="00FF027F">
                  <w:rPr>
                    <w:rFonts w:ascii="Arial" w:eastAsiaTheme="minorHAnsi" w:hAnsi="Arial" w:cs="Arial"/>
                    <w:b w:val="0"/>
                    <w:lang w:val="en-GB" w:eastAsia="en-US"/>
                  </w:rPr>
                  <w:t>Point 2.2.3. (6)</w:t>
                </w:r>
                <w:r w:rsidR="008A6A64" w:rsidRPr="00FF027F">
                  <w:rPr>
                    <w:rFonts w:ascii="Arial" w:eastAsiaTheme="minorHAnsi" w:hAnsi="Arial" w:cs="Arial"/>
                    <w:b w:val="0"/>
                    <w:lang w:val="en-GB" w:eastAsia="en-US"/>
                  </w:rPr>
                  <w:t xml:space="preserve"> Annex I</w:t>
                </w:r>
              </w:p>
            </w:tc>
          </w:tr>
          <w:tr w:rsidR="00EB1C30" w:rsidRPr="00FF027F" w14:paraId="52CAC6BE" w14:textId="77777777" w:rsidTr="002F6D71">
            <w:trPr>
              <w:cnfStyle w:val="010000000000" w:firstRow="0" w:lastRow="1" w:firstColumn="0" w:lastColumn="0" w:oddVBand="0" w:evenVBand="0" w:oddHBand="0" w:evenHBand="0" w:firstRowFirstColumn="0" w:firstRowLastColumn="0" w:lastRowFirstColumn="0" w:lastRowLastColumn="0"/>
              <w:trHeight w:val="141"/>
            </w:trPr>
            <w:tc>
              <w:tcPr>
                <w:tcW w:w="3656" w:type="dxa"/>
              </w:tcPr>
              <w:p w14:paraId="2A1A0A60" w14:textId="28DC6EAD" w:rsidR="00EB1C30" w:rsidRPr="00FF027F" w:rsidRDefault="00576609" w:rsidP="006D214F">
                <w:pPr>
                  <w:pStyle w:val="ListParagraph"/>
                  <w:numPr>
                    <w:ilvl w:val="0"/>
                    <w:numId w:val="53"/>
                  </w:numPr>
                  <w:spacing w:after="120"/>
                  <w:ind w:left="743" w:right="202" w:hanging="425"/>
                  <w:rPr>
                    <w:rFonts w:ascii="Arial" w:eastAsiaTheme="minorHAnsi" w:hAnsi="Arial" w:cs="Arial"/>
                    <w:b w:val="0"/>
                    <w:bCs w:val="0"/>
                    <w:lang w:val="en-GB" w:eastAsia="fr-FR"/>
                  </w:rPr>
                </w:pPr>
                <w:r w:rsidRPr="00FF027F">
                  <w:rPr>
                    <w:rFonts w:ascii="Arial" w:eastAsiaTheme="minorHAnsi" w:hAnsi="Arial" w:cs="Arial"/>
                    <w:b w:val="0"/>
                    <w:bCs w:val="0"/>
                    <w:lang w:val="en-GB" w:eastAsia="fr-FR"/>
                  </w:rPr>
                  <w:t>Opinion on a harmonised format that allows for quantitative analyses</w:t>
                </w:r>
              </w:p>
            </w:tc>
            <w:tc>
              <w:tcPr>
                <w:tcW w:w="2298" w:type="dxa"/>
              </w:tcPr>
              <w:p w14:paraId="440CD86C" w14:textId="2B8EBC63" w:rsidR="00EB1C30" w:rsidRPr="00FF027F" w:rsidRDefault="00EB1C30" w:rsidP="00576609">
                <w:pPr>
                  <w:keepLines w:val="0"/>
                  <w:tabs>
                    <w:tab w:val="clear" w:pos="1985"/>
                    <w:tab w:val="clear" w:pos="5103"/>
                  </w:tabs>
                  <w:jc w:val="left"/>
                  <w:rPr>
                    <w:rFonts w:ascii="Arial" w:eastAsiaTheme="minorHAnsi" w:hAnsi="Arial" w:cs="Arial"/>
                    <w:b w:val="0"/>
                    <w:lang w:val="en-GB" w:eastAsia="en-US"/>
                  </w:rPr>
                </w:pPr>
                <w:r w:rsidRPr="00FF027F">
                  <w:rPr>
                    <w:rFonts w:ascii="Arial" w:eastAsiaTheme="minorHAnsi" w:hAnsi="Arial" w:cs="Arial"/>
                    <w:b w:val="0"/>
                    <w:sz w:val="22"/>
                    <w:szCs w:val="22"/>
                    <w:lang w:val="en-GB" w:eastAsia="en-US"/>
                  </w:rPr>
                  <w:t xml:space="preserve"> </w:t>
                </w:r>
                <w:r w:rsidR="00576609" w:rsidRPr="00FF027F">
                  <w:rPr>
                    <w:rFonts w:ascii="Arial" w:eastAsiaTheme="minorHAnsi" w:hAnsi="Arial" w:cs="Arial"/>
                    <w:b w:val="0"/>
                    <w:lang w:val="en-GB" w:eastAsia="en-US"/>
                  </w:rPr>
                  <w:t xml:space="preserve">Opinion </w:t>
                </w:r>
              </w:p>
            </w:tc>
            <w:tc>
              <w:tcPr>
                <w:cnfStyle w:val="000100000000" w:firstRow="0" w:lastRow="0" w:firstColumn="0" w:lastColumn="1" w:oddVBand="0" w:evenVBand="0" w:oddHBand="0" w:evenHBand="0" w:firstRowFirstColumn="0" w:firstRowLastColumn="0" w:lastRowFirstColumn="0" w:lastRowLastColumn="0"/>
                <w:tcW w:w="3118" w:type="dxa"/>
              </w:tcPr>
              <w:p w14:paraId="3BD76F04" w14:textId="2A58EE91" w:rsidR="00EB1C30" w:rsidRPr="00FF027F" w:rsidRDefault="00EB1C30" w:rsidP="00576609">
                <w:pPr>
                  <w:keepLines w:val="0"/>
                  <w:tabs>
                    <w:tab w:val="clear" w:pos="1985"/>
                    <w:tab w:val="clear" w:pos="5103"/>
                  </w:tabs>
                  <w:jc w:val="left"/>
                  <w:rPr>
                    <w:rFonts w:ascii="Arial" w:eastAsiaTheme="minorHAnsi" w:hAnsi="Arial" w:cs="Arial"/>
                    <w:b w:val="0"/>
                    <w:lang w:val="en-GB" w:eastAsia="en-US"/>
                  </w:rPr>
                </w:pPr>
                <w:r w:rsidRPr="00FF027F">
                  <w:rPr>
                    <w:rFonts w:ascii="Arial" w:eastAsiaTheme="minorHAnsi" w:hAnsi="Arial" w:cs="Arial"/>
                    <w:b w:val="0"/>
                    <w:sz w:val="22"/>
                    <w:szCs w:val="22"/>
                    <w:lang w:val="en-GB" w:eastAsia="en-US"/>
                  </w:rPr>
                  <w:t xml:space="preserve"> </w:t>
                </w:r>
                <w:r w:rsidR="00576609" w:rsidRPr="00FF027F">
                  <w:rPr>
                    <w:rFonts w:ascii="Arial" w:eastAsiaTheme="minorHAnsi" w:hAnsi="Arial" w:cs="Arial"/>
                    <w:b w:val="0"/>
                    <w:sz w:val="22"/>
                    <w:szCs w:val="22"/>
                    <w:lang w:val="en-GB" w:eastAsia="en-US"/>
                  </w:rPr>
                  <w:t xml:space="preserve"> </w:t>
                </w:r>
                <w:r w:rsidR="00576609" w:rsidRPr="00FF027F">
                  <w:rPr>
                    <w:rFonts w:ascii="Arial" w:eastAsiaTheme="minorHAnsi" w:hAnsi="Arial" w:cs="Arial"/>
                    <w:b w:val="0"/>
                    <w:lang w:val="en-GB" w:eastAsia="en-US"/>
                  </w:rPr>
                  <w:t>Point 3.1.1</w:t>
                </w:r>
                <w:r w:rsidR="008A6A64" w:rsidRPr="00FF027F">
                  <w:rPr>
                    <w:rFonts w:ascii="Arial" w:eastAsiaTheme="minorHAnsi" w:hAnsi="Arial" w:cs="Arial"/>
                    <w:b w:val="0"/>
                    <w:lang w:val="en-GB" w:eastAsia="en-US"/>
                  </w:rPr>
                  <w:t>.(1)</w:t>
                </w:r>
                <w:r w:rsidR="00576609" w:rsidRPr="00FF027F">
                  <w:rPr>
                    <w:rFonts w:ascii="Arial" w:eastAsiaTheme="minorHAnsi" w:hAnsi="Arial" w:cs="Arial"/>
                    <w:b w:val="0"/>
                    <w:lang w:val="en-GB" w:eastAsia="en-US"/>
                  </w:rPr>
                  <w:t xml:space="preserve"> point (e)</w:t>
                </w:r>
                <w:r w:rsidR="008A6A64" w:rsidRPr="00FF027F">
                  <w:rPr>
                    <w:rFonts w:ascii="Arial" w:eastAsiaTheme="minorHAnsi" w:hAnsi="Arial" w:cs="Arial"/>
                    <w:b w:val="0"/>
                    <w:lang w:val="en-GB" w:eastAsia="en-US"/>
                  </w:rPr>
                  <w:t xml:space="preserve"> Annex I</w:t>
                </w:r>
              </w:p>
            </w:tc>
          </w:tr>
        </w:tbl>
        <w:p w14:paraId="0718C814" w14:textId="77777777" w:rsidR="00EB1C30" w:rsidRPr="00FF027F" w:rsidRDefault="00EB1C30" w:rsidP="00A25E92">
          <w:pPr>
            <w:spacing w:before="120" w:after="120" w:line="360" w:lineRule="auto"/>
            <w:rPr>
              <w:rFonts w:ascii="Arial" w:hAnsi="Arial" w:cs="Arial"/>
              <w:color w:val="1F497D" w:themeColor="text2"/>
              <w:lang w:val="en-GB"/>
            </w:rPr>
          </w:pPr>
        </w:p>
        <w:tbl>
          <w:tblPr>
            <w:tblStyle w:val="TableGrid8"/>
            <w:tblW w:w="9072" w:type="dxa"/>
            <w:tblInd w:w="108" w:type="dxa"/>
            <w:tblLook w:val="01E0" w:firstRow="1" w:lastRow="1" w:firstColumn="1" w:lastColumn="1" w:noHBand="0" w:noVBand="0"/>
          </w:tblPr>
          <w:tblGrid>
            <w:gridCol w:w="3656"/>
            <w:gridCol w:w="2298"/>
            <w:gridCol w:w="3118"/>
          </w:tblGrid>
          <w:tr w:rsidR="00452738" w:rsidRPr="00FF027F" w14:paraId="668A8A39" w14:textId="77777777" w:rsidTr="002F6D71">
            <w:trPr>
              <w:cnfStyle w:val="100000000000" w:firstRow="1" w:lastRow="0" w:firstColumn="0" w:lastColumn="0" w:oddVBand="0" w:evenVBand="0" w:oddHBand="0" w:evenHBand="0" w:firstRowFirstColumn="0" w:firstRowLastColumn="0" w:lastRowFirstColumn="0" w:lastRowLastColumn="0"/>
              <w:trHeight w:val="141"/>
            </w:trPr>
            <w:tc>
              <w:tcPr>
                <w:cnfStyle w:val="000100000000" w:firstRow="0" w:lastRow="0" w:firstColumn="0" w:lastColumn="1" w:oddVBand="0" w:evenVBand="0" w:oddHBand="0" w:evenHBand="0" w:firstRowFirstColumn="0" w:firstRowLastColumn="0" w:lastRowFirstColumn="0" w:lastRowLastColumn="0"/>
                <w:tcW w:w="9072" w:type="dxa"/>
                <w:gridSpan w:val="3"/>
                <w:tcBorders>
                  <w:bottom w:val="single" w:sz="6" w:space="0" w:color="000080"/>
                </w:tcBorders>
              </w:tcPr>
              <w:p w14:paraId="10C1669F" w14:textId="3A5D5962" w:rsidR="00452738" w:rsidRPr="00FF027F" w:rsidRDefault="00452738" w:rsidP="00016A74">
                <w:pPr>
                  <w:keepLines w:val="0"/>
                  <w:tabs>
                    <w:tab w:val="clear" w:pos="1985"/>
                    <w:tab w:val="clear" w:pos="5103"/>
                  </w:tabs>
                  <w:ind w:left="288"/>
                  <w:jc w:val="left"/>
                  <w:rPr>
                    <w:rFonts w:ascii="Arial" w:eastAsiaTheme="minorHAnsi" w:hAnsi="Arial" w:cs="Arial"/>
                    <w:color w:val="1F497D" w:themeColor="text2"/>
                    <w:lang w:val="en-GB" w:eastAsia="en-US"/>
                  </w:rPr>
                </w:pPr>
                <w:r w:rsidRPr="00FF027F">
                  <w:rPr>
                    <w:rFonts w:ascii="Arial" w:eastAsiaTheme="minorHAnsi" w:hAnsi="Arial" w:cs="Arial"/>
                    <w:color w:val="FFFFFF" w:themeColor="background1"/>
                    <w:lang w:val="en-GB" w:eastAsia="en-US"/>
                  </w:rPr>
                  <w:t xml:space="preserve">I – Tasks assigned by Regulation No </w:t>
                </w:r>
                <w:r w:rsidR="008A6A64" w:rsidRPr="00FF027F">
                  <w:rPr>
                    <w:rFonts w:ascii="Arial" w:eastAsiaTheme="minorHAnsi" w:hAnsi="Arial" w:cs="Arial"/>
                    <w:color w:val="FFFFFF" w:themeColor="background1"/>
                    <w:lang w:val="en-GB" w:eastAsia="en-US"/>
                  </w:rPr>
                  <w:t>54</w:t>
                </w:r>
                <w:r w:rsidRPr="00FF027F">
                  <w:rPr>
                    <w:rFonts w:ascii="Arial" w:eastAsiaTheme="minorHAnsi" w:hAnsi="Arial" w:cs="Arial"/>
                    <w:color w:val="FFFFFF" w:themeColor="background1"/>
                    <w:lang w:val="en-GB" w:eastAsia="en-US"/>
                  </w:rPr>
                  <w:t>3/2013 on submission and publication of data in electricity markets and amending Annex I to Regulation No 714/2009</w:t>
                </w:r>
              </w:p>
            </w:tc>
          </w:tr>
          <w:tr w:rsidR="00452738" w:rsidRPr="00FF027F" w14:paraId="49480542" w14:textId="77777777" w:rsidTr="002F6D71">
            <w:trPr>
              <w:trHeight w:val="141"/>
            </w:trPr>
            <w:tc>
              <w:tcPr>
                <w:tcW w:w="3656" w:type="dxa"/>
                <w:tcBorders>
                  <w:bottom w:val="single" w:sz="6" w:space="0" w:color="000080"/>
                </w:tcBorders>
                <w:shd w:val="clear" w:color="auto" w:fill="C6D9F1" w:themeFill="text2" w:themeFillTint="33"/>
              </w:tcPr>
              <w:p w14:paraId="6BE589D7" w14:textId="77777777" w:rsidR="00452738" w:rsidRPr="00FF027F" w:rsidRDefault="00452738" w:rsidP="00452738">
                <w:pPr>
                  <w:keepLines w:val="0"/>
                  <w:tabs>
                    <w:tab w:val="clear" w:pos="1985"/>
                    <w:tab w:val="clear" w:pos="5103"/>
                  </w:tabs>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Agency’s task</w:t>
                </w:r>
              </w:p>
            </w:tc>
            <w:tc>
              <w:tcPr>
                <w:tcW w:w="2298" w:type="dxa"/>
                <w:tcBorders>
                  <w:bottom w:val="single" w:sz="6" w:space="0" w:color="000080"/>
                </w:tcBorders>
                <w:shd w:val="clear" w:color="auto" w:fill="C6D9F1" w:themeFill="text2" w:themeFillTint="33"/>
              </w:tcPr>
              <w:p w14:paraId="5FE5F4D7" w14:textId="77777777" w:rsidR="00452738" w:rsidRPr="00FF027F" w:rsidRDefault="00452738" w:rsidP="00452738">
                <w:pPr>
                  <w:keepLines w:val="0"/>
                  <w:tabs>
                    <w:tab w:val="clear" w:pos="1985"/>
                    <w:tab w:val="clear" w:pos="5103"/>
                  </w:tabs>
                  <w:jc w:val="left"/>
                  <w:rPr>
                    <w:rFonts w:ascii="Arial" w:eastAsiaTheme="minorHAnsi" w:hAnsi="Arial" w:cs="Arial"/>
                    <w:b/>
                    <w:color w:val="1F497D" w:themeColor="text2"/>
                    <w:sz w:val="22"/>
                    <w:szCs w:val="22"/>
                    <w:lang w:val="en-GB" w:eastAsia="en-US"/>
                  </w:rPr>
                </w:pPr>
                <w:r w:rsidRPr="00FF027F">
                  <w:rPr>
                    <w:rFonts w:ascii="Arial" w:eastAsiaTheme="minorHAnsi" w:hAnsi="Arial" w:cs="Arial"/>
                    <w:b/>
                    <w:color w:val="1F497D" w:themeColor="text2"/>
                    <w:sz w:val="22"/>
                    <w:szCs w:val="22"/>
                    <w:lang w:val="en-GB" w:eastAsia="en-US"/>
                  </w:rPr>
                  <w:t>Type of action</w:t>
                </w:r>
              </w:p>
            </w:tc>
            <w:tc>
              <w:tcPr>
                <w:cnfStyle w:val="000100000000" w:firstRow="0" w:lastRow="0" w:firstColumn="0" w:lastColumn="1" w:oddVBand="0" w:evenVBand="0" w:oddHBand="0" w:evenHBand="0" w:firstRowFirstColumn="0" w:firstRowLastColumn="0" w:lastRowFirstColumn="0" w:lastRowLastColumn="0"/>
                <w:tcW w:w="3118" w:type="dxa"/>
                <w:tcBorders>
                  <w:bottom w:val="single" w:sz="6" w:space="0" w:color="000080"/>
                </w:tcBorders>
                <w:shd w:val="clear" w:color="auto" w:fill="C6D9F1" w:themeFill="text2" w:themeFillTint="33"/>
              </w:tcPr>
              <w:p w14:paraId="13EEBFFD" w14:textId="77777777" w:rsidR="00452738" w:rsidRPr="00FF027F" w:rsidRDefault="00452738" w:rsidP="00452738">
                <w:pPr>
                  <w:keepLines w:val="0"/>
                  <w:tabs>
                    <w:tab w:val="clear" w:pos="1985"/>
                    <w:tab w:val="clear" w:pos="5103"/>
                  </w:tabs>
                  <w:jc w:val="left"/>
                  <w:rPr>
                    <w:rFonts w:ascii="Arial" w:eastAsiaTheme="minorHAnsi" w:hAnsi="Arial" w:cs="Arial"/>
                    <w:color w:val="1F497D" w:themeColor="text2"/>
                    <w:sz w:val="22"/>
                    <w:szCs w:val="22"/>
                    <w:lang w:val="en-GB" w:eastAsia="en-US"/>
                  </w:rPr>
                </w:pPr>
                <w:r w:rsidRPr="00FF027F">
                  <w:rPr>
                    <w:rFonts w:ascii="Arial" w:eastAsiaTheme="minorHAnsi" w:hAnsi="Arial" w:cs="Arial"/>
                    <w:color w:val="1F497D" w:themeColor="text2"/>
                    <w:sz w:val="22"/>
                    <w:szCs w:val="22"/>
                    <w:lang w:val="en-GB" w:eastAsia="en-US"/>
                  </w:rPr>
                  <w:t>Legal basis</w:t>
                </w:r>
              </w:p>
            </w:tc>
          </w:tr>
          <w:tr w:rsidR="00452738" w:rsidRPr="00FF027F" w14:paraId="4063D47F" w14:textId="77777777" w:rsidTr="002F6D71">
            <w:trPr>
              <w:trHeight w:val="518"/>
            </w:trPr>
            <w:tc>
              <w:tcPr>
                <w:cnfStyle w:val="000100000000" w:firstRow="0" w:lastRow="0" w:firstColumn="0" w:lastColumn="1" w:oddVBand="0" w:evenVBand="0" w:oddHBand="0" w:evenHBand="0" w:firstRowFirstColumn="0" w:firstRowLastColumn="0" w:lastRowFirstColumn="0" w:lastRowLastColumn="0"/>
                <w:tcW w:w="9072" w:type="dxa"/>
                <w:gridSpan w:val="3"/>
                <w:shd w:val="clear" w:color="auto" w:fill="D9D9D9" w:themeFill="background1" w:themeFillShade="D9"/>
              </w:tcPr>
              <w:p w14:paraId="6AFE7F3A" w14:textId="77777777" w:rsidR="00452738" w:rsidRPr="00FF027F" w:rsidRDefault="00452738" w:rsidP="00452738">
                <w:pPr>
                  <w:keepLines w:val="0"/>
                  <w:tabs>
                    <w:tab w:val="clear" w:pos="1985"/>
                    <w:tab w:val="clear" w:pos="5103"/>
                  </w:tabs>
                  <w:jc w:val="left"/>
                  <w:rPr>
                    <w:rFonts w:ascii="Arial" w:eastAsiaTheme="minorHAnsi" w:hAnsi="Arial" w:cs="Arial"/>
                    <w:color w:val="1F497D" w:themeColor="text2"/>
                    <w:sz w:val="22"/>
                    <w:szCs w:val="22"/>
                    <w:lang w:val="en-GB" w:eastAsia="en-US"/>
                  </w:rPr>
                </w:pPr>
                <w:r w:rsidRPr="00FF027F">
                  <w:rPr>
                    <w:rFonts w:ascii="Arial" w:eastAsiaTheme="minorHAnsi" w:hAnsi="Arial" w:cs="Arial"/>
                    <w:color w:val="1F497D" w:themeColor="text2"/>
                    <w:sz w:val="22"/>
                    <w:szCs w:val="22"/>
                    <w:lang w:val="en-GB" w:eastAsia="en-US"/>
                  </w:rPr>
                  <w:t xml:space="preserve">  </w:t>
                </w:r>
              </w:p>
            </w:tc>
          </w:tr>
          <w:tr w:rsidR="00452738" w:rsidRPr="00FF027F" w14:paraId="13A7E38C" w14:textId="77777777" w:rsidTr="00B07200">
            <w:trPr>
              <w:trHeight w:val="141"/>
            </w:trPr>
            <w:tc>
              <w:tcPr>
                <w:tcW w:w="3656" w:type="dxa"/>
              </w:tcPr>
              <w:p w14:paraId="50DBF2B6" w14:textId="1447D8AC" w:rsidR="00452738" w:rsidRPr="00FF027F" w:rsidRDefault="008A6A64" w:rsidP="006D214F">
                <w:pPr>
                  <w:pStyle w:val="ListParagraph"/>
                  <w:numPr>
                    <w:ilvl w:val="0"/>
                    <w:numId w:val="54"/>
                  </w:numPr>
                  <w:spacing w:after="120"/>
                  <w:ind w:right="202"/>
                  <w:rPr>
                    <w:rFonts w:ascii="Arial" w:eastAsiaTheme="minorHAnsi" w:hAnsi="Arial" w:cs="Arial"/>
                    <w:lang w:val="en-GB" w:eastAsia="en-US"/>
                  </w:rPr>
                </w:pPr>
                <w:r w:rsidRPr="00FF027F">
                  <w:rPr>
                    <w:rFonts w:ascii="Arial" w:eastAsiaTheme="minorHAnsi" w:hAnsi="Arial" w:cs="Arial"/>
                    <w:lang w:val="en-GB" w:eastAsia="en-US"/>
                  </w:rPr>
                  <w:t>Provide an opinion on the proposal of the ENTSO for Electricity concerning the operation of the central information transparency platform and the associated costs</w:t>
                </w:r>
                <w:r w:rsidR="00452738" w:rsidRPr="00FF027F">
                  <w:rPr>
                    <w:rFonts w:ascii="Arial" w:eastAsiaTheme="minorHAnsi" w:hAnsi="Arial" w:cs="Arial"/>
                    <w:lang w:val="en-GB" w:eastAsia="en-US"/>
                  </w:rPr>
                  <w:t xml:space="preserve">  </w:t>
                </w:r>
              </w:p>
            </w:tc>
            <w:tc>
              <w:tcPr>
                <w:tcW w:w="2298" w:type="dxa"/>
                <w:tcBorders>
                  <w:bottom w:val="single" w:sz="6" w:space="0" w:color="000080"/>
                </w:tcBorders>
              </w:tcPr>
              <w:p w14:paraId="5D8E0193" w14:textId="05D83250" w:rsidR="00452738" w:rsidRPr="00FF027F" w:rsidRDefault="00452738" w:rsidP="00273670">
                <w:pPr>
                  <w:keepLines w:val="0"/>
                  <w:tabs>
                    <w:tab w:val="clear" w:pos="1985"/>
                    <w:tab w:val="clear" w:pos="5103"/>
                  </w:tabs>
                  <w:jc w:val="left"/>
                  <w:rPr>
                    <w:rFonts w:ascii="Arial" w:eastAsiaTheme="minorHAnsi" w:hAnsi="Arial" w:cs="Arial"/>
                    <w:lang w:val="en-GB" w:eastAsia="en-US"/>
                  </w:rPr>
                </w:pPr>
                <w:r w:rsidRPr="00FF027F">
                  <w:rPr>
                    <w:rFonts w:ascii="Arial" w:eastAsiaTheme="minorHAnsi" w:hAnsi="Arial" w:cs="Arial"/>
                    <w:lang w:val="en-GB" w:eastAsia="en-US"/>
                  </w:rPr>
                  <w:t xml:space="preserve"> </w:t>
                </w:r>
                <w:r w:rsidR="008A6A64" w:rsidRPr="00FF027F">
                  <w:rPr>
                    <w:rFonts w:ascii="Arial" w:eastAsiaTheme="minorHAnsi" w:hAnsi="Arial" w:cs="Arial"/>
                    <w:lang w:val="en-GB" w:eastAsia="en-US"/>
                  </w:rPr>
                  <w:t>Opinion</w:t>
                </w:r>
              </w:p>
            </w:tc>
            <w:tc>
              <w:tcPr>
                <w:cnfStyle w:val="000100000000" w:firstRow="0" w:lastRow="0" w:firstColumn="0" w:lastColumn="1" w:oddVBand="0" w:evenVBand="0" w:oddHBand="0" w:evenHBand="0" w:firstRowFirstColumn="0" w:firstRowLastColumn="0" w:lastRowFirstColumn="0" w:lastRowLastColumn="0"/>
                <w:tcW w:w="3118" w:type="dxa"/>
              </w:tcPr>
              <w:p w14:paraId="3071AA88" w14:textId="30C4FC5B" w:rsidR="00452738" w:rsidRPr="00FF027F" w:rsidRDefault="008A6A64" w:rsidP="00452738">
                <w:pPr>
                  <w:keepLines w:val="0"/>
                  <w:tabs>
                    <w:tab w:val="clear" w:pos="1985"/>
                    <w:tab w:val="clear" w:pos="5103"/>
                  </w:tabs>
                  <w:jc w:val="left"/>
                  <w:rPr>
                    <w:rFonts w:ascii="Arial" w:eastAsiaTheme="minorHAnsi" w:hAnsi="Arial" w:cs="Arial"/>
                    <w:b w:val="0"/>
                    <w:lang w:val="en-GB" w:eastAsia="en-US"/>
                  </w:rPr>
                </w:pPr>
                <w:r w:rsidRPr="00FF027F">
                  <w:rPr>
                    <w:rFonts w:ascii="Arial" w:eastAsiaTheme="minorHAnsi" w:hAnsi="Arial" w:cs="Arial"/>
                    <w:b w:val="0"/>
                    <w:lang w:val="en-GB" w:eastAsia="en-US"/>
                  </w:rPr>
                  <w:t xml:space="preserve"> Article 3 (2) Reg 543/2013</w:t>
                </w:r>
              </w:p>
            </w:tc>
          </w:tr>
          <w:tr w:rsidR="00452738" w:rsidRPr="00FF027F" w14:paraId="113DD892" w14:textId="77777777" w:rsidTr="00B07200">
            <w:trPr>
              <w:cnfStyle w:val="010000000000" w:firstRow="0" w:lastRow="1" w:firstColumn="0" w:lastColumn="0" w:oddVBand="0" w:evenVBand="0" w:oddHBand="0" w:evenHBand="0" w:firstRowFirstColumn="0" w:firstRowLastColumn="0" w:lastRowFirstColumn="0" w:lastRowLastColumn="0"/>
              <w:trHeight w:val="141"/>
            </w:trPr>
            <w:tc>
              <w:tcPr>
                <w:tcW w:w="3656" w:type="dxa"/>
              </w:tcPr>
              <w:p w14:paraId="2AD137EB" w14:textId="4FDE71F1" w:rsidR="00452738" w:rsidRPr="00FF027F" w:rsidRDefault="008A6A64" w:rsidP="006D214F">
                <w:pPr>
                  <w:pStyle w:val="ListParagraph"/>
                  <w:numPr>
                    <w:ilvl w:val="0"/>
                    <w:numId w:val="54"/>
                  </w:numPr>
                  <w:spacing w:after="120"/>
                  <w:ind w:left="743" w:right="202" w:hanging="425"/>
                  <w:rPr>
                    <w:rFonts w:ascii="Arial" w:eastAsiaTheme="minorHAnsi" w:hAnsi="Arial" w:cs="Arial"/>
                    <w:b w:val="0"/>
                    <w:lang w:val="en-GB" w:eastAsia="en-US"/>
                  </w:rPr>
                </w:pPr>
                <w:r w:rsidRPr="00FF027F">
                  <w:rPr>
                    <w:rFonts w:ascii="Arial" w:eastAsiaTheme="minorHAnsi" w:hAnsi="Arial" w:cs="Arial"/>
                    <w:b w:val="0"/>
                    <w:lang w:val="en-GB" w:eastAsia="en-US"/>
                  </w:rPr>
                  <w:t xml:space="preserve"> Provide an opinion on the draft manual of procedures submitted by the ENTSO for Electricity</w:t>
                </w:r>
              </w:p>
            </w:tc>
            <w:tc>
              <w:tcPr>
                <w:tcW w:w="2298" w:type="dxa"/>
                <w:tcBorders>
                  <w:bottom w:val="single" w:sz="4" w:space="0" w:color="auto"/>
                </w:tcBorders>
              </w:tcPr>
              <w:p w14:paraId="375B05D8" w14:textId="48263E85" w:rsidR="00452738" w:rsidRPr="00FF027F" w:rsidRDefault="008A6A64" w:rsidP="008A6A64">
                <w:pPr>
                  <w:ind w:right="202"/>
                  <w:rPr>
                    <w:rFonts w:ascii="Arial" w:eastAsiaTheme="minorHAnsi" w:hAnsi="Arial" w:cs="Arial"/>
                    <w:b w:val="0"/>
                    <w:lang w:val="en-GB" w:eastAsia="en-US"/>
                  </w:rPr>
                </w:pPr>
                <w:r w:rsidRPr="00FF027F">
                  <w:rPr>
                    <w:rFonts w:ascii="Arial" w:eastAsiaTheme="minorHAnsi" w:hAnsi="Arial" w:cs="Arial"/>
                    <w:lang w:val="en-GB" w:eastAsia="en-US"/>
                  </w:rPr>
                  <w:t xml:space="preserve"> </w:t>
                </w:r>
                <w:r w:rsidRPr="00FF027F">
                  <w:rPr>
                    <w:rFonts w:ascii="Arial" w:eastAsiaTheme="minorHAnsi" w:hAnsi="Arial" w:cs="Arial"/>
                    <w:b w:val="0"/>
                    <w:lang w:val="en-GB" w:eastAsia="en-US"/>
                  </w:rPr>
                  <w:t>Opinion</w:t>
                </w:r>
              </w:p>
            </w:tc>
            <w:tc>
              <w:tcPr>
                <w:cnfStyle w:val="000100000000" w:firstRow="0" w:lastRow="0" w:firstColumn="0" w:lastColumn="1" w:oddVBand="0" w:evenVBand="0" w:oddHBand="0" w:evenHBand="0" w:firstRowFirstColumn="0" w:firstRowLastColumn="0" w:lastRowFirstColumn="0" w:lastRowLastColumn="0"/>
                <w:tcW w:w="3118" w:type="dxa"/>
              </w:tcPr>
              <w:p w14:paraId="39FBF048" w14:textId="13F00F35" w:rsidR="00452738" w:rsidRPr="00FF027F" w:rsidRDefault="008A6A64" w:rsidP="008A6A64">
                <w:pPr>
                  <w:ind w:right="202"/>
                  <w:rPr>
                    <w:rFonts w:ascii="Arial" w:eastAsiaTheme="minorHAnsi" w:hAnsi="Arial" w:cs="Arial"/>
                    <w:b w:val="0"/>
                    <w:lang w:val="en-GB" w:eastAsia="en-US"/>
                  </w:rPr>
                </w:pPr>
                <w:r w:rsidRPr="00FF027F">
                  <w:rPr>
                    <w:rFonts w:ascii="Arial" w:eastAsiaTheme="minorHAnsi" w:hAnsi="Arial" w:cs="Arial"/>
                    <w:b w:val="0"/>
                    <w:lang w:val="en-GB" w:eastAsia="en-US"/>
                  </w:rPr>
                  <w:t>Article 5 Reg 543/2013</w:t>
                </w:r>
              </w:p>
            </w:tc>
          </w:tr>
        </w:tbl>
        <w:p w14:paraId="07117376" w14:textId="77777777" w:rsidR="00EB1C30" w:rsidRPr="00FF027F" w:rsidRDefault="00EB1C30" w:rsidP="00A25E92">
          <w:pPr>
            <w:spacing w:before="120" w:after="120" w:line="360" w:lineRule="auto"/>
            <w:rPr>
              <w:rFonts w:ascii="Arial" w:hAnsi="Arial" w:cs="Arial"/>
              <w:color w:val="1F497D" w:themeColor="text2"/>
              <w:lang w:val="en-GB"/>
            </w:rPr>
          </w:pPr>
        </w:p>
        <w:p w14:paraId="7B4126AA" w14:textId="0CCB1A14" w:rsidR="00C65707" w:rsidRPr="00FF027F" w:rsidRDefault="00EC2170" w:rsidP="000D35E2">
          <w:pPr>
            <w:spacing w:before="120" w:after="120" w:line="360" w:lineRule="auto"/>
            <w:ind w:left="289"/>
            <w:rPr>
              <w:rFonts w:ascii="Arial" w:hAnsi="Arial" w:cs="Arial"/>
              <w:color w:val="FF0000"/>
              <w:lang w:val="en-GB"/>
            </w:rPr>
          </w:pPr>
        </w:p>
      </w:sdtContent>
    </w:sdt>
    <w:sectPr w:rsidR="00C65707" w:rsidRPr="00FF027F" w:rsidSect="00B30F57">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4A213" w14:textId="77777777" w:rsidR="008F283B" w:rsidRDefault="008F283B" w:rsidP="004B66B4">
      <w:pPr>
        <w:spacing w:after="0" w:line="240" w:lineRule="auto"/>
      </w:pPr>
      <w:r>
        <w:separator/>
      </w:r>
    </w:p>
    <w:p w14:paraId="35DA8CF8" w14:textId="77777777" w:rsidR="008F283B" w:rsidRDefault="008F283B"/>
  </w:endnote>
  <w:endnote w:type="continuationSeparator" w:id="0">
    <w:p w14:paraId="7AEA91B9" w14:textId="77777777" w:rsidR="008F283B" w:rsidRDefault="008F283B" w:rsidP="004B66B4">
      <w:pPr>
        <w:spacing w:after="0" w:line="240" w:lineRule="auto"/>
      </w:pPr>
      <w:r>
        <w:continuationSeparator/>
      </w:r>
    </w:p>
    <w:p w14:paraId="13E55BEC" w14:textId="77777777" w:rsidR="008F283B" w:rsidRDefault="008F283B"/>
  </w:endnote>
  <w:endnote w:type="continuationNotice" w:id="1">
    <w:p w14:paraId="7865717D" w14:textId="77777777" w:rsidR="008F283B" w:rsidRDefault="008F28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60951"/>
      <w:docPartObj>
        <w:docPartGallery w:val="Page Numbers (Bottom of Page)"/>
        <w:docPartUnique/>
      </w:docPartObj>
    </w:sdtPr>
    <w:sdtEndPr>
      <w:rPr>
        <w:noProof/>
      </w:rPr>
    </w:sdtEndPr>
    <w:sdtContent>
      <w:p w14:paraId="3C23A7AC" w14:textId="77777777" w:rsidR="008F283B" w:rsidRDefault="008F283B">
        <w:pPr>
          <w:pStyle w:val="Footer"/>
          <w:jc w:val="center"/>
        </w:pPr>
        <w:r>
          <w:fldChar w:fldCharType="begin"/>
        </w:r>
        <w:r>
          <w:instrText xml:space="preserve"> PAGE   \* MERGEFORMAT </w:instrText>
        </w:r>
        <w:r>
          <w:fldChar w:fldCharType="separate"/>
        </w:r>
        <w:r w:rsidR="00EC2170">
          <w:rPr>
            <w:noProof/>
          </w:rPr>
          <w:t>3</w:t>
        </w:r>
        <w:r>
          <w:rPr>
            <w:noProof/>
          </w:rPr>
          <w:fldChar w:fldCharType="end"/>
        </w:r>
        <w:r>
          <w:rPr>
            <w:noProof/>
          </w:rPr>
          <w:br/>
        </w:r>
      </w:p>
    </w:sdtContent>
  </w:sdt>
  <w:tbl>
    <w:tblPr>
      <w:tblStyle w:val="TableGrid"/>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8F283B" w:rsidRPr="001A28BC" w14:paraId="5525181A" w14:textId="77777777" w:rsidTr="001A28BC">
      <w:tc>
        <w:tcPr>
          <w:tcW w:w="9576" w:type="dxa"/>
        </w:tcPr>
        <w:p w14:paraId="3EE43DD6" w14:textId="77777777" w:rsidR="008F283B" w:rsidRPr="001A28BC" w:rsidRDefault="008F283B" w:rsidP="001A28BC">
          <w:pPr>
            <w:pStyle w:val="Footer"/>
            <w:jc w:val="center"/>
            <w:rPr>
              <w:i w:val="0"/>
              <w:szCs w:val="18"/>
            </w:rPr>
          </w:pPr>
          <w:r w:rsidRPr="001A28BC">
            <w:rPr>
              <w:i w:val="0"/>
              <w:color w:val="1E477B"/>
              <w:szCs w:val="18"/>
            </w:rPr>
            <w:t xml:space="preserve">Trg republike 3, 1000 Ljubljana, Slovenia </w:t>
          </w:r>
          <w:r w:rsidRPr="001A28BC">
            <w:rPr>
              <w:rFonts w:ascii="Arial" w:hAnsi="Arial" w:cs="Arial"/>
              <w:i w:val="0"/>
              <w:color w:val="1E477B"/>
              <w:szCs w:val="18"/>
            </w:rPr>
            <w:t xml:space="preserve">● </w:t>
          </w:r>
          <w:r w:rsidRPr="001A28BC">
            <w:rPr>
              <w:i w:val="0"/>
              <w:color w:val="1E477B"/>
              <w:szCs w:val="18"/>
            </w:rPr>
            <w:t>t: +386 (0)82</w:t>
          </w:r>
          <w:r>
            <w:rPr>
              <w:i w:val="0"/>
              <w:color w:val="1E477B"/>
              <w:szCs w:val="18"/>
            </w:rPr>
            <w:t>05</w:t>
          </w:r>
          <w:r w:rsidRPr="001A28BC">
            <w:rPr>
              <w:i w:val="0"/>
              <w:color w:val="1E477B"/>
              <w:szCs w:val="18"/>
            </w:rPr>
            <w:t xml:space="preserve">3 400 </w:t>
          </w:r>
          <w:r w:rsidRPr="001A28BC">
            <w:rPr>
              <w:rFonts w:ascii="Arial" w:hAnsi="Arial" w:cs="Arial"/>
              <w:i w:val="0"/>
              <w:color w:val="1E477B"/>
              <w:szCs w:val="18"/>
            </w:rPr>
            <w:t xml:space="preserve">● </w:t>
          </w:r>
          <w:r w:rsidRPr="001A28BC">
            <w:rPr>
              <w:i w:val="0"/>
              <w:color w:val="1E477B"/>
              <w:szCs w:val="18"/>
            </w:rPr>
            <w:t>www.acer.europa.eu</w:t>
          </w:r>
        </w:p>
      </w:tc>
    </w:tr>
  </w:tbl>
  <w:p w14:paraId="0B1A83BA" w14:textId="77777777" w:rsidR="008F283B" w:rsidRDefault="008F283B">
    <w:pPr>
      <w:pStyle w:val="Footer"/>
    </w:pPr>
  </w:p>
  <w:p w14:paraId="133C27BA" w14:textId="77777777" w:rsidR="008F283B" w:rsidRDefault="008F28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EBFD" w14:textId="6CAF304B" w:rsidR="008F283B" w:rsidRDefault="008F283B" w:rsidP="004E115C">
    <w:pPr>
      <w:pStyle w:val="Footer"/>
      <w:jc w:val="center"/>
    </w:pPr>
  </w:p>
  <w:p w14:paraId="748E49C0" w14:textId="77777777" w:rsidR="008F283B" w:rsidRDefault="008F283B" w:rsidP="004E1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78523"/>
      <w:docPartObj>
        <w:docPartGallery w:val="Page Numbers (Bottom of Page)"/>
        <w:docPartUnique/>
      </w:docPartObj>
    </w:sdtPr>
    <w:sdtEndPr>
      <w:rPr>
        <w:noProof/>
      </w:rPr>
    </w:sdtEndPr>
    <w:sdtContent>
      <w:p w14:paraId="5303E558" w14:textId="77777777" w:rsidR="008F283B" w:rsidRDefault="008F283B" w:rsidP="00960C31">
        <w:pPr>
          <w:pStyle w:val="Footer"/>
          <w:jc w:val="center"/>
        </w:pPr>
        <w:r>
          <w:fldChar w:fldCharType="begin"/>
        </w:r>
        <w:r>
          <w:instrText xml:space="preserve"> PAGE   \* MERGEFORMAT </w:instrText>
        </w:r>
        <w:r>
          <w:fldChar w:fldCharType="separate"/>
        </w:r>
        <w:r w:rsidR="008B50C0">
          <w:rPr>
            <w:noProof/>
          </w:rPr>
          <w:t>35</w:t>
        </w:r>
        <w:r>
          <w:rPr>
            <w:noProof/>
          </w:rPr>
          <w:fldChar w:fldCharType="end"/>
        </w:r>
        <w:r>
          <w:rPr>
            <w:noProof/>
          </w:rPr>
          <w:br/>
        </w:r>
      </w:p>
    </w:sdtContent>
  </w:sdt>
  <w:tbl>
    <w:tblPr>
      <w:tblStyle w:val="TableGrid"/>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F283B" w:rsidRPr="001A28BC" w14:paraId="3B6FD95A" w14:textId="77777777" w:rsidTr="00960C31">
      <w:tc>
        <w:tcPr>
          <w:tcW w:w="9576" w:type="dxa"/>
        </w:tcPr>
        <w:p w14:paraId="578243CC" w14:textId="77777777" w:rsidR="008F283B" w:rsidRPr="001A28BC" w:rsidRDefault="008F283B" w:rsidP="00960C31">
          <w:pPr>
            <w:pStyle w:val="Footer"/>
            <w:jc w:val="center"/>
            <w:rPr>
              <w:i w:val="0"/>
              <w:szCs w:val="18"/>
            </w:rPr>
          </w:pPr>
          <w:r w:rsidRPr="001A28BC">
            <w:rPr>
              <w:i w:val="0"/>
              <w:color w:val="1E477B"/>
              <w:szCs w:val="18"/>
            </w:rPr>
            <w:t xml:space="preserve">Trg republike 3, 1000 Ljubljana, Slovenia </w:t>
          </w:r>
          <w:r w:rsidRPr="001A28BC">
            <w:rPr>
              <w:rFonts w:ascii="Arial" w:hAnsi="Arial" w:cs="Arial"/>
              <w:i w:val="0"/>
              <w:color w:val="1E477B"/>
              <w:szCs w:val="18"/>
            </w:rPr>
            <w:t xml:space="preserve">● </w:t>
          </w:r>
          <w:r w:rsidRPr="001A28BC">
            <w:rPr>
              <w:i w:val="0"/>
              <w:color w:val="1E477B"/>
              <w:szCs w:val="18"/>
            </w:rPr>
            <w:t>t: +386 (0)82</w:t>
          </w:r>
          <w:r>
            <w:rPr>
              <w:i w:val="0"/>
              <w:color w:val="1E477B"/>
              <w:szCs w:val="18"/>
            </w:rPr>
            <w:t>05</w:t>
          </w:r>
          <w:r w:rsidRPr="001A28BC">
            <w:rPr>
              <w:i w:val="0"/>
              <w:color w:val="1E477B"/>
              <w:szCs w:val="18"/>
            </w:rPr>
            <w:t xml:space="preserve">3 400 </w:t>
          </w:r>
          <w:r w:rsidRPr="001A28BC">
            <w:rPr>
              <w:rFonts w:ascii="Arial" w:hAnsi="Arial" w:cs="Arial"/>
              <w:i w:val="0"/>
              <w:color w:val="1E477B"/>
              <w:szCs w:val="18"/>
            </w:rPr>
            <w:t xml:space="preserve">● </w:t>
          </w:r>
          <w:r w:rsidRPr="001A28BC">
            <w:rPr>
              <w:i w:val="0"/>
              <w:color w:val="1E477B"/>
              <w:szCs w:val="18"/>
            </w:rPr>
            <w:t>www.acer.europa.eu</w:t>
          </w:r>
        </w:p>
      </w:tc>
    </w:tr>
  </w:tbl>
  <w:p w14:paraId="1AD78FF1" w14:textId="77777777" w:rsidR="008F283B" w:rsidRDefault="008F283B" w:rsidP="004E115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435260"/>
      <w:docPartObj>
        <w:docPartGallery w:val="Page Numbers (Bottom of Page)"/>
        <w:docPartUnique/>
      </w:docPartObj>
    </w:sdtPr>
    <w:sdtEndPr>
      <w:rPr>
        <w:noProof/>
      </w:rPr>
    </w:sdtEndPr>
    <w:sdtContent>
      <w:p w14:paraId="0BCBE68E" w14:textId="77777777" w:rsidR="008F283B" w:rsidRDefault="008F283B" w:rsidP="004E115C">
        <w:pPr>
          <w:pStyle w:val="Footer"/>
          <w:jc w:val="center"/>
        </w:pPr>
        <w:r>
          <w:fldChar w:fldCharType="begin"/>
        </w:r>
        <w:r>
          <w:instrText xml:space="preserve"> PAGE   \* MERGEFORMAT </w:instrText>
        </w:r>
        <w:r>
          <w:fldChar w:fldCharType="separate"/>
        </w:r>
        <w:r w:rsidR="008B50C0">
          <w:rPr>
            <w:noProof/>
          </w:rPr>
          <w:t>36</w:t>
        </w:r>
        <w:r>
          <w:rPr>
            <w:noProof/>
          </w:rPr>
          <w:fldChar w:fldCharType="end"/>
        </w:r>
        <w:r>
          <w:rPr>
            <w:noProof/>
          </w:rPr>
          <w:br/>
        </w:r>
      </w:p>
    </w:sdtContent>
  </w:sdt>
  <w:tbl>
    <w:tblPr>
      <w:tblStyle w:val="TableGrid"/>
      <w:tblW w:w="0" w:type="auto"/>
      <w:tblBorders>
        <w:top w:val="single" w:sz="4"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8F283B" w:rsidRPr="001A28BC" w14:paraId="664D0AF8" w14:textId="77777777" w:rsidTr="00960C31">
      <w:tc>
        <w:tcPr>
          <w:tcW w:w="9576" w:type="dxa"/>
        </w:tcPr>
        <w:p w14:paraId="285880AC" w14:textId="77777777" w:rsidR="008F283B" w:rsidRPr="001A28BC" w:rsidRDefault="008F283B" w:rsidP="00960C31">
          <w:pPr>
            <w:pStyle w:val="Footer"/>
            <w:jc w:val="center"/>
            <w:rPr>
              <w:i w:val="0"/>
              <w:szCs w:val="18"/>
            </w:rPr>
          </w:pPr>
          <w:r w:rsidRPr="001A28BC">
            <w:rPr>
              <w:i w:val="0"/>
              <w:color w:val="1E477B"/>
              <w:szCs w:val="18"/>
            </w:rPr>
            <w:t xml:space="preserve">Trg republike 3, 1000 Ljubljana, Slovenia </w:t>
          </w:r>
          <w:r w:rsidRPr="001A28BC">
            <w:rPr>
              <w:rFonts w:ascii="Arial" w:hAnsi="Arial" w:cs="Arial"/>
              <w:i w:val="0"/>
              <w:color w:val="1E477B"/>
              <w:szCs w:val="18"/>
            </w:rPr>
            <w:t xml:space="preserve">● </w:t>
          </w:r>
          <w:r w:rsidRPr="001A28BC">
            <w:rPr>
              <w:i w:val="0"/>
              <w:color w:val="1E477B"/>
              <w:szCs w:val="18"/>
            </w:rPr>
            <w:t>t: +386 (0)82</w:t>
          </w:r>
          <w:r>
            <w:rPr>
              <w:i w:val="0"/>
              <w:color w:val="1E477B"/>
              <w:szCs w:val="18"/>
            </w:rPr>
            <w:t>05</w:t>
          </w:r>
          <w:r w:rsidRPr="001A28BC">
            <w:rPr>
              <w:i w:val="0"/>
              <w:color w:val="1E477B"/>
              <w:szCs w:val="18"/>
            </w:rPr>
            <w:t xml:space="preserve">3 400 </w:t>
          </w:r>
          <w:r w:rsidRPr="001A28BC">
            <w:rPr>
              <w:rFonts w:ascii="Arial" w:hAnsi="Arial" w:cs="Arial"/>
              <w:i w:val="0"/>
              <w:color w:val="1E477B"/>
              <w:szCs w:val="18"/>
            </w:rPr>
            <w:t xml:space="preserve">● </w:t>
          </w:r>
          <w:r w:rsidRPr="001A28BC">
            <w:rPr>
              <w:i w:val="0"/>
              <w:color w:val="1E477B"/>
              <w:szCs w:val="18"/>
            </w:rPr>
            <w:t>www.acer.europa.eu</w:t>
          </w:r>
        </w:p>
      </w:tc>
    </w:tr>
  </w:tbl>
  <w:p w14:paraId="34AAA6AF" w14:textId="77777777" w:rsidR="008F283B" w:rsidRDefault="008F283B" w:rsidP="004E115C">
    <w:pPr>
      <w:pStyle w:val="Footer"/>
    </w:pPr>
  </w:p>
  <w:p w14:paraId="11C95235" w14:textId="77777777" w:rsidR="008F283B" w:rsidRPr="00F11BEB" w:rsidRDefault="008F283B" w:rsidP="004E115C">
    <w:pPr>
      <w:pStyle w:val="Footer"/>
      <w:rPr>
        <w:i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3BE89" w14:textId="77777777" w:rsidR="008F283B" w:rsidRDefault="008F283B" w:rsidP="004B66B4">
      <w:pPr>
        <w:spacing w:after="0" w:line="240" w:lineRule="auto"/>
      </w:pPr>
      <w:r>
        <w:separator/>
      </w:r>
    </w:p>
    <w:p w14:paraId="7401601D" w14:textId="77777777" w:rsidR="008F283B" w:rsidRDefault="008F283B"/>
  </w:footnote>
  <w:footnote w:type="continuationSeparator" w:id="0">
    <w:p w14:paraId="3A4FB571" w14:textId="77777777" w:rsidR="008F283B" w:rsidRDefault="008F283B" w:rsidP="004B66B4">
      <w:pPr>
        <w:spacing w:after="0" w:line="240" w:lineRule="auto"/>
      </w:pPr>
      <w:r>
        <w:continuationSeparator/>
      </w:r>
    </w:p>
    <w:p w14:paraId="1EF08D30" w14:textId="77777777" w:rsidR="008F283B" w:rsidRDefault="008F283B"/>
  </w:footnote>
  <w:footnote w:type="continuationNotice" w:id="1">
    <w:p w14:paraId="7FB45813" w14:textId="77777777" w:rsidR="008F283B" w:rsidRDefault="008F283B">
      <w:pPr>
        <w:spacing w:after="0" w:line="240" w:lineRule="auto"/>
      </w:pPr>
    </w:p>
  </w:footnote>
  <w:footnote w:id="2">
    <w:p w14:paraId="36B59804" w14:textId="77777777" w:rsidR="008F283B" w:rsidRPr="00B508EC" w:rsidRDefault="008F283B" w:rsidP="00D203D3">
      <w:pPr>
        <w:pStyle w:val="FootnoteText"/>
        <w:jc w:val="both"/>
      </w:pPr>
      <w:r w:rsidRPr="007F23BC">
        <w:rPr>
          <w:rStyle w:val="FootnoteReference"/>
          <w:b w:val="0"/>
        </w:rPr>
        <w:footnoteRef/>
      </w:r>
      <w:r>
        <w:t xml:space="preserve"> </w:t>
      </w:r>
      <w:r w:rsidRPr="007F23BC">
        <w:t>Regulation (EC) No 713/2009 of the European Parliament and of the Council of 13 July 2009 establishing an Agency for the Cooperation of Energy Regulators (OJ L 211, 14.8.2009, p. 1).</w:t>
      </w:r>
    </w:p>
  </w:footnote>
  <w:footnote w:id="3">
    <w:p w14:paraId="0F6D00C5" w14:textId="6C23B380" w:rsidR="008F283B" w:rsidRPr="00BD709E" w:rsidRDefault="008F283B" w:rsidP="00351291">
      <w:pPr>
        <w:pStyle w:val="FootnoteText"/>
        <w:jc w:val="both"/>
        <w:rPr>
          <w:szCs w:val="18"/>
        </w:rPr>
      </w:pPr>
      <w:r w:rsidRPr="00872699">
        <w:rPr>
          <w:rStyle w:val="FootnoteReference"/>
          <w:sz w:val="18"/>
          <w:szCs w:val="18"/>
        </w:rPr>
        <w:footnoteRef/>
      </w:r>
      <w:r w:rsidRPr="00BD709E">
        <w:rPr>
          <w:szCs w:val="18"/>
        </w:rPr>
        <w:t xml:space="preserve"> </w:t>
      </w:r>
      <w:r w:rsidRPr="00BD709E">
        <w:rPr>
          <w:szCs w:val="18"/>
          <w:lang w:val="en"/>
        </w:rPr>
        <w:t xml:space="preserve">The </w:t>
      </w:r>
      <w:r w:rsidRPr="00351291">
        <w:rPr>
          <w:bCs/>
          <w:szCs w:val="18"/>
          <w:lang w:val="en"/>
        </w:rPr>
        <w:t>European Regulators' Group for Electricity and Gas (ERGEG)</w:t>
      </w:r>
      <w:r>
        <w:rPr>
          <w:szCs w:val="18"/>
          <w:lang w:val="en"/>
        </w:rPr>
        <w:t xml:space="preserve"> was</w:t>
      </w:r>
      <w:r w:rsidRPr="00BD709E">
        <w:rPr>
          <w:szCs w:val="18"/>
          <w:lang w:val="en"/>
        </w:rPr>
        <w:t xml:space="preserve"> set up by the European Commission (Decision of 11 November 2003 2003/796/EC) as its advisory body on internal energy market issues. Following the Agency becoming fully operational, With ACER fully operational, ERGEG was formally dissolved by the European Commission, with effect from 1 July 2011.</w:t>
      </w:r>
    </w:p>
  </w:footnote>
  <w:footnote w:id="4">
    <w:p w14:paraId="2C449B27" w14:textId="77777777" w:rsidR="008F283B" w:rsidRPr="00CD6AFB" w:rsidRDefault="008F283B" w:rsidP="006A1854">
      <w:pPr>
        <w:pStyle w:val="FootnoteText"/>
        <w:jc w:val="both"/>
      </w:pPr>
      <w:r w:rsidRPr="0020056D">
        <w:rPr>
          <w:rStyle w:val="FootnoteReference"/>
          <w:b w:val="0"/>
        </w:rPr>
        <w:footnoteRef/>
      </w:r>
      <w:r w:rsidRPr="00CD6AFB">
        <w:t xml:space="preserve"> Article 31 of Regulation (EC) No 713/2009 states that “(1) The Agency shall be open to the participation of third countries which have concluded agreements with the Community whereby they have adopted and are applying Community law in the field of energy and, if relevant, in the fields of environment and competition. (2) Under the relevant provisions of those agreements, arrangements shall be made specifying, in particular, the nature, scope and procedural aspects of the involvement of those countries in the work of the Agency, including provisions relating to financial contributions and to staff”. Article 19 of REMIT states that ”Insofar as is necessary to achieve the objectives set out in this Regulation and without prejudice to the respective competences of the Member States and the Union institutions, including the European External Action Service, the Agency may develop contacts and enter into administrative arrangements with supervisory authorities, international organisations and the administrations of third countries, in particular, with those impacting the Union energy wholesale market in order to promote the harmonisation of the regulatory framework. Those arrangements shall not create legal obligations in respect of the Union and its Member States nor shall they prevent Member States and their competent authorities from concluding bilateral or multilateral arrangements with those supervisory authorities, international organisations and the administrations of third countries”. </w:t>
      </w:r>
    </w:p>
  </w:footnote>
  <w:footnote w:id="5">
    <w:p w14:paraId="5F010294" w14:textId="77777777" w:rsidR="008F283B" w:rsidRPr="00CD6AFB" w:rsidRDefault="008F283B" w:rsidP="006A1854">
      <w:pPr>
        <w:pStyle w:val="FootnoteText"/>
        <w:jc w:val="both"/>
      </w:pPr>
      <w:r w:rsidRPr="0020056D">
        <w:rPr>
          <w:rStyle w:val="FootnoteReference"/>
          <w:b w:val="0"/>
        </w:rPr>
        <w:footnoteRef/>
      </w:r>
      <w:r w:rsidRPr="00CD6AFB">
        <w:t xml:space="preserve"> </w:t>
      </w:r>
      <w:r>
        <w:t xml:space="preserve">In particular in the </w:t>
      </w:r>
      <w:r w:rsidRPr="00CD6AFB">
        <w:t>activities aimed at the early implementation of the provision in the Network Code on Capacity Allocation and Congestion Management in the area of wholesale electricity market coupling.</w:t>
      </w:r>
    </w:p>
  </w:footnote>
  <w:footnote w:id="6">
    <w:p w14:paraId="44CCD8AF" w14:textId="77777777" w:rsidR="008F283B" w:rsidRPr="00D67628" w:rsidRDefault="008F283B" w:rsidP="006A1854">
      <w:pPr>
        <w:pStyle w:val="FootnoteText"/>
        <w:jc w:val="both"/>
      </w:pPr>
      <w:r w:rsidRPr="007E7B5B">
        <w:rPr>
          <w:rStyle w:val="FootnoteReference"/>
          <w:b w:val="0"/>
        </w:rPr>
        <w:footnoteRef/>
      </w:r>
      <w:r>
        <w:t xml:space="preserve"> The Swiss Federal Electricity Regulatory Commission ElCom. However, contacts in relation to the implementation of REMIT are suspended, pending the conclusion of the negotiations between </w:t>
      </w:r>
      <w:r w:rsidRPr="00CD6AFB">
        <w:t xml:space="preserve">the Swiss </w:t>
      </w:r>
      <w:r>
        <w:t>F</w:t>
      </w:r>
      <w:r w:rsidRPr="00CD6AFB">
        <w:t xml:space="preserve">ederal Government and the European Union on the more general Energy </w:t>
      </w:r>
      <w:r w:rsidRPr="00CD6AFB">
        <w:rPr>
          <w:i/>
          <w:lang w:val="en-US"/>
        </w:rPr>
        <w:t>acquis</w:t>
      </w:r>
      <w:r w:rsidRPr="00CD6AFB">
        <w:t>.</w:t>
      </w:r>
      <w:r>
        <w:t xml:space="preserve"> </w:t>
      </w:r>
    </w:p>
  </w:footnote>
  <w:footnote w:id="7">
    <w:p w14:paraId="6F959EA0" w14:textId="77777777" w:rsidR="008F283B" w:rsidRDefault="008F283B" w:rsidP="00C50CB4">
      <w:pPr>
        <w:pStyle w:val="FootnoteText"/>
      </w:pPr>
      <w:r>
        <w:rPr>
          <w:rStyle w:val="FootnoteReference"/>
        </w:rPr>
        <w:footnoteRef/>
      </w:r>
      <w:r>
        <w:t xml:space="preserve"> </w:t>
      </w:r>
      <w:hyperlink r:id="rId1" w:history="1">
        <w:r w:rsidRPr="00DA2D26">
          <w:rPr>
            <w:rStyle w:val="Hyperlink"/>
          </w:rPr>
          <w:t>http://www.acer.europa.eu/Electricity/Regional_initiatives/Cross_Regional_Roadmaps/Pages/Cross-Regional-Roadmaps.aspx</w:t>
        </w:r>
      </w:hyperlink>
    </w:p>
    <w:p w14:paraId="59F363C6" w14:textId="77777777" w:rsidR="008F283B" w:rsidRPr="00927502" w:rsidRDefault="00EC2170" w:rsidP="00C50CB4">
      <w:pPr>
        <w:pStyle w:val="FootnoteText"/>
      </w:pPr>
      <w:hyperlink r:id="rId2" w:history="1">
        <w:r w:rsidR="008F283B" w:rsidRPr="00051D1B">
          <w:rPr>
            <w:rStyle w:val="Hyperlink"/>
          </w:rPr>
          <w:t>http://www.acer.europa.eu/Gas/Regional_%20Intiatives/CAM_roadmap/Pages/default.aspx</w:t>
        </w:r>
      </w:hyperlink>
    </w:p>
  </w:footnote>
  <w:footnote w:id="8">
    <w:p w14:paraId="69478250" w14:textId="1D5EA344" w:rsidR="008F283B" w:rsidRPr="00DB7623" w:rsidRDefault="008F283B" w:rsidP="00CF0630">
      <w:pPr>
        <w:pStyle w:val="FootnoteText"/>
        <w:ind w:left="0" w:firstLine="0"/>
        <w:jc w:val="both"/>
        <w:rPr>
          <w:rFonts w:cs="Arial"/>
          <w:szCs w:val="18"/>
        </w:rPr>
      </w:pPr>
      <w:r w:rsidRPr="00627FDF">
        <w:rPr>
          <w:rStyle w:val="FootnoteReference"/>
          <w:rFonts w:cs="Arial"/>
          <w:b w:val="0"/>
          <w:sz w:val="18"/>
          <w:szCs w:val="18"/>
        </w:rPr>
        <w:footnoteRef/>
      </w:r>
      <w:r>
        <w:rPr>
          <w:rFonts w:cs="Arial"/>
          <w:szCs w:val="18"/>
        </w:rPr>
        <w:t xml:space="preserve"> Estimated commitments 2015</w:t>
      </w:r>
      <w:r w:rsidRPr="00DB7623">
        <w:rPr>
          <w:rFonts w:cs="Arial"/>
          <w:szCs w:val="18"/>
        </w:rPr>
        <w:t>.</w:t>
      </w:r>
    </w:p>
  </w:footnote>
  <w:footnote w:id="9">
    <w:p w14:paraId="775F19AA" w14:textId="77777777" w:rsidR="008F283B" w:rsidRPr="00DB7623" w:rsidRDefault="008F283B" w:rsidP="005B2780">
      <w:pPr>
        <w:pStyle w:val="FootnoteText"/>
        <w:ind w:left="180" w:hanging="180"/>
        <w:jc w:val="both"/>
        <w:rPr>
          <w:rFonts w:cs="Arial"/>
          <w:szCs w:val="18"/>
        </w:rPr>
      </w:pPr>
      <w:r w:rsidRPr="00627FDF">
        <w:rPr>
          <w:rStyle w:val="FootnoteReference"/>
          <w:rFonts w:cs="Arial"/>
          <w:b w:val="0"/>
          <w:sz w:val="18"/>
          <w:szCs w:val="18"/>
        </w:rPr>
        <w:footnoteRef/>
      </w:r>
      <w:r w:rsidRPr="00DB7623">
        <w:rPr>
          <w:rFonts w:cs="Arial"/>
          <w:szCs w:val="18"/>
        </w:rPr>
        <w:t xml:space="preserve"> Framework contracts, specific contracts, direct contracts, amendments or agreements, as appropriate. Order forms throughout the year are counted as one contract.</w:t>
      </w:r>
    </w:p>
  </w:footnote>
  <w:footnote w:id="10">
    <w:p w14:paraId="16689076" w14:textId="77777777" w:rsidR="008F283B" w:rsidRPr="00DB7623" w:rsidRDefault="008F283B" w:rsidP="005B2780">
      <w:pPr>
        <w:pStyle w:val="FootnoteText"/>
        <w:ind w:left="180" w:hanging="180"/>
        <w:jc w:val="both"/>
        <w:rPr>
          <w:rFonts w:cs="Calibri"/>
          <w:szCs w:val="18"/>
        </w:rPr>
      </w:pPr>
      <w:r w:rsidRPr="00627FDF">
        <w:rPr>
          <w:rStyle w:val="FootnoteReference"/>
          <w:rFonts w:cs="Arial"/>
          <w:b w:val="0"/>
          <w:sz w:val="18"/>
          <w:szCs w:val="18"/>
        </w:rPr>
        <w:footnoteRef/>
      </w:r>
      <w:r w:rsidRPr="00DB7623">
        <w:rPr>
          <w:rFonts w:cs="Arial"/>
          <w:szCs w:val="18"/>
        </w:rPr>
        <w:t xml:space="preserve"> Tentative timeframe for launching new procurement procedure or for signing specific contracts/order forms under the existing framework contracts.</w:t>
      </w:r>
    </w:p>
  </w:footnote>
  <w:footnote w:id="11">
    <w:p w14:paraId="6E0B69E7" w14:textId="77777777" w:rsidR="008F283B" w:rsidRPr="000B4BD6" w:rsidRDefault="008F283B" w:rsidP="00F36DF1">
      <w:pPr>
        <w:pStyle w:val="FootnoteText"/>
        <w:spacing w:line="288" w:lineRule="auto"/>
        <w:rPr>
          <w:rFonts w:ascii="Calibri" w:hAnsi="Calibri" w:cs="Calibri"/>
          <w:b/>
          <w:u w:val="single"/>
          <w:lang w:val="en-IE"/>
        </w:rPr>
      </w:pPr>
      <w:r w:rsidRPr="001B27A0">
        <w:rPr>
          <w:rStyle w:val="FootnoteReference"/>
          <w:rFonts w:ascii="Calibri" w:hAnsi="Calibri" w:cs="Calibri"/>
        </w:rPr>
        <w:footnoteRef/>
      </w:r>
      <w:r w:rsidRPr="001B27A0">
        <w:rPr>
          <w:rFonts w:ascii="Calibri" w:hAnsi="Calibri" w:cs="Calibri"/>
        </w:rPr>
        <w:t xml:space="preserve"> </w:t>
      </w:r>
      <w:r w:rsidRPr="000B4BD6">
        <w:rPr>
          <w:rFonts w:ascii="Calibri" w:hAnsi="Calibri" w:cs="Calibri"/>
          <w:b/>
          <w:u w:val="single"/>
          <w:lang w:val="en-IE"/>
        </w:rPr>
        <w:t>Only for critical risks</w:t>
      </w:r>
      <w:r>
        <w:rPr>
          <w:rFonts w:ascii="Calibri" w:hAnsi="Calibri" w:cs="Calibri"/>
          <w:b/>
          <w:u w:val="single"/>
          <w:lang w:val="en-IE"/>
        </w:rPr>
        <w:t xml:space="preserve"> </w:t>
      </w:r>
    </w:p>
  </w:footnote>
  <w:footnote w:id="12">
    <w:p w14:paraId="38D7F082" w14:textId="77777777" w:rsidR="008F283B" w:rsidRPr="00C34EEC" w:rsidRDefault="008F283B" w:rsidP="004A5542">
      <w:pPr>
        <w:pStyle w:val="Text1"/>
        <w:spacing w:line="288" w:lineRule="auto"/>
        <w:ind w:left="0"/>
        <w:rPr>
          <w:rFonts w:ascii="Calibri" w:hAnsi="Calibri" w:cs="Calibri"/>
          <w:sz w:val="20"/>
        </w:rPr>
      </w:pPr>
      <w:r w:rsidRPr="00C34EEC">
        <w:rPr>
          <w:rStyle w:val="FootnoteReference"/>
          <w:rFonts w:ascii="Calibri" w:hAnsi="Calibri" w:cs="Calibri"/>
        </w:rPr>
        <w:footnoteRef/>
      </w:r>
      <w:r w:rsidRPr="00C34EEC">
        <w:rPr>
          <w:rFonts w:ascii="Calibri" w:hAnsi="Calibri" w:cs="Calibri"/>
          <w:sz w:val="20"/>
        </w:rPr>
        <w:t xml:space="preserve"> Including cause and potential consequence. Risks are assessed always at their residual level (i.e. after taking into account controls existing in the organisation). The identified impact and likelihood of the residual risk shall be described in the field.</w:t>
      </w:r>
    </w:p>
  </w:footnote>
  <w:footnote w:id="13">
    <w:p w14:paraId="4F327541" w14:textId="77777777" w:rsidR="008F283B" w:rsidRPr="00C34EEC" w:rsidRDefault="008F283B" w:rsidP="004A5542">
      <w:pPr>
        <w:pStyle w:val="FootnoteText"/>
        <w:spacing w:line="288" w:lineRule="auto"/>
        <w:rPr>
          <w:rFonts w:ascii="Calibri" w:hAnsi="Calibri" w:cs="Calibri"/>
        </w:rPr>
      </w:pPr>
      <w:r w:rsidRPr="00C34EEC">
        <w:rPr>
          <w:rStyle w:val="FootnoteReference"/>
          <w:rFonts w:ascii="Calibri" w:hAnsi="Calibri" w:cs="Calibri"/>
        </w:rPr>
        <w:footnoteRef/>
      </w:r>
      <w:r w:rsidRPr="00C34EEC">
        <w:rPr>
          <w:rFonts w:ascii="Calibri" w:hAnsi="Calibri" w:cs="Calibri"/>
        </w:rPr>
        <w:t xml:space="preserve"> Internal vs. External</w:t>
      </w:r>
    </w:p>
  </w:footnote>
  <w:footnote w:id="14">
    <w:p w14:paraId="5DC92A22" w14:textId="77777777" w:rsidR="008F283B" w:rsidRPr="00C34EEC" w:rsidRDefault="008F283B" w:rsidP="004A5542">
      <w:pPr>
        <w:pStyle w:val="FootnoteText"/>
        <w:spacing w:line="288" w:lineRule="auto"/>
      </w:pPr>
      <w:r w:rsidRPr="00C34EEC">
        <w:rPr>
          <w:rStyle w:val="FootnoteReference"/>
          <w:rFonts w:ascii="Calibri" w:hAnsi="Calibri" w:cs="Calibri"/>
        </w:rPr>
        <w:footnoteRef/>
      </w:r>
      <w:r w:rsidRPr="00C34EEC">
        <w:rPr>
          <w:rFonts w:ascii="Calibri" w:hAnsi="Calibri" w:cs="Calibri"/>
        </w:rPr>
        <w:t xml:space="preserve"> Avoid / Transfer / Reduce / Accept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519"/>
      <w:gridCol w:w="4508"/>
    </w:tblGrid>
    <w:tr w:rsidR="008F283B" w14:paraId="12C3AB25" w14:textId="77777777" w:rsidTr="0064057E">
      <w:tc>
        <w:tcPr>
          <w:tcW w:w="4788" w:type="dxa"/>
          <w:vAlign w:val="bottom"/>
        </w:tcPr>
        <w:p w14:paraId="2E7DA954" w14:textId="77777777" w:rsidR="008F283B" w:rsidRDefault="008F283B" w:rsidP="0064057E">
          <w:pPr>
            <w:pStyle w:val="Header"/>
          </w:pPr>
          <w:r>
            <w:rPr>
              <w:noProof/>
            </w:rPr>
            <w:drawing>
              <wp:inline distT="0" distB="0" distL="0" distR="0" wp14:anchorId="08D9B78D" wp14:editId="2363620F">
                <wp:extent cx="752856" cy="3444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_logo-def_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56" cy="344424"/>
                        </a:xfrm>
                        <a:prstGeom prst="rect">
                          <a:avLst/>
                        </a:prstGeom>
                      </pic:spPr>
                    </pic:pic>
                  </a:graphicData>
                </a:graphic>
              </wp:inline>
            </w:drawing>
          </w:r>
        </w:p>
      </w:tc>
      <w:tc>
        <w:tcPr>
          <w:tcW w:w="4788" w:type="dxa"/>
          <w:vAlign w:val="bottom"/>
        </w:tcPr>
        <w:p w14:paraId="25D5B669" w14:textId="77777777" w:rsidR="008F283B" w:rsidRPr="0064057E" w:rsidRDefault="008F283B" w:rsidP="001A28BC">
          <w:pPr>
            <w:pStyle w:val="Header"/>
            <w:jc w:val="right"/>
            <w:rPr>
              <w:rFonts w:ascii="Gill Sans MT" w:hAnsi="Gill Sans MT"/>
              <w:sz w:val="22"/>
              <w:szCs w:val="22"/>
            </w:rPr>
          </w:pPr>
          <w:r>
            <w:rPr>
              <w:rFonts w:ascii="Gill Sans MT" w:hAnsi="Gill Sans MT"/>
              <w:color w:val="4F81BD" w:themeColor="accent1"/>
              <w:sz w:val="22"/>
              <w:szCs w:val="22"/>
            </w:rPr>
            <w:t>Work Programme 2015</w:t>
          </w:r>
        </w:p>
      </w:tc>
    </w:tr>
  </w:tbl>
  <w:p w14:paraId="77896B7A" w14:textId="77777777" w:rsidR="008F283B" w:rsidRDefault="008F28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D09D9" w14:textId="5C51AB0B" w:rsidR="008F283B" w:rsidRDefault="008F283B" w:rsidP="00045F54">
    <w:pPr>
      <w:pStyle w:val="Header"/>
      <w:tabs>
        <w:tab w:val="clear" w:pos="4536"/>
        <w:tab w:val="clear" w:pos="9072"/>
        <w:tab w:val="left" w:pos="301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1F497D" w:themeColor="text2"/>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F283B" w14:paraId="12092349" w14:textId="77777777" w:rsidTr="00960C31">
      <w:tc>
        <w:tcPr>
          <w:tcW w:w="4788" w:type="dxa"/>
          <w:vAlign w:val="bottom"/>
        </w:tcPr>
        <w:p w14:paraId="6A3D5B1B" w14:textId="77777777" w:rsidR="008F283B" w:rsidRDefault="008F283B" w:rsidP="00960C31">
          <w:pPr>
            <w:pStyle w:val="Header"/>
          </w:pPr>
          <w:r>
            <w:rPr>
              <w:noProof/>
            </w:rPr>
            <w:drawing>
              <wp:inline distT="0" distB="0" distL="0" distR="0" wp14:anchorId="039B565B" wp14:editId="794C8253">
                <wp:extent cx="752856" cy="344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_logo-def_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856" cy="344424"/>
                        </a:xfrm>
                        <a:prstGeom prst="rect">
                          <a:avLst/>
                        </a:prstGeom>
                      </pic:spPr>
                    </pic:pic>
                  </a:graphicData>
                </a:graphic>
              </wp:inline>
            </w:drawing>
          </w:r>
        </w:p>
      </w:tc>
      <w:tc>
        <w:tcPr>
          <w:tcW w:w="4788" w:type="dxa"/>
          <w:vAlign w:val="bottom"/>
        </w:tcPr>
        <w:p w14:paraId="4EDD1205" w14:textId="77777777" w:rsidR="008F283B" w:rsidRPr="0064057E" w:rsidRDefault="008F283B" w:rsidP="00960C31">
          <w:pPr>
            <w:pStyle w:val="Header"/>
            <w:jc w:val="right"/>
            <w:rPr>
              <w:rFonts w:ascii="Gill Sans MT" w:hAnsi="Gill Sans MT"/>
              <w:sz w:val="22"/>
              <w:szCs w:val="22"/>
            </w:rPr>
          </w:pPr>
          <w:r>
            <w:rPr>
              <w:rFonts w:ascii="Gill Sans MT" w:hAnsi="Gill Sans MT"/>
              <w:color w:val="4F81BD" w:themeColor="accent1"/>
              <w:sz w:val="22"/>
              <w:szCs w:val="22"/>
            </w:rPr>
            <w:t>Work Programme 2015</w:t>
          </w:r>
        </w:p>
      </w:tc>
    </w:tr>
  </w:tbl>
  <w:p w14:paraId="1DF977FC" w14:textId="2F5D2186" w:rsidR="008F283B" w:rsidRDefault="008F283B" w:rsidP="004E115C">
    <w:pPr>
      <w:pStyle w:val="Header"/>
      <w:tabs>
        <w:tab w:val="clear" w:pos="4536"/>
        <w:tab w:val="clear" w:pos="9072"/>
        <w:tab w:val="left" w:pos="30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
    <w:nsid w:val="01D62D52"/>
    <w:multiLevelType w:val="singleLevel"/>
    <w:tmpl w:val="B6F0AEB2"/>
    <w:lvl w:ilvl="0">
      <w:start w:val="1"/>
      <w:numFmt w:val="bullet"/>
      <w:pStyle w:val="Bullet1"/>
      <w:lvlText w:val=""/>
      <w:lvlJc w:val="left"/>
      <w:pPr>
        <w:tabs>
          <w:tab w:val="num" w:pos="927"/>
        </w:tabs>
        <w:ind w:left="567" w:firstLine="0"/>
      </w:pPr>
      <w:rPr>
        <w:rFonts w:ascii="Wingdings" w:hAnsi="Wingdings" w:hint="default"/>
        <w:sz w:val="20"/>
      </w:rPr>
    </w:lvl>
  </w:abstractNum>
  <w:abstractNum w:abstractNumId="2">
    <w:nsid w:val="077244C6"/>
    <w:multiLevelType w:val="hybridMultilevel"/>
    <w:tmpl w:val="33D83708"/>
    <w:lvl w:ilvl="0" w:tplc="96B8880A">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086C4DCB"/>
    <w:multiLevelType w:val="hybridMultilevel"/>
    <w:tmpl w:val="B39CD3E4"/>
    <w:lvl w:ilvl="0" w:tplc="3A66DA5E">
      <w:start w:val="1"/>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66859"/>
    <w:multiLevelType w:val="multilevel"/>
    <w:tmpl w:val="1A4EA108"/>
    <w:lvl w:ilvl="0">
      <w:start w:val="1"/>
      <w:numFmt w:val="decimal"/>
      <w:pStyle w:val="Heading1"/>
      <w:lvlText w:val="%1."/>
      <w:lvlJc w:val="left"/>
      <w:pPr>
        <w:ind w:left="90" w:firstLine="0"/>
      </w:pPr>
      <w:rPr>
        <w:rFonts w:hint="default"/>
        <w:color w:val="1F497D" w:themeColor="text2"/>
      </w:rPr>
    </w:lvl>
    <w:lvl w:ilvl="1">
      <w:start w:val="1"/>
      <w:numFmt w:val="decimal"/>
      <w:pStyle w:val="Heading2"/>
      <w:lvlText w:val="%1.%2"/>
      <w:lvlJc w:val="left"/>
      <w:pPr>
        <w:tabs>
          <w:tab w:val="num" w:pos="90"/>
        </w:tabs>
        <w:ind w:left="90" w:firstLine="0"/>
      </w:pPr>
      <w:rPr>
        <w:rFonts w:hint="default"/>
        <w:color w:val="4F81BD" w:themeColor="accent1"/>
      </w:rPr>
    </w:lvl>
    <w:lvl w:ilvl="2">
      <w:start w:val="1"/>
      <w:numFmt w:val="decimal"/>
      <w:pStyle w:val="Heading3"/>
      <w:lvlText w:val="%1.%2.%3"/>
      <w:lvlJc w:val="left"/>
      <w:pPr>
        <w:tabs>
          <w:tab w:val="num" w:pos="1277"/>
        </w:tabs>
        <w:ind w:left="426" w:firstLine="0"/>
      </w:pPr>
      <w:rPr>
        <w:rFonts w:hint="default"/>
        <w:b/>
        <w:color w:val="4F81BD" w:themeColor="accent1"/>
      </w:rPr>
    </w:lvl>
    <w:lvl w:ilvl="3">
      <w:start w:val="1"/>
      <w:numFmt w:val="decimal"/>
      <w:lvlText w:val="%1.%2.%3.%4"/>
      <w:lvlJc w:val="left"/>
      <w:pPr>
        <w:tabs>
          <w:tab w:val="num" w:pos="7290"/>
        </w:tabs>
        <w:ind w:left="7290" w:hanging="720"/>
      </w:pPr>
      <w:rPr>
        <w:rFonts w:hint="default"/>
      </w:rPr>
    </w:lvl>
    <w:lvl w:ilvl="4">
      <w:start w:val="1"/>
      <w:numFmt w:val="decimal"/>
      <w:lvlText w:val="3.1.2.1.%5"/>
      <w:lvlJc w:val="left"/>
      <w:pPr>
        <w:tabs>
          <w:tab w:val="num" w:pos="9810"/>
        </w:tabs>
        <w:ind w:left="9810" w:hanging="1080"/>
      </w:pPr>
      <w:rPr>
        <w:rFonts w:hint="default"/>
      </w:rPr>
    </w:lvl>
    <w:lvl w:ilvl="5">
      <w:start w:val="1"/>
      <w:numFmt w:val="decimal"/>
      <w:lvlText w:val="%1.%2.%3.%4.%5.%6"/>
      <w:lvlJc w:val="left"/>
      <w:pPr>
        <w:tabs>
          <w:tab w:val="num" w:pos="11970"/>
        </w:tabs>
        <w:ind w:left="11970" w:hanging="1080"/>
      </w:pPr>
      <w:rPr>
        <w:rFonts w:hint="default"/>
      </w:rPr>
    </w:lvl>
    <w:lvl w:ilvl="6">
      <w:start w:val="1"/>
      <w:numFmt w:val="decimal"/>
      <w:lvlText w:val="%1.%2.%3.%4.%5.%6.%7"/>
      <w:lvlJc w:val="left"/>
      <w:pPr>
        <w:tabs>
          <w:tab w:val="num" w:pos="14490"/>
        </w:tabs>
        <w:ind w:left="14490" w:hanging="1440"/>
      </w:pPr>
      <w:rPr>
        <w:rFonts w:hint="default"/>
      </w:rPr>
    </w:lvl>
    <w:lvl w:ilvl="7">
      <w:start w:val="1"/>
      <w:numFmt w:val="decimal"/>
      <w:lvlText w:val="%1.%2.%3.%4.%5.%6.%7.%8"/>
      <w:lvlJc w:val="left"/>
      <w:pPr>
        <w:tabs>
          <w:tab w:val="num" w:pos="16650"/>
        </w:tabs>
        <w:ind w:left="16650" w:hanging="1440"/>
      </w:pPr>
      <w:rPr>
        <w:rFonts w:hint="default"/>
      </w:rPr>
    </w:lvl>
    <w:lvl w:ilvl="8">
      <w:start w:val="1"/>
      <w:numFmt w:val="decimal"/>
      <w:lvlText w:val="%1.%2.%3.%4.%5.%6.%7.%8.%9"/>
      <w:lvlJc w:val="left"/>
      <w:pPr>
        <w:tabs>
          <w:tab w:val="num" w:pos="19170"/>
        </w:tabs>
        <w:ind w:left="19170" w:hanging="1800"/>
      </w:pPr>
      <w:rPr>
        <w:rFonts w:hint="default"/>
      </w:rPr>
    </w:lvl>
  </w:abstractNum>
  <w:abstractNum w:abstractNumId="5">
    <w:nsid w:val="0BCB09C4"/>
    <w:multiLevelType w:val="hybridMultilevel"/>
    <w:tmpl w:val="4882162E"/>
    <w:lvl w:ilvl="0" w:tplc="D876B07E">
      <w:start w:val="1"/>
      <w:numFmt w:val="decimal"/>
      <w:lvlText w:val="%1."/>
      <w:lvlJc w:val="left"/>
      <w:pPr>
        <w:ind w:left="75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E394B95"/>
    <w:multiLevelType w:val="hybridMultilevel"/>
    <w:tmpl w:val="2792591C"/>
    <w:lvl w:ilvl="0" w:tplc="BB8A4312">
      <w:start w:val="1"/>
      <w:numFmt w:val="bullet"/>
      <w:pStyle w:val="Paragraph-bulletpoints2"/>
      <w:lvlText w:val="­"/>
      <w:lvlJc w:val="left"/>
      <w:pPr>
        <w:tabs>
          <w:tab w:val="num" w:pos="1440"/>
        </w:tabs>
        <w:ind w:left="144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2B14C1D"/>
    <w:multiLevelType w:val="hybridMultilevel"/>
    <w:tmpl w:val="4882162E"/>
    <w:lvl w:ilvl="0" w:tplc="D876B0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5FA3FFA"/>
    <w:multiLevelType w:val="hybridMultilevel"/>
    <w:tmpl w:val="01209B22"/>
    <w:lvl w:ilvl="0" w:tplc="AF865E9C">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nsid w:val="169E6A05"/>
    <w:multiLevelType w:val="hybridMultilevel"/>
    <w:tmpl w:val="4882162E"/>
    <w:lvl w:ilvl="0" w:tplc="D876B0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7705945"/>
    <w:multiLevelType w:val="hybridMultilevel"/>
    <w:tmpl w:val="7326F072"/>
    <w:lvl w:ilvl="0" w:tplc="CF7A35B4">
      <w:start w:val="1"/>
      <w:numFmt w:val="decimal"/>
      <w:pStyle w:val="Listnumber1"/>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7997579"/>
    <w:multiLevelType w:val="hybridMultilevel"/>
    <w:tmpl w:val="C3E857A2"/>
    <w:lvl w:ilvl="0" w:tplc="17487072">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7F5118"/>
    <w:multiLevelType w:val="hybridMultilevel"/>
    <w:tmpl w:val="04AA5698"/>
    <w:lvl w:ilvl="0" w:tplc="6896C3D8">
      <w:start w:val="1"/>
      <w:numFmt w:val="upperLetter"/>
      <w:pStyle w:val="Style3"/>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A101E23"/>
    <w:multiLevelType w:val="hybridMultilevel"/>
    <w:tmpl w:val="4F3C166E"/>
    <w:lvl w:ilvl="0" w:tplc="F344092C">
      <w:start w:val="4"/>
      <w:numFmt w:val="bullet"/>
      <w:lvlText w:val="-"/>
      <w:lvlJc w:val="left"/>
      <w:pPr>
        <w:ind w:left="1060" w:hanging="70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BD361A"/>
    <w:multiLevelType w:val="hybridMultilevel"/>
    <w:tmpl w:val="D160F030"/>
    <w:lvl w:ilvl="0" w:tplc="3BB042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D0DDB"/>
    <w:multiLevelType w:val="hybridMultilevel"/>
    <w:tmpl w:val="92F2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A97F11"/>
    <w:multiLevelType w:val="hybridMultilevel"/>
    <w:tmpl w:val="27E03604"/>
    <w:lvl w:ilvl="0" w:tplc="EBD26A8A">
      <w:start w:val="1"/>
      <w:numFmt w:val="bullet"/>
      <w:lvlText w:val="-"/>
      <w:lvlJc w:val="left"/>
      <w:pPr>
        <w:tabs>
          <w:tab w:val="num" w:pos="360"/>
        </w:tabs>
        <w:ind w:left="360" w:hanging="360"/>
      </w:pPr>
      <w:rPr>
        <w:rFonts w:ascii="Times New Roman" w:eastAsia="Times New Roman" w:hAnsi="Times New Roman" w:cs="Times New Roman" w:hint="default"/>
      </w:rPr>
    </w:lvl>
    <w:lvl w:ilvl="1" w:tplc="0809000F">
      <w:start w:val="1"/>
      <w:numFmt w:val="decimal"/>
      <w:lvlText w:val="%2."/>
      <w:lvlJc w:val="left"/>
      <w:pPr>
        <w:tabs>
          <w:tab w:val="num" w:pos="872"/>
        </w:tabs>
        <w:ind w:left="872" w:hanging="360"/>
      </w:pPr>
      <w:rPr>
        <w:rFonts w:hint="default"/>
      </w:rPr>
    </w:lvl>
    <w:lvl w:ilvl="2" w:tplc="9EA6F1B0">
      <w:start w:val="5"/>
      <w:numFmt w:val="upperLetter"/>
      <w:lvlText w:val="%3)"/>
      <w:lvlJc w:val="left"/>
      <w:pPr>
        <w:tabs>
          <w:tab w:val="num" w:pos="1952"/>
        </w:tabs>
        <w:ind w:left="1952" w:hanging="720"/>
      </w:pPr>
      <w:rPr>
        <w:rFonts w:hint="default"/>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cs="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cs="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17">
    <w:nsid w:val="208F4CE7"/>
    <w:multiLevelType w:val="multilevel"/>
    <w:tmpl w:val="C3B0DA46"/>
    <w:styleLink w:val="Bulletpoin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738523F"/>
    <w:multiLevelType w:val="hybridMultilevel"/>
    <w:tmpl w:val="6EB69D12"/>
    <w:lvl w:ilvl="0" w:tplc="BA086A5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9">
    <w:nsid w:val="2AF76E7A"/>
    <w:multiLevelType w:val="singleLevel"/>
    <w:tmpl w:val="C74C5A32"/>
    <w:name w:val="Bullet 1"/>
    <w:lvl w:ilvl="0">
      <w:start w:val="1"/>
      <w:numFmt w:val="bullet"/>
      <w:pStyle w:val="Bullet10"/>
      <w:lvlText w:val=""/>
      <w:lvlJc w:val="left"/>
      <w:pPr>
        <w:tabs>
          <w:tab w:val="num" w:pos="1417"/>
        </w:tabs>
        <w:ind w:left="1417" w:hanging="567"/>
      </w:pPr>
      <w:rPr>
        <w:rFonts w:ascii="Symbol" w:hAnsi="Symbol" w:hint="default"/>
      </w:rPr>
    </w:lvl>
  </w:abstractNum>
  <w:abstractNum w:abstractNumId="20">
    <w:nsid w:val="2BF22DB2"/>
    <w:multiLevelType w:val="hybridMultilevel"/>
    <w:tmpl w:val="6EB48572"/>
    <w:lvl w:ilvl="0" w:tplc="0256F160">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2F156777"/>
    <w:multiLevelType w:val="hybridMultilevel"/>
    <w:tmpl w:val="F574F1FA"/>
    <w:lvl w:ilvl="0" w:tplc="0809000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2FEE7017"/>
    <w:multiLevelType w:val="hybridMultilevel"/>
    <w:tmpl w:val="D26AB5AA"/>
    <w:lvl w:ilvl="0" w:tplc="B26AF9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72671"/>
    <w:multiLevelType w:val="hybridMultilevel"/>
    <w:tmpl w:val="EFDA4470"/>
    <w:lvl w:ilvl="0" w:tplc="3A66DA5E">
      <w:start w:val="1"/>
      <w:numFmt w:val="bullet"/>
      <w:lvlText w:val="-"/>
      <w:lvlJc w:val="left"/>
      <w:pPr>
        <w:ind w:left="720" w:hanging="360"/>
      </w:pPr>
      <w:rPr>
        <w:rFonts w:ascii="Verdana" w:eastAsia="Calibri" w:hAnsi="Verdana"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4526A07"/>
    <w:multiLevelType w:val="hybridMultilevel"/>
    <w:tmpl w:val="9AD8C572"/>
    <w:lvl w:ilvl="0" w:tplc="08090001">
      <w:numFmt w:val="bullet"/>
      <w:lvlText w:val="-"/>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4C36828"/>
    <w:multiLevelType w:val="hybridMultilevel"/>
    <w:tmpl w:val="439C26EE"/>
    <w:lvl w:ilvl="0" w:tplc="E42AC60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7ED37C1"/>
    <w:multiLevelType w:val="hybridMultilevel"/>
    <w:tmpl w:val="B68828F8"/>
    <w:lvl w:ilvl="0" w:tplc="7AB05240">
      <w:numFmt w:val="bullet"/>
      <w:lvlText w:val="-"/>
      <w:lvlJc w:val="left"/>
      <w:pPr>
        <w:ind w:left="360" w:hanging="360"/>
      </w:pPr>
      <w:rPr>
        <w:rFonts w:ascii="Calibri" w:eastAsia="Times New Roman"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3A7730C4"/>
    <w:multiLevelType w:val="singleLevel"/>
    <w:tmpl w:val="D0A6002C"/>
    <w:lvl w:ilvl="0">
      <w:start w:val="1"/>
      <w:numFmt w:val="bullet"/>
      <w:pStyle w:val="ListBullet21"/>
      <w:lvlText w:val=""/>
      <w:lvlJc w:val="left"/>
      <w:pPr>
        <w:tabs>
          <w:tab w:val="num" w:pos="765"/>
        </w:tabs>
        <w:ind w:left="765" w:hanging="283"/>
      </w:pPr>
      <w:rPr>
        <w:rFonts w:ascii="Symbol" w:hAnsi="Symbol"/>
      </w:rPr>
    </w:lvl>
  </w:abstractNum>
  <w:abstractNum w:abstractNumId="28">
    <w:nsid w:val="3EBE3C20"/>
    <w:multiLevelType w:val="hybridMultilevel"/>
    <w:tmpl w:val="CC0C824C"/>
    <w:lvl w:ilvl="0" w:tplc="1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1E39A0"/>
    <w:multiLevelType w:val="hybridMultilevel"/>
    <w:tmpl w:val="088069E0"/>
    <w:lvl w:ilvl="0" w:tplc="216ED4D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nsid w:val="434D24F1"/>
    <w:multiLevelType w:val="hybridMultilevel"/>
    <w:tmpl w:val="B6DEDB22"/>
    <w:lvl w:ilvl="0" w:tplc="2F8A3196">
      <w:start w:val="1"/>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1">
    <w:nsid w:val="443B45CD"/>
    <w:multiLevelType w:val="multilevel"/>
    <w:tmpl w:val="0407001D"/>
    <w:styleLink w:val="Bulletpoin"/>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463A576E"/>
    <w:multiLevelType w:val="hybridMultilevel"/>
    <w:tmpl w:val="088069E0"/>
    <w:lvl w:ilvl="0" w:tplc="216ED4D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nsid w:val="47787B57"/>
    <w:multiLevelType w:val="multilevel"/>
    <w:tmpl w:val="1FAA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8CC7761"/>
    <w:multiLevelType w:val="hybridMultilevel"/>
    <w:tmpl w:val="F3F0D306"/>
    <w:lvl w:ilvl="0" w:tplc="7A742FE6">
      <w:start w:val="1"/>
      <w:numFmt w:val="lowerLetter"/>
      <w:lvlText w:val="%1)"/>
      <w:lvlJc w:val="left"/>
      <w:pPr>
        <w:ind w:left="2278" w:hanging="360"/>
      </w:pPr>
    </w:lvl>
    <w:lvl w:ilvl="1" w:tplc="04070019">
      <w:start w:val="1"/>
      <w:numFmt w:val="lowerLetter"/>
      <w:lvlText w:val="%2."/>
      <w:lvlJc w:val="left"/>
      <w:pPr>
        <w:ind w:left="2998" w:hanging="360"/>
      </w:pPr>
    </w:lvl>
    <w:lvl w:ilvl="2" w:tplc="0407001B">
      <w:start w:val="1"/>
      <w:numFmt w:val="lowerRoman"/>
      <w:lvlText w:val="%3."/>
      <w:lvlJc w:val="right"/>
      <w:pPr>
        <w:ind w:left="3718" w:hanging="180"/>
      </w:pPr>
    </w:lvl>
    <w:lvl w:ilvl="3" w:tplc="0407000F">
      <w:start w:val="1"/>
      <w:numFmt w:val="decimal"/>
      <w:lvlText w:val="%4."/>
      <w:lvlJc w:val="left"/>
      <w:pPr>
        <w:ind w:left="4438" w:hanging="360"/>
      </w:pPr>
    </w:lvl>
    <w:lvl w:ilvl="4" w:tplc="04070019">
      <w:start w:val="1"/>
      <w:numFmt w:val="lowerLetter"/>
      <w:lvlText w:val="%5."/>
      <w:lvlJc w:val="left"/>
      <w:pPr>
        <w:ind w:left="5158" w:hanging="360"/>
      </w:pPr>
    </w:lvl>
    <w:lvl w:ilvl="5" w:tplc="0407001B">
      <w:start w:val="1"/>
      <w:numFmt w:val="lowerRoman"/>
      <w:lvlText w:val="%6."/>
      <w:lvlJc w:val="right"/>
      <w:pPr>
        <w:ind w:left="5878" w:hanging="180"/>
      </w:pPr>
    </w:lvl>
    <w:lvl w:ilvl="6" w:tplc="0407000F">
      <w:start w:val="1"/>
      <w:numFmt w:val="decimal"/>
      <w:lvlText w:val="%7."/>
      <w:lvlJc w:val="left"/>
      <w:pPr>
        <w:ind w:left="6598" w:hanging="360"/>
      </w:pPr>
    </w:lvl>
    <w:lvl w:ilvl="7" w:tplc="04070019">
      <w:start w:val="1"/>
      <w:numFmt w:val="lowerLetter"/>
      <w:lvlText w:val="%8."/>
      <w:lvlJc w:val="left"/>
      <w:pPr>
        <w:ind w:left="7318" w:hanging="360"/>
      </w:pPr>
    </w:lvl>
    <w:lvl w:ilvl="8" w:tplc="0407001B">
      <w:start w:val="1"/>
      <w:numFmt w:val="lowerRoman"/>
      <w:lvlText w:val="%9."/>
      <w:lvlJc w:val="right"/>
      <w:pPr>
        <w:ind w:left="8038" w:hanging="180"/>
      </w:pPr>
    </w:lvl>
  </w:abstractNum>
  <w:abstractNum w:abstractNumId="35">
    <w:nsid w:val="493E1590"/>
    <w:multiLevelType w:val="hybridMultilevel"/>
    <w:tmpl w:val="359ACE18"/>
    <w:lvl w:ilvl="0" w:tplc="278C99B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4E5F6A9B"/>
    <w:multiLevelType w:val="hybridMultilevel"/>
    <w:tmpl w:val="82707568"/>
    <w:lvl w:ilvl="0" w:tplc="9772682A">
      <w:start w:val="1"/>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37">
    <w:nsid w:val="516B3DB9"/>
    <w:multiLevelType w:val="hybridMultilevel"/>
    <w:tmpl w:val="6324B36C"/>
    <w:lvl w:ilvl="0" w:tplc="2C725C84">
      <w:start w:val="1"/>
      <w:numFmt w:val="upperLetter"/>
      <w:lvlText w:val="%1)"/>
      <w:lvlJc w:val="left"/>
      <w:pPr>
        <w:ind w:left="562" w:hanging="360"/>
      </w:pPr>
      <w:rPr>
        <w:rFonts w:hint="default"/>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38">
    <w:nsid w:val="56647B7C"/>
    <w:multiLevelType w:val="multilevel"/>
    <w:tmpl w:val="F87E7D7E"/>
    <w:lvl w:ilvl="0">
      <w:start w:val="1"/>
      <w:numFmt w:val="decimal"/>
      <w:pStyle w:val="AnnexHeading1"/>
      <w:suff w:val="nothing"/>
      <w:lvlText w:val="ANNEX %1: "/>
      <w:lvlJc w:val="left"/>
      <w:pPr>
        <w:ind w:left="6930" w:firstLine="0"/>
      </w:pPr>
      <w:rPr>
        <w:rFonts w:hint="default"/>
      </w:rPr>
    </w:lvl>
    <w:lvl w:ilvl="1">
      <w:start w:val="1"/>
      <w:numFmt w:val="decimal"/>
      <w:lvlText w:val="%1.%2"/>
      <w:lvlJc w:val="left"/>
      <w:pPr>
        <w:tabs>
          <w:tab w:val="num" w:pos="270"/>
        </w:tabs>
        <w:ind w:left="270" w:firstLine="0"/>
      </w:pPr>
      <w:rPr>
        <w:rFonts w:hint="default"/>
      </w:rPr>
    </w:lvl>
    <w:lvl w:ilvl="2">
      <w:start w:val="1"/>
      <w:numFmt w:val="decimal"/>
      <w:lvlText w:val="%1.%2.%3"/>
      <w:lvlJc w:val="left"/>
      <w:pPr>
        <w:tabs>
          <w:tab w:val="num" w:pos="1121"/>
        </w:tabs>
        <w:ind w:left="270" w:firstLine="0"/>
      </w:pPr>
      <w:rPr>
        <w:rFonts w:hint="default"/>
      </w:rPr>
    </w:lvl>
    <w:lvl w:ilvl="3">
      <w:start w:val="1"/>
      <w:numFmt w:val="decimal"/>
      <w:lvlText w:val="%1.%2.%3.%4"/>
      <w:lvlJc w:val="left"/>
      <w:pPr>
        <w:tabs>
          <w:tab w:val="num" w:pos="7470"/>
        </w:tabs>
        <w:ind w:left="7470" w:hanging="720"/>
      </w:pPr>
      <w:rPr>
        <w:rFonts w:hint="default"/>
      </w:rPr>
    </w:lvl>
    <w:lvl w:ilvl="4">
      <w:start w:val="1"/>
      <w:numFmt w:val="decimal"/>
      <w:lvlText w:val="3.1.2.1.%5"/>
      <w:lvlJc w:val="left"/>
      <w:pPr>
        <w:tabs>
          <w:tab w:val="num" w:pos="9990"/>
        </w:tabs>
        <w:ind w:left="9990" w:hanging="1080"/>
      </w:pPr>
      <w:rPr>
        <w:rFonts w:hint="default"/>
      </w:rPr>
    </w:lvl>
    <w:lvl w:ilvl="5">
      <w:start w:val="1"/>
      <w:numFmt w:val="decimal"/>
      <w:lvlText w:val="%1.%2.%3.%4.%5.%6"/>
      <w:lvlJc w:val="left"/>
      <w:pPr>
        <w:tabs>
          <w:tab w:val="num" w:pos="12150"/>
        </w:tabs>
        <w:ind w:left="12150" w:hanging="1080"/>
      </w:pPr>
      <w:rPr>
        <w:rFonts w:hint="default"/>
      </w:rPr>
    </w:lvl>
    <w:lvl w:ilvl="6">
      <w:start w:val="1"/>
      <w:numFmt w:val="decimal"/>
      <w:lvlText w:val="%1.%2.%3.%4.%5.%6.%7"/>
      <w:lvlJc w:val="left"/>
      <w:pPr>
        <w:tabs>
          <w:tab w:val="num" w:pos="14670"/>
        </w:tabs>
        <w:ind w:left="14670" w:hanging="1440"/>
      </w:pPr>
      <w:rPr>
        <w:rFonts w:hint="default"/>
      </w:rPr>
    </w:lvl>
    <w:lvl w:ilvl="7">
      <w:start w:val="1"/>
      <w:numFmt w:val="decimal"/>
      <w:lvlText w:val="%1.%2.%3.%4.%5.%6.%7.%8"/>
      <w:lvlJc w:val="left"/>
      <w:pPr>
        <w:tabs>
          <w:tab w:val="num" w:pos="16830"/>
        </w:tabs>
        <w:ind w:left="16830" w:hanging="1440"/>
      </w:pPr>
      <w:rPr>
        <w:rFonts w:hint="default"/>
      </w:rPr>
    </w:lvl>
    <w:lvl w:ilvl="8">
      <w:start w:val="1"/>
      <w:numFmt w:val="decimal"/>
      <w:lvlText w:val="%1.%2.%3.%4.%5.%6.%7.%8.%9"/>
      <w:lvlJc w:val="left"/>
      <w:pPr>
        <w:tabs>
          <w:tab w:val="num" w:pos="19350"/>
        </w:tabs>
        <w:ind w:left="19350" w:hanging="1800"/>
      </w:pPr>
      <w:rPr>
        <w:rFonts w:hint="default"/>
      </w:rPr>
    </w:lvl>
  </w:abstractNum>
  <w:abstractNum w:abstractNumId="39">
    <w:nsid w:val="5835274B"/>
    <w:multiLevelType w:val="multilevel"/>
    <w:tmpl w:val="0407001D"/>
    <w:styleLink w:val="Formatvorlage1"/>
    <w:lvl w:ilvl="0">
      <w:start w:val="1"/>
      <w:numFmt w:val="decimal"/>
      <w:lvlText w:val="%1)"/>
      <w:lvlJc w:val="left"/>
      <w:pPr>
        <w:tabs>
          <w:tab w:val="num" w:pos="360"/>
        </w:tabs>
        <w:ind w:left="360" w:hanging="360"/>
      </w:pPr>
      <w:rPr>
        <w:rFonts w:ascii="Arial" w:hAnsi="Arial" w:cs="Times New Roman"/>
        <w:b/>
        <w:sz w:val="28"/>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nsid w:val="5C044720"/>
    <w:multiLevelType w:val="hybridMultilevel"/>
    <w:tmpl w:val="9D1220D2"/>
    <w:lvl w:ilvl="0" w:tplc="86CCD0FA">
      <w:start w:val="1"/>
      <w:numFmt w:val="upperLetter"/>
      <w:pStyle w:val="Style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B064A8"/>
    <w:multiLevelType w:val="multilevel"/>
    <w:tmpl w:val="CFE0477E"/>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33545ED"/>
    <w:multiLevelType w:val="multilevel"/>
    <w:tmpl w:val="96CE08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3AC0BD4"/>
    <w:multiLevelType w:val="hybridMultilevel"/>
    <w:tmpl w:val="F3F4974C"/>
    <w:lvl w:ilvl="0" w:tplc="B26AF98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63FF6C35"/>
    <w:multiLevelType w:val="hybridMultilevel"/>
    <w:tmpl w:val="60146EA2"/>
    <w:lvl w:ilvl="0" w:tplc="1758E7AA">
      <w:start w:val="1"/>
      <w:numFmt w:val="lowerRoman"/>
      <w:lvlText w:val="(%1)"/>
      <w:lvlJc w:val="left"/>
      <w:pPr>
        <w:ind w:left="1080" w:hanging="720"/>
      </w:pPr>
    </w:lvl>
    <w:lvl w:ilvl="1" w:tplc="B1604E64">
      <w:numFmt w:val="bullet"/>
      <w:lvlText w:val="•"/>
      <w:lvlJc w:val="left"/>
      <w:pPr>
        <w:ind w:left="1800" w:hanging="72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5">
    <w:nsid w:val="641F3970"/>
    <w:multiLevelType w:val="hybridMultilevel"/>
    <w:tmpl w:val="4882162E"/>
    <w:lvl w:ilvl="0" w:tplc="D876B07E">
      <w:start w:val="1"/>
      <w:numFmt w:val="decimal"/>
      <w:lvlText w:val="%1."/>
      <w:lvlJc w:val="left"/>
      <w:pPr>
        <w:ind w:left="75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66162168"/>
    <w:multiLevelType w:val="hybridMultilevel"/>
    <w:tmpl w:val="F37C5BD2"/>
    <w:lvl w:ilvl="0" w:tplc="08090001">
      <w:numFmt w:val="bullet"/>
      <w:lvlText w:val="-"/>
      <w:lvlJc w:val="left"/>
      <w:pPr>
        <w:tabs>
          <w:tab w:val="num" w:pos="0"/>
        </w:tabs>
        <w:ind w:left="0" w:firstLine="0"/>
      </w:pPr>
      <w:rPr>
        <w:rFonts w:ascii="Courier New" w:hAnsi="Courier New" w:hint="default"/>
      </w:rPr>
    </w:lvl>
    <w:lvl w:ilvl="1" w:tplc="ECA4D984">
      <w:start w:val="1"/>
      <w:numFmt w:val="bullet"/>
      <w:pStyle w:val="ListBullet31"/>
      <w:lvlText w:val=""/>
      <w:lvlJc w:val="left"/>
      <w:pPr>
        <w:tabs>
          <w:tab w:val="num" w:pos="1440"/>
        </w:tabs>
        <w:ind w:left="1440" w:hanging="360"/>
      </w:pPr>
      <w:rPr>
        <w:rFonts w:ascii="Wingdings" w:hAnsi="Wingdings" w:hint="default"/>
        <w:sz w:val="18"/>
        <w:szCs w:val="18"/>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667F5F7C"/>
    <w:multiLevelType w:val="hybridMultilevel"/>
    <w:tmpl w:val="D152F038"/>
    <w:lvl w:ilvl="0" w:tplc="3F201DCA">
      <w:start w:val="1"/>
      <w:numFmt w:val="bullet"/>
      <w:pStyle w:val="Hintstipslistbullet"/>
      <w:lvlText w:val=""/>
      <w:lvlJc w:val="left"/>
      <w:pPr>
        <w:tabs>
          <w:tab w:val="num" w:pos="283"/>
        </w:tabs>
        <w:ind w:left="283" w:hanging="283"/>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9">
    <w:nsid w:val="70E135BF"/>
    <w:multiLevelType w:val="hybridMultilevel"/>
    <w:tmpl w:val="088069E0"/>
    <w:lvl w:ilvl="0" w:tplc="216ED4D0">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0">
    <w:nsid w:val="75365A7F"/>
    <w:multiLevelType w:val="hybridMultilevel"/>
    <w:tmpl w:val="FD7ADCFE"/>
    <w:lvl w:ilvl="0" w:tplc="762CD556">
      <w:start w:val="1"/>
      <w:numFmt w:val="bullet"/>
      <w:lvlText w:val="-"/>
      <w:lvlJc w:val="left"/>
      <w:pPr>
        <w:tabs>
          <w:tab w:val="num" w:pos="360"/>
        </w:tabs>
        <w:ind w:left="360" w:hanging="360"/>
      </w:pPr>
      <w:rPr>
        <w:rFonts w:ascii="Times New Roman" w:eastAsia="Times New Roman" w:hAnsi="Times New Roman"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1">
    <w:nsid w:val="762B1A46"/>
    <w:multiLevelType w:val="hybridMultilevel"/>
    <w:tmpl w:val="D10072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77F241FB"/>
    <w:multiLevelType w:val="hybridMultilevel"/>
    <w:tmpl w:val="F95E16F0"/>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53">
    <w:nsid w:val="797D03C7"/>
    <w:multiLevelType w:val="hybridMultilevel"/>
    <w:tmpl w:val="4882162E"/>
    <w:lvl w:ilvl="0" w:tplc="D876B07E">
      <w:start w:val="1"/>
      <w:numFmt w:val="decimal"/>
      <w:lvlText w:val="%1."/>
      <w:lvlJc w:val="left"/>
      <w:pPr>
        <w:ind w:left="75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4">
    <w:nsid w:val="7BE95D7F"/>
    <w:multiLevelType w:val="multilevel"/>
    <w:tmpl w:val="F126F78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46"/>
  </w:num>
  <w:num w:numId="2">
    <w:abstractNumId w:val="27"/>
  </w:num>
  <w:num w:numId="3">
    <w:abstractNumId w:val="48"/>
  </w:num>
  <w:num w:numId="4">
    <w:abstractNumId w:val="10"/>
  </w:num>
  <w:num w:numId="5">
    <w:abstractNumId w:val="4"/>
  </w:num>
  <w:num w:numId="6">
    <w:abstractNumId w:val="47"/>
  </w:num>
  <w:num w:numId="7">
    <w:abstractNumId w:val="38"/>
  </w:num>
  <w:num w:numId="8">
    <w:abstractNumId w:val="17"/>
  </w:num>
  <w:num w:numId="9">
    <w:abstractNumId w:val="39"/>
  </w:num>
  <w:num w:numId="10">
    <w:abstractNumId w:val="31"/>
  </w:num>
  <w:num w:numId="11">
    <w:abstractNumId w:val="6"/>
  </w:num>
  <w:num w:numId="12">
    <w:abstractNumId w:val="35"/>
  </w:num>
  <w:num w:numId="13">
    <w:abstractNumId w:val="1"/>
  </w:num>
  <w:num w:numId="1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32"/>
  </w:num>
  <w:num w:numId="17">
    <w:abstractNumId w:val="49"/>
  </w:num>
  <w:num w:numId="18">
    <w:abstractNumId w:val="29"/>
  </w:num>
  <w:num w:numId="19">
    <w:abstractNumId w:val="40"/>
  </w:num>
  <w:num w:numId="20">
    <w:abstractNumId w:val="12"/>
  </w:num>
  <w:num w:numId="21">
    <w:abstractNumId w:val="3"/>
  </w:num>
  <w:num w:numId="22">
    <w:abstractNumId w:val="7"/>
  </w:num>
  <w:num w:numId="23">
    <w:abstractNumId w:val="43"/>
  </w:num>
  <w:num w:numId="24">
    <w:abstractNumId w:val="4"/>
    <w:lvlOverride w:ilvl="0">
      <w:startOverride w:val="1"/>
    </w:lvlOverride>
  </w:num>
  <w:num w:numId="25">
    <w:abstractNumId w:val="13"/>
  </w:num>
  <w:num w:numId="26">
    <w:abstractNumId w:val="2"/>
  </w:num>
  <w:num w:numId="27">
    <w:abstractNumId w:val="37"/>
  </w:num>
  <w:num w:numId="28">
    <w:abstractNumId w:val="52"/>
  </w:num>
  <w:num w:numId="29">
    <w:abstractNumId w:val="11"/>
  </w:num>
  <w:num w:numId="30">
    <w:abstractNumId w:val="20"/>
  </w:num>
  <w:num w:numId="31">
    <w:abstractNumId w:val="51"/>
  </w:num>
  <w:num w:numId="32">
    <w:abstractNumId w:val="41"/>
  </w:num>
  <w:num w:numId="33">
    <w:abstractNumId w:val="33"/>
  </w:num>
  <w:num w:numId="34">
    <w:abstractNumId w:val="42"/>
    <w:lvlOverride w:ilvl="0">
      <w:startOverride w:val="1"/>
    </w:lvlOverride>
  </w:num>
  <w:num w:numId="35">
    <w:abstractNumId w:val="42"/>
  </w:num>
  <w:num w:numId="36">
    <w:abstractNumId w:val="23"/>
  </w:num>
  <w:num w:numId="37">
    <w:abstractNumId w:val="18"/>
  </w:num>
  <w:num w:numId="38">
    <w:abstractNumId w:val="30"/>
  </w:num>
  <w:num w:numId="39">
    <w:abstractNumId w:val="8"/>
  </w:num>
  <w:num w:numId="40">
    <w:abstractNumId w:val="50"/>
  </w:num>
  <w:num w:numId="41">
    <w:abstractNumId w:val="36"/>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lvlOverride w:ilvl="1">
      <w:startOverride w:val="1"/>
    </w:lvlOverride>
    <w:lvlOverride w:ilvl="2">
      <w:startOverride w:val="5"/>
    </w:lvlOverride>
    <w:lvlOverride w:ilvl="3"/>
    <w:lvlOverride w:ilvl="4"/>
    <w:lvlOverride w:ilvl="5"/>
    <w:lvlOverride w:ilvl="6"/>
    <w:lvlOverride w:ilvl="7"/>
    <w:lvlOverride w:ilvl="8"/>
  </w:num>
  <w:num w:numId="44">
    <w:abstractNumId w:val="24"/>
  </w:num>
  <w:num w:numId="45">
    <w:abstractNumId w:val="21"/>
  </w:num>
  <w:num w:numId="4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22"/>
  </w:num>
  <w:num w:numId="51">
    <w:abstractNumId w:val="9"/>
  </w:num>
  <w:num w:numId="52">
    <w:abstractNumId w:val="53"/>
  </w:num>
  <w:num w:numId="53">
    <w:abstractNumId w:val="5"/>
  </w:num>
  <w:num w:numId="54">
    <w:abstractNumId w:val="45"/>
  </w:num>
  <w:num w:numId="55">
    <w:abstractNumId w:val="25"/>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26"/>
  </w:num>
  <w:num w:numId="6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B4"/>
    <w:rsid w:val="000008A5"/>
    <w:rsid w:val="00000A4B"/>
    <w:rsid w:val="0000117C"/>
    <w:rsid w:val="00001459"/>
    <w:rsid w:val="0000310B"/>
    <w:rsid w:val="00004409"/>
    <w:rsid w:val="000048B2"/>
    <w:rsid w:val="00005CB4"/>
    <w:rsid w:val="000079F2"/>
    <w:rsid w:val="000104E9"/>
    <w:rsid w:val="00010B26"/>
    <w:rsid w:val="00012120"/>
    <w:rsid w:val="00014019"/>
    <w:rsid w:val="000159A1"/>
    <w:rsid w:val="00016A74"/>
    <w:rsid w:val="0001767D"/>
    <w:rsid w:val="00017A18"/>
    <w:rsid w:val="00017C39"/>
    <w:rsid w:val="00020F58"/>
    <w:rsid w:val="00021884"/>
    <w:rsid w:val="000226C3"/>
    <w:rsid w:val="0002292B"/>
    <w:rsid w:val="00022CB6"/>
    <w:rsid w:val="0002326A"/>
    <w:rsid w:val="000239D7"/>
    <w:rsid w:val="00024599"/>
    <w:rsid w:val="00024EA8"/>
    <w:rsid w:val="00025640"/>
    <w:rsid w:val="0002640A"/>
    <w:rsid w:val="000304DA"/>
    <w:rsid w:val="00030A38"/>
    <w:rsid w:val="00030EDD"/>
    <w:rsid w:val="00035466"/>
    <w:rsid w:val="00036DBB"/>
    <w:rsid w:val="0004093D"/>
    <w:rsid w:val="00041443"/>
    <w:rsid w:val="00042BA9"/>
    <w:rsid w:val="00042FAE"/>
    <w:rsid w:val="00042FCD"/>
    <w:rsid w:val="000434B6"/>
    <w:rsid w:val="000441C3"/>
    <w:rsid w:val="00045496"/>
    <w:rsid w:val="000457A2"/>
    <w:rsid w:val="00045F54"/>
    <w:rsid w:val="00046E77"/>
    <w:rsid w:val="000477E3"/>
    <w:rsid w:val="000508C6"/>
    <w:rsid w:val="00050BF4"/>
    <w:rsid w:val="00051124"/>
    <w:rsid w:val="00051425"/>
    <w:rsid w:val="0005193F"/>
    <w:rsid w:val="00052A39"/>
    <w:rsid w:val="000538C0"/>
    <w:rsid w:val="00053B6F"/>
    <w:rsid w:val="00053BCF"/>
    <w:rsid w:val="00054EBC"/>
    <w:rsid w:val="00054FCB"/>
    <w:rsid w:val="00055451"/>
    <w:rsid w:val="00055997"/>
    <w:rsid w:val="0005613F"/>
    <w:rsid w:val="000563C4"/>
    <w:rsid w:val="000567CD"/>
    <w:rsid w:val="000570B6"/>
    <w:rsid w:val="0005716C"/>
    <w:rsid w:val="000625F2"/>
    <w:rsid w:val="00063464"/>
    <w:rsid w:val="00063AC0"/>
    <w:rsid w:val="00063CD7"/>
    <w:rsid w:val="0006402F"/>
    <w:rsid w:val="00064840"/>
    <w:rsid w:val="00064B86"/>
    <w:rsid w:val="0006617D"/>
    <w:rsid w:val="00066B60"/>
    <w:rsid w:val="00066C70"/>
    <w:rsid w:val="00067318"/>
    <w:rsid w:val="00067CBF"/>
    <w:rsid w:val="0007084E"/>
    <w:rsid w:val="000708A7"/>
    <w:rsid w:val="00070F6D"/>
    <w:rsid w:val="000710CF"/>
    <w:rsid w:val="00072440"/>
    <w:rsid w:val="00072E72"/>
    <w:rsid w:val="00073462"/>
    <w:rsid w:val="00073B4E"/>
    <w:rsid w:val="0007434E"/>
    <w:rsid w:val="000753CF"/>
    <w:rsid w:val="000762D9"/>
    <w:rsid w:val="0008002A"/>
    <w:rsid w:val="00080404"/>
    <w:rsid w:val="00080613"/>
    <w:rsid w:val="000806D5"/>
    <w:rsid w:val="00080A97"/>
    <w:rsid w:val="000811F7"/>
    <w:rsid w:val="00082A9E"/>
    <w:rsid w:val="00083669"/>
    <w:rsid w:val="00083A4B"/>
    <w:rsid w:val="00083C1C"/>
    <w:rsid w:val="00083E7B"/>
    <w:rsid w:val="000842B4"/>
    <w:rsid w:val="00084B4E"/>
    <w:rsid w:val="0008523F"/>
    <w:rsid w:val="000867D4"/>
    <w:rsid w:val="00086E2E"/>
    <w:rsid w:val="000877C8"/>
    <w:rsid w:val="000909A4"/>
    <w:rsid w:val="00090EEA"/>
    <w:rsid w:val="00090F52"/>
    <w:rsid w:val="00091004"/>
    <w:rsid w:val="00091697"/>
    <w:rsid w:val="00091D6F"/>
    <w:rsid w:val="00092EDA"/>
    <w:rsid w:val="000942B1"/>
    <w:rsid w:val="000950DB"/>
    <w:rsid w:val="0009728A"/>
    <w:rsid w:val="000A0C9B"/>
    <w:rsid w:val="000A1963"/>
    <w:rsid w:val="000A3715"/>
    <w:rsid w:val="000A3DBA"/>
    <w:rsid w:val="000A42DE"/>
    <w:rsid w:val="000A4EC4"/>
    <w:rsid w:val="000A4FFF"/>
    <w:rsid w:val="000B1657"/>
    <w:rsid w:val="000B16D1"/>
    <w:rsid w:val="000B22CF"/>
    <w:rsid w:val="000B2414"/>
    <w:rsid w:val="000B2BDC"/>
    <w:rsid w:val="000B4530"/>
    <w:rsid w:val="000B5097"/>
    <w:rsid w:val="000B5D2E"/>
    <w:rsid w:val="000B673E"/>
    <w:rsid w:val="000B71AB"/>
    <w:rsid w:val="000C0F51"/>
    <w:rsid w:val="000C18AC"/>
    <w:rsid w:val="000C1AB3"/>
    <w:rsid w:val="000C2452"/>
    <w:rsid w:val="000C3385"/>
    <w:rsid w:val="000C3650"/>
    <w:rsid w:val="000C37E7"/>
    <w:rsid w:val="000C3AE8"/>
    <w:rsid w:val="000C3E30"/>
    <w:rsid w:val="000C4663"/>
    <w:rsid w:val="000C6563"/>
    <w:rsid w:val="000C78A7"/>
    <w:rsid w:val="000D0661"/>
    <w:rsid w:val="000D066A"/>
    <w:rsid w:val="000D076F"/>
    <w:rsid w:val="000D0E9D"/>
    <w:rsid w:val="000D100E"/>
    <w:rsid w:val="000D1213"/>
    <w:rsid w:val="000D155C"/>
    <w:rsid w:val="000D1824"/>
    <w:rsid w:val="000D1F9E"/>
    <w:rsid w:val="000D23ED"/>
    <w:rsid w:val="000D2B1E"/>
    <w:rsid w:val="000D3391"/>
    <w:rsid w:val="000D35E2"/>
    <w:rsid w:val="000D3CF0"/>
    <w:rsid w:val="000D3F5A"/>
    <w:rsid w:val="000D3FEF"/>
    <w:rsid w:val="000D44E9"/>
    <w:rsid w:val="000D5132"/>
    <w:rsid w:val="000D61C4"/>
    <w:rsid w:val="000D7CC9"/>
    <w:rsid w:val="000D7DDB"/>
    <w:rsid w:val="000E21C4"/>
    <w:rsid w:val="000E28F6"/>
    <w:rsid w:val="000E343D"/>
    <w:rsid w:val="000E3B76"/>
    <w:rsid w:val="000E4DF6"/>
    <w:rsid w:val="000E5099"/>
    <w:rsid w:val="000E554E"/>
    <w:rsid w:val="000E5ABD"/>
    <w:rsid w:val="000E5B56"/>
    <w:rsid w:val="000E5E33"/>
    <w:rsid w:val="000E630C"/>
    <w:rsid w:val="000E6E65"/>
    <w:rsid w:val="000E73BB"/>
    <w:rsid w:val="000E753D"/>
    <w:rsid w:val="000E797C"/>
    <w:rsid w:val="000E7D89"/>
    <w:rsid w:val="000F0584"/>
    <w:rsid w:val="001013B8"/>
    <w:rsid w:val="0010273A"/>
    <w:rsid w:val="00102C4C"/>
    <w:rsid w:val="001037DD"/>
    <w:rsid w:val="001039D1"/>
    <w:rsid w:val="0010438A"/>
    <w:rsid w:val="00104A82"/>
    <w:rsid w:val="00104FEE"/>
    <w:rsid w:val="00106A98"/>
    <w:rsid w:val="001104FF"/>
    <w:rsid w:val="00110EC8"/>
    <w:rsid w:val="00111F5E"/>
    <w:rsid w:val="00113D8A"/>
    <w:rsid w:val="00114C79"/>
    <w:rsid w:val="001155C9"/>
    <w:rsid w:val="001163AB"/>
    <w:rsid w:val="00116828"/>
    <w:rsid w:val="00117C24"/>
    <w:rsid w:val="00117E48"/>
    <w:rsid w:val="00120F2D"/>
    <w:rsid w:val="00121004"/>
    <w:rsid w:val="001210D2"/>
    <w:rsid w:val="00121ED8"/>
    <w:rsid w:val="0012350C"/>
    <w:rsid w:val="00123A69"/>
    <w:rsid w:val="00126032"/>
    <w:rsid w:val="001269A6"/>
    <w:rsid w:val="00126C6C"/>
    <w:rsid w:val="001272CE"/>
    <w:rsid w:val="001272EB"/>
    <w:rsid w:val="00127337"/>
    <w:rsid w:val="001305A4"/>
    <w:rsid w:val="001311EB"/>
    <w:rsid w:val="00133A17"/>
    <w:rsid w:val="00133C49"/>
    <w:rsid w:val="0013664F"/>
    <w:rsid w:val="00140607"/>
    <w:rsid w:val="001407BF"/>
    <w:rsid w:val="00140E2F"/>
    <w:rsid w:val="00141973"/>
    <w:rsid w:val="00142513"/>
    <w:rsid w:val="0014293E"/>
    <w:rsid w:val="00142F11"/>
    <w:rsid w:val="0014341D"/>
    <w:rsid w:val="0014478F"/>
    <w:rsid w:val="00144E4E"/>
    <w:rsid w:val="00145704"/>
    <w:rsid w:val="00145CF3"/>
    <w:rsid w:val="0014654C"/>
    <w:rsid w:val="00146A16"/>
    <w:rsid w:val="00146EAB"/>
    <w:rsid w:val="001474BA"/>
    <w:rsid w:val="00147CB3"/>
    <w:rsid w:val="00147E64"/>
    <w:rsid w:val="00150FB4"/>
    <w:rsid w:val="0015156F"/>
    <w:rsid w:val="00151617"/>
    <w:rsid w:val="00151805"/>
    <w:rsid w:val="00151BC1"/>
    <w:rsid w:val="001548F5"/>
    <w:rsid w:val="00154D7B"/>
    <w:rsid w:val="0015670C"/>
    <w:rsid w:val="00156A93"/>
    <w:rsid w:val="00156CE8"/>
    <w:rsid w:val="00157205"/>
    <w:rsid w:val="00160652"/>
    <w:rsid w:val="0016163F"/>
    <w:rsid w:val="00161E4E"/>
    <w:rsid w:val="00164044"/>
    <w:rsid w:val="00164D0F"/>
    <w:rsid w:val="00165271"/>
    <w:rsid w:val="001666C9"/>
    <w:rsid w:val="00170467"/>
    <w:rsid w:val="00170A71"/>
    <w:rsid w:val="00170BB8"/>
    <w:rsid w:val="001726B6"/>
    <w:rsid w:val="00173F15"/>
    <w:rsid w:val="00174BEA"/>
    <w:rsid w:val="0017513A"/>
    <w:rsid w:val="001757E8"/>
    <w:rsid w:val="00175C9B"/>
    <w:rsid w:val="00176B7C"/>
    <w:rsid w:val="00180CDD"/>
    <w:rsid w:val="00180F1F"/>
    <w:rsid w:val="00181CDE"/>
    <w:rsid w:val="00181F18"/>
    <w:rsid w:val="0018382F"/>
    <w:rsid w:val="00184279"/>
    <w:rsid w:val="00184D8D"/>
    <w:rsid w:val="00185CB3"/>
    <w:rsid w:val="001861F8"/>
    <w:rsid w:val="001878D4"/>
    <w:rsid w:val="0019108B"/>
    <w:rsid w:val="0019205F"/>
    <w:rsid w:val="0019271F"/>
    <w:rsid w:val="00192E9E"/>
    <w:rsid w:val="00193158"/>
    <w:rsid w:val="00194C92"/>
    <w:rsid w:val="00196477"/>
    <w:rsid w:val="001964D8"/>
    <w:rsid w:val="001973ED"/>
    <w:rsid w:val="001A004D"/>
    <w:rsid w:val="001A11B2"/>
    <w:rsid w:val="001A2435"/>
    <w:rsid w:val="001A28BC"/>
    <w:rsid w:val="001A34CD"/>
    <w:rsid w:val="001A4C23"/>
    <w:rsid w:val="001A541B"/>
    <w:rsid w:val="001A5BCB"/>
    <w:rsid w:val="001A5CDF"/>
    <w:rsid w:val="001A7191"/>
    <w:rsid w:val="001A7CA4"/>
    <w:rsid w:val="001B08A3"/>
    <w:rsid w:val="001B0912"/>
    <w:rsid w:val="001B1665"/>
    <w:rsid w:val="001B4BA8"/>
    <w:rsid w:val="001B5A4B"/>
    <w:rsid w:val="001B61D2"/>
    <w:rsid w:val="001B6B36"/>
    <w:rsid w:val="001B6DC0"/>
    <w:rsid w:val="001B72B7"/>
    <w:rsid w:val="001C0255"/>
    <w:rsid w:val="001C0419"/>
    <w:rsid w:val="001C2F8F"/>
    <w:rsid w:val="001C3ACF"/>
    <w:rsid w:val="001C63C3"/>
    <w:rsid w:val="001C64B1"/>
    <w:rsid w:val="001C68B9"/>
    <w:rsid w:val="001C746D"/>
    <w:rsid w:val="001D04C0"/>
    <w:rsid w:val="001D0C39"/>
    <w:rsid w:val="001D0D84"/>
    <w:rsid w:val="001D106F"/>
    <w:rsid w:val="001D14B4"/>
    <w:rsid w:val="001D1A58"/>
    <w:rsid w:val="001D2489"/>
    <w:rsid w:val="001D49DF"/>
    <w:rsid w:val="001D4C3B"/>
    <w:rsid w:val="001D52DC"/>
    <w:rsid w:val="001D5E54"/>
    <w:rsid w:val="001D77B8"/>
    <w:rsid w:val="001E02A7"/>
    <w:rsid w:val="001E04B9"/>
    <w:rsid w:val="001E04D5"/>
    <w:rsid w:val="001E0FA2"/>
    <w:rsid w:val="001E1062"/>
    <w:rsid w:val="001E1526"/>
    <w:rsid w:val="001E187A"/>
    <w:rsid w:val="001E1AC7"/>
    <w:rsid w:val="001E1CCA"/>
    <w:rsid w:val="001E3B4D"/>
    <w:rsid w:val="001E4532"/>
    <w:rsid w:val="001E46DF"/>
    <w:rsid w:val="001E4834"/>
    <w:rsid w:val="001E4BC5"/>
    <w:rsid w:val="001E5DA3"/>
    <w:rsid w:val="001E60AB"/>
    <w:rsid w:val="001E6E97"/>
    <w:rsid w:val="001E71D5"/>
    <w:rsid w:val="001E7667"/>
    <w:rsid w:val="001F15AD"/>
    <w:rsid w:val="001F2F9E"/>
    <w:rsid w:val="001F317B"/>
    <w:rsid w:val="001F3F28"/>
    <w:rsid w:val="001F4D3C"/>
    <w:rsid w:val="001F5F5C"/>
    <w:rsid w:val="001F6927"/>
    <w:rsid w:val="001F70F2"/>
    <w:rsid w:val="0020011A"/>
    <w:rsid w:val="0020016B"/>
    <w:rsid w:val="0020056D"/>
    <w:rsid w:val="00200BFC"/>
    <w:rsid w:val="002011B3"/>
    <w:rsid w:val="0020395A"/>
    <w:rsid w:val="00204ECE"/>
    <w:rsid w:val="002065CF"/>
    <w:rsid w:val="00206FF6"/>
    <w:rsid w:val="00207B59"/>
    <w:rsid w:val="00207CFE"/>
    <w:rsid w:val="0021092A"/>
    <w:rsid w:val="0021147D"/>
    <w:rsid w:val="00214ACE"/>
    <w:rsid w:val="0021507F"/>
    <w:rsid w:val="002157B6"/>
    <w:rsid w:val="00215D98"/>
    <w:rsid w:val="002165C7"/>
    <w:rsid w:val="00216E84"/>
    <w:rsid w:val="0021711A"/>
    <w:rsid w:val="00221DDA"/>
    <w:rsid w:val="00222EA4"/>
    <w:rsid w:val="002233A2"/>
    <w:rsid w:val="002233F9"/>
    <w:rsid w:val="002237C3"/>
    <w:rsid w:val="00223D8B"/>
    <w:rsid w:val="002241FB"/>
    <w:rsid w:val="002242A5"/>
    <w:rsid w:val="002244CF"/>
    <w:rsid w:val="0022480B"/>
    <w:rsid w:val="00226A0E"/>
    <w:rsid w:val="00226D9F"/>
    <w:rsid w:val="00227898"/>
    <w:rsid w:val="002304E8"/>
    <w:rsid w:val="00230A8F"/>
    <w:rsid w:val="00230E99"/>
    <w:rsid w:val="002314A3"/>
    <w:rsid w:val="002316F5"/>
    <w:rsid w:val="0023321E"/>
    <w:rsid w:val="00233F6A"/>
    <w:rsid w:val="002359F5"/>
    <w:rsid w:val="00235A6A"/>
    <w:rsid w:val="00236FD6"/>
    <w:rsid w:val="00241C9E"/>
    <w:rsid w:val="00241CAC"/>
    <w:rsid w:val="002427B9"/>
    <w:rsid w:val="0024305A"/>
    <w:rsid w:val="00243B5D"/>
    <w:rsid w:val="00244214"/>
    <w:rsid w:val="00245284"/>
    <w:rsid w:val="0024638B"/>
    <w:rsid w:val="00251DC0"/>
    <w:rsid w:val="00252267"/>
    <w:rsid w:val="0025290A"/>
    <w:rsid w:val="00252BC2"/>
    <w:rsid w:val="00253358"/>
    <w:rsid w:val="0025377A"/>
    <w:rsid w:val="00253F4F"/>
    <w:rsid w:val="002540BE"/>
    <w:rsid w:val="0025478E"/>
    <w:rsid w:val="00254984"/>
    <w:rsid w:val="00254CBE"/>
    <w:rsid w:val="00254EED"/>
    <w:rsid w:val="00255524"/>
    <w:rsid w:val="00255903"/>
    <w:rsid w:val="002560D0"/>
    <w:rsid w:val="00256779"/>
    <w:rsid w:val="00256B8D"/>
    <w:rsid w:val="00257D34"/>
    <w:rsid w:val="00261471"/>
    <w:rsid w:val="00261E73"/>
    <w:rsid w:val="00262044"/>
    <w:rsid w:val="00262C7E"/>
    <w:rsid w:val="002633E9"/>
    <w:rsid w:val="00264266"/>
    <w:rsid w:val="0026473B"/>
    <w:rsid w:val="002650DA"/>
    <w:rsid w:val="00265126"/>
    <w:rsid w:val="00265AB3"/>
    <w:rsid w:val="0026702C"/>
    <w:rsid w:val="002672D8"/>
    <w:rsid w:val="002714CF"/>
    <w:rsid w:val="002715BC"/>
    <w:rsid w:val="0027167E"/>
    <w:rsid w:val="002717E7"/>
    <w:rsid w:val="00271A0A"/>
    <w:rsid w:val="002723EE"/>
    <w:rsid w:val="00272614"/>
    <w:rsid w:val="00273670"/>
    <w:rsid w:val="00273E3E"/>
    <w:rsid w:val="0027435D"/>
    <w:rsid w:val="00276209"/>
    <w:rsid w:val="0027646E"/>
    <w:rsid w:val="00276C18"/>
    <w:rsid w:val="0027778F"/>
    <w:rsid w:val="00277B71"/>
    <w:rsid w:val="00281F38"/>
    <w:rsid w:val="00283E9D"/>
    <w:rsid w:val="00285364"/>
    <w:rsid w:val="0028536E"/>
    <w:rsid w:val="00285696"/>
    <w:rsid w:val="0028621A"/>
    <w:rsid w:val="00286366"/>
    <w:rsid w:val="00287CE4"/>
    <w:rsid w:val="00287EBE"/>
    <w:rsid w:val="00290A2F"/>
    <w:rsid w:val="00290A31"/>
    <w:rsid w:val="00290B41"/>
    <w:rsid w:val="002911A6"/>
    <w:rsid w:val="002916AE"/>
    <w:rsid w:val="002933C8"/>
    <w:rsid w:val="00293AE9"/>
    <w:rsid w:val="00293F7C"/>
    <w:rsid w:val="00294F9A"/>
    <w:rsid w:val="00295EB7"/>
    <w:rsid w:val="0029671C"/>
    <w:rsid w:val="002967CB"/>
    <w:rsid w:val="0029720C"/>
    <w:rsid w:val="0029745F"/>
    <w:rsid w:val="0029748C"/>
    <w:rsid w:val="00297884"/>
    <w:rsid w:val="00297FC2"/>
    <w:rsid w:val="00297FDB"/>
    <w:rsid w:val="002A1B64"/>
    <w:rsid w:val="002A3974"/>
    <w:rsid w:val="002A4CA8"/>
    <w:rsid w:val="002A636C"/>
    <w:rsid w:val="002A6435"/>
    <w:rsid w:val="002A6CC8"/>
    <w:rsid w:val="002A73F8"/>
    <w:rsid w:val="002A779F"/>
    <w:rsid w:val="002A7B7E"/>
    <w:rsid w:val="002B015D"/>
    <w:rsid w:val="002B1483"/>
    <w:rsid w:val="002B3280"/>
    <w:rsid w:val="002B3421"/>
    <w:rsid w:val="002B4E6D"/>
    <w:rsid w:val="002B5374"/>
    <w:rsid w:val="002B57E9"/>
    <w:rsid w:val="002B59BF"/>
    <w:rsid w:val="002B5E0E"/>
    <w:rsid w:val="002B64CA"/>
    <w:rsid w:val="002B7C7D"/>
    <w:rsid w:val="002C183E"/>
    <w:rsid w:val="002C1C08"/>
    <w:rsid w:val="002C21A6"/>
    <w:rsid w:val="002C5067"/>
    <w:rsid w:val="002C5CD1"/>
    <w:rsid w:val="002C6B00"/>
    <w:rsid w:val="002C795E"/>
    <w:rsid w:val="002D0097"/>
    <w:rsid w:val="002D0DBE"/>
    <w:rsid w:val="002D0E08"/>
    <w:rsid w:val="002D1649"/>
    <w:rsid w:val="002D1EB0"/>
    <w:rsid w:val="002D22C7"/>
    <w:rsid w:val="002D27D2"/>
    <w:rsid w:val="002D49BF"/>
    <w:rsid w:val="002D5BA8"/>
    <w:rsid w:val="002D5E58"/>
    <w:rsid w:val="002D6823"/>
    <w:rsid w:val="002D6C88"/>
    <w:rsid w:val="002D6CBA"/>
    <w:rsid w:val="002E034E"/>
    <w:rsid w:val="002E0574"/>
    <w:rsid w:val="002E1666"/>
    <w:rsid w:val="002E16EC"/>
    <w:rsid w:val="002E2653"/>
    <w:rsid w:val="002E28CF"/>
    <w:rsid w:val="002E431F"/>
    <w:rsid w:val="002E46C6"/>
    <w:rsid w:val="002E4D2E"/>
    <w:rsid w:val="002E5292"/>
    <w:rsid w:val="002E6D81"/>
    <w:rsid w:val="002F00DE"/>
    <w:rsid w:val="002F04B6"/>
    <w:rsid w:val="002F09A4"/>
    <w:rsid w:val="002F12EC"/>
    <w:rsid w:val="002F1938"/>
    <w:rsid w:val="002F202E"/>
    <w:rsid w:val="002F286F"/>
    <w:rsid w:val="002F3AE2"/>
    <w:rsid w:val="002F4CCB"/>
    <w:rsid w:val="002F6D71"/>
    <w:rsid w:val="002F700A"/>
    <w:rsid w:val="002F77EF"/>
    <w:rsid w:val="0030022F"/>
    <w:rsid w:val="0030068A"/>
    <w:rsid w:val="00301293"/>
    <w:rsid w:val="00302337"/>
    <w:rsid w:val="003025B3"/>
    <w:rsid w:val="0030338D"/>
    <w:rsid w:val="00303476"/>
    <w:rsid w:val="003037BF"/>
    <w:rsid w:val="003039E6"/>
    <w:rsid w:val="00303AEC"/>
    <w:rsid w:val="003066F5"/>
    <w:rsid w:val="00307FF9"/>
    <w:rsid w:val="00310876"/>
    <w:rsid w:val="0031108C"/>
    <w:rsid w:val="0031136A"/>
    <w:rsid w:val="003114C5"/>
    <w:rsid w:val="00311B29"/>
    <w:rsid w:val="00312EF7"/>
    <w:rsid w:val="00313184"/>
    <w:rsid w:val="00314BBE"/>
    <w:rsid w:val="00315388"/>
    <w:rsid w:val="003168CC"/>
    <w:rsid w:val="00316DFB"/>
    <w:rsid w:val="00320544"/>
    <w:rsid w:val="0032095D"/>
    <w:rsid w:val="00320C50"/>
    <w:rsid w:val="00320DE0"/>
    <w:rsid w:val="00322084"/>
    <w:rsid w:val="003222F6"/>
    <w:rsid w:val="00326B68"/>
    <w:rsid w:val="003306FC"/>
    <w:rsid w:val="00330875"/>
    <w:rsid w:val="003312AC"/>
    <w:rsid w:val="0033148B"/>
    <w:rsid w:val="00331536"/>
    <w:rsid w:val="003328D1"/>
    <w:rsid w:val="00332E6E"/>
    <w:rsid w:val="00333CE6"/>
    <w:rsid w:val="003342ED"/>
    <w:rsid w:val="00337AB6"/>
    <w:rsid w:val="00340B49"/>
    <w:rsid w:val="00341CBD"/>
    <w:rsid w:val="00342A28"/>
    <w:rsid w:val="00342B8C"/>
    <w:rsid w:val="00342FF5"/>
    <w:rsid w:val="003460B8"/>
    <w:rsid w:val="00347EA2"/>
    <w:rsid w:val="003503BE"/>
    <w:rsid w:val="00350B45"/>
    <w:rsid w:val="00350EF8"/>
    <w:rsid w:val="00351291"/>
    <w:rsid w:val="0035156F"/>
    <w:rsid w:val="00351A51"/>
    <w:rsid w:val="00352189"/>
    <w:rsid w:val="00353109"/>
    <w:rsid w:val="0035424D"/>
    <w:rsid w:val="003551FA"/>
    <w:rsid w:val="00356575"/>
    <w:rsid w:val="00356BC4"/>
    <w:rsid w:val="00360513"/>
    <w:rsid w:val="00360EBB"/>
    <w:rsid w:val="00362163"/>
    <w:rsid w:val="00362EA6"/>
    <w:rsid w:val="00362F99"/>
    <w:rsid w:val="00364E59"/>
    <w:rsid w:val="003653DB"/>
    <w:rsid w:val="00366F98"/>
    <w:rsid w:val="00367760"/>
    <w:rsid w:val="0037020B"/>
    <w:rsid w:val="0037069B"/>
    <w:rsid w:val="003708EE"/>
    <w:rsid w:val="003716FD"/>
    <w:rsid w:val="003717CE"/>
    <w:rsid w:val="00371904"/>
    <w:rsid w:val="003720CA"/>
    <w:rsid w:val="00372897"/>
    <w:rsid w:val="00372E06"/>
    <w:rsid w:val="003733C8"/>
    <w:rsid w:val="003743D5"/>
    <w:rsid w:val="003748B4"/>
    <w:rsid w:val="00375675"/>
    <w:rsid w:val="0037772A"/>
    <w:rsid w:val="00380B01"/>
    <w:rsid w:val="0038105B"/>
    <w:rsid w:val="00381EC0"/>
    <w:rsid w:val="00383703"/>
    <w:rsid w:val="0038556B"/>
    <w:rsid w:val="00386139"/>
    <w:rsid w:val="0038643E"/>
    <w:rsid w:val="0038718C"/>
    <w:rsid w:val="00387FC6"/>
    <w:rsid w:val="00391341"/>
    <w:rsid w:val="0039254C"/>
    <w:rsid w:val="00393DE2"/>
    <w:rsid w:val="0039465B"/>
    <w:rsid w:val="00394AB8"/>
    <w:rsid w:val="00395043"/>
    <w:rsid w:val="00395E9D"/>
    <w:rsid w:val="00396854"/>
    <w:rsid w:val="00396C7C"/>
    <w:rsid w:val="0039783C"/>
    <w:rsid w:val="003A0665"/>
    <w:rsid w:val="003A16ED"/>
    <w:rsid w:val="003A23A5"/>
    <w:rsid w:val="003A2EF2"/>
    <w:rsid w:val="003A41BF"/>
    <w:rsid w:val="003A44B0"/>
    <w:rsid w:val="003A44F9"/>
    <w:rsid w:val="003A4640"/>
    <w:rsid w:val="003A65D9"/>
    <w:rsid w:val="003A7814"/>
    <w:rsid w:val="003A7E3C"/>
    <w:rsid w:val="003B0016"/>
    <w:rsid w:val="003B073E"/>
    <w:rsid w:val="003B1AD5"/>
    <w:rsid w:val="003B3F0A"/>
    <w:rsid w:val="003B67F3"/>
    <w:rsid w:val="003C2745"/>
    <w:rsid w:val="003C2B34"/>
    <w:rsid w:val="003C424D"/>
    <w:rsid w:val="003C5CB9"/>
    <w:rsid w:val="003C6687"/>
    <w:rsid w:val="003C68DF"/>
    <w:rsid w:val="003C74DB"/>
    <w:rsid w:val="003C7F33"/>
    <w:rsid w:val="003D0124"/>
    <w:rsid w:val="003D0A98"/>
    <w:rsid w:val="003D1840"/>
    <w:rsid w:val="003D1975"/>
    <w:rsid w:val="003D2E3F"/>
    <w:rsid w:val="003D32C4"/>
    <w:rsid w:val="003D3FC9"/>
    <w:rsid w:val="003D5576"/>
    <w:rsid w:val="003D6176"/>
    <w:rsid w:val="003D76E2"/>
    <w:rsid w:val="003E36F7"/>
    <w:rsid w:val="003E4447"/>
    <w:rsid w:val="003E5735"/>
    <w:rsid w:val="003E69B9"/>
    <w:rsid w:val="003E70AB"/>
    <w:rsid w:val="003E7317"/>
    <w:rsid w:val="003F2026"/>
    <w:rsid w:val="003F349F"/>
    <w:rsid w:val="003F4407"/>
    <w:rsid w:val="003F4EE7"/>
    <w:rsid w:val="003F5382"/>
    <w:rsid w:val="003F59D3"/>
    <w:rsid w:val="003F7BDD"/>
    <w:rsid w:val="0040178B"/>
    <w:rsid w:val="00402262"/>
    <w:rsid w:val="0040275C"/>
    <w:rsid w:val="0040315A"/>
    <w:rsid w:val="004034C9"/>
    <w:rsid w:val="00404314"/>
    <w:rsid w:val="004053F0"/>
    <w:rsid w:val="00405891"/>
    <w:rsid w:val="004058BA"/>
    <w:rsid w:val="00405B1B"/>
    <w:rsid w:val="00405B83"/>
    <w:rsid w:val="00406CC0"/>
    <w:rsid w:val="00407DB8"/>
    <w:rsid w:val="00411530"/>
    <w:rsid w:val="004121DD"/>
    <w:rsid w:val="00412ED3"/>
    <w:rsid w:val="004151F0"/>
    <w:rsid w:val="00415983"/>
    <w:rsid w:val="00415C6C"/>
    <w:rsid w:val="0041663F"/>
    <w:rsid w:val="0041699D"/>
    <w:rsid w:val="004170BE"/>
    <w:rsid w:val="00417F8A"/>
    <w:rsid w:val="0042075F"/>
    <w:rsid w:val="0042177F"/>
    <w:rsid w:val="004225D0"/>
    <w:rsid w:val="00422E9F"/>
    <w:rsid w:val="00423AFB"/>
    <w:rsid w:val="00423ECE"/>
    <w:rsid w:val="00424853"/>
    <w:rsid w:val="00426300"/>
    <w:rsid w:val="0042740D"/>
    <w:rsid w:val="00427434"/>
    <w:rsid w:val="00427647"/>
    <w:rsid w:val="00427855"/>
    <w:rsid w:val="00427D32"/>
    <w:rsid w:val="00430555"/>
    <w:rsid w:val="004307D9"/>
    <w:rsid w:val="004307F8"/>
    <w:rsid w:val="00430918"/>
    <w:rsid w:val="00430A62"/>
    <w:rsid w:val="00430F4A"/>
    <w:rsid w:val="00431810"/>
    <w:rsid w:val="00431827"/>
    <w:rsid w:val="0043203C"/>
    <w:rsid w:val="00432440"/>
    <w:rsid w:val="00432964"/>
    <w:rsid w:val="004342A8"/>
    <w:rsid w:val="00434433"/>
    <w:rsid w:val="00435534"/>
    <w:rsid w:val="0043590E"/>
    <w:rsid w:val="00435AD1"/>
    <w:rsid w:val="0043631D"/>
    <w:rsid w:val="00437810"/>
    <w:rsid w:val="0043792B"/>
    <w:rsid w:val="004401F1"/>
    <w:rsid w:val="00440ACC"/>
    <w:rsid w:val="00441397"/>
    <w:rsid w:val="00441F43"/>
    <w:rsid w:val="00445E22"/>
    <w:rsid w:val="004463BD"/>
    <w:rsid w:val="0044660E"/>
    <w:rsid w:val="0044773A"/>
    <w:rsid w:val="00447CE6"/>
    <w:rsid w:val="00450106"/>
    <w:rsid w:val="0045040B"/>
    <w:rsid w:val="00451050"/>
    <w:rsid w:val="0045160F"/>
    <w:rsid w:val="00451925"/>
    <w:rsid w:val="00452483"/>
    <w:rsid w:val="00452495"/>
    <w:rsid w:val="00452738"/>
    <w:rsid w:val="00453110"/>
    <w:rsid w:val="00454FE0"/>
    <w:rsid w:val="004553EA"/>
    <w:rsid w:val="00456125"/>
    <w:rsid w:val="00457403"/>
    <w:rsid w:val="00457852"/>
    <w:rsid w:val="00457970"/>
    <w:rsid w:val="004605FC"/>
    <w:rsid w:val="00460D5C"/>
    <w:rsid w:val="00462372"/>
    <w:rsid w:val="00462382"/>
    <w:rsid w:val="00462645"/>
    <w:rsid w:val="00462CA3"/>
    <w:rsid w:val="00465652"/>
    <w:rsid w:val="0046571A"/>
    <w:rsid w:val="00465F3C"/>
    <w:rsid w:val="00467005"/>
    <w:rsid w:val="00467540"/>
    <w:rsid w:val="00467DB2"/>
    <w:rsid w:val="00467E0A"/>
    <w:rsid w:val="004713A6"/>
    <w:rsid w:val="004713D8"/>
    <w:rsid w:val="0047143A"/>
    <w:rsid w:val="00471BE1"/>
    <w:rsid w:val="00471C93"/>
    <w:rsid w:val="00471E0D"/>
    <w:rsid w:val="004725AF"/>
    <w:rsid w:val="0047311C"/>
    <w:rsid w:val="004731A8"/>
    <w:rsid w:val="0047376C"/>
    <w:rsid w:val="00475817"/>
    <w:rsid w:val="00475A23"/>
    <w:rsid w:val="004765A3"/>
    <w:rsid w:val="00477FE5"/>
    <w:rsid w:val="004802E6"/>
    <w:rsid w:val="004804E7"/>
    <w:rsid w:val="00480687"/>
    <w:rsid w:val="00481679"/>
    <w:rsid w:val="00481700"/>
    <w:rsid w:val="00482555"/>
    <w:rsid w:val="00482CA4"/>
    <w:rsid w:val="00483905"/>
    <w:rsid w:val="00483A63"/>
    <w:rsid w:val="00487926"/>
    <w:rsid w:val="00490FCB"/>
    <w:rsid w:val="00492F8C"/>
    <w:rsid w:val="004938AD"/>
    <w:rsid w:val="00493BF3"/>
    <w:rsid w:val="00493E9D"/>
    <w:rsid w:val="00494BD8"/>
    <w:rsid w:val="004953DE"/>
    <w:rsid w:val="004967B8"/>
    <w:rsid w:val="00496F6A"/>
    <w:rsid w:val="004970A0"/>
    <w:rsid w:val="00497654"/>
    <w:rsid w:val="00497BA7"/>
    <w:rsid w:val="004A0685"/>
    <w:rsid w:val="004A16C5"/>
    <w:rsid w:val="004A208C"/>
    <w:rsid w:val="004A2DAA"/>
    <w:rsid w:val="004A3311"/>
    <w:rsid w:val="004A5542"/>
    <w:rsid w:val="004A6C41"/>
    <w:rsid w:val="004B1221"/>
    <w:rsid w:val="004B13C2"/>
    <w:rsid w:val="004B17AA"/>
    <w:rsid w:val="004B2381"/>
    <w:rsid w:val="004B400E"/>
    <w:rsid w:val="004B4FFB"/>
    <w:rsid w:val="004B5225"/>
    <w:rsid w:val="004B5892"/>
    <w:rsid w:val="004B5B51"/>
    <w:rsid w:val="004B66B4"/>
    <w:rsid w:val="004B6EDC"/>
    <w:rsid w:val="004B710A"/>
    <w:rsid w:val="004C0044"/>
    <w:rsid w:val="004C04AF"/>
    <w:rsid w:val="004C15E2"/>
    <w:rsid w:val="004C350C"/>
    <w:rsid w:val="004C3679"/>
    <w:rsid w:val="004C3C5A"/>
    <w:rsid w:val="004C4303"/>
    <w:rsid w:val="004C4547"/>
    <w:rsid w:val="004C57D8"/>
    <w:rsid w:val="004C622F"/>
    <w:rsid w:val="004C6CE9"/>
    <w:rsid w:val="004C7F9D"/>
    <w:rsid w:val="004D0EDA"/>
    <w:rsid w:val="004D26F6"/>
    <w:rsid w:val="004D28DA"/>
    <w:rsid w:val="004D3129"/>
    <w:rsid w:val="004D377C"/>
    <w:rsid w:val="004D4580"/>
    <w:rsid w:val="004D5507"/>
    <w:rsid w:val="004D61AA"/>
    <w:rsid w:val="004D65C7"/>
    <w:rsid w:val="004D6684"/>
    <w:rsid w:val="004D6A15"/>
    <w:rsid w:val="004D6EB3"/>
    <w:rsid w:val="004E0C8B"/>
    <w:rsid w:val="004E0FFD"/>
    <w:rsid w:val="004E115C"/>
    <w:rsid w:val="004E27EE"/>
    <w:rsid w:val="004E2E17"/>
    <w:rsid w:val="004E2E39"/>
    <w:rsid w:val="004E301B"/>
    <w:rsid w:val="004E3E7F"/>
    <w:rsid w:val="004E42AC"/>
    <w:rsid w:val="004E4A0C"/>
    <w:rsid w:val="004E4A26"/>
    <w:rsid w:val="004E4C65"/>
    <w:rsid w:val="004E518E"/>
    <w:rsid w:val="004E5C80"/>
    <w:rsid w:val="004E7094"/>
    <w:rsid w:val="004E7228"/>
    <w:rsid w:val="004F012E"/>
    <w:rsid w:val="004F05B3"/>
    <w:rsid w:val="004F19D1"/>
    <w:rsid w:val="004F2AF5"/>
    <w:rsid w:val="004F4FE0"/>
    <w:rsid w:val="004F5A9E"/>
    <w:rsid w:val="004F6946"/>
    <w:rsid w:val="004F6FC2"/>
    <w:rsid w:val="004F7A47"/>
    <w:rsid w:val="004F7A95"/>
    <w:rsid w:val="004F7C0C"/>
    <w:rsid w:val="00500D98"/>
    <w:rsid w:val="0050175C"/>
    <w:rsid w:val="005018B5"/>
    <w:rsid w:val="00502268"/>
    <w:rsid w:val="0050271F"/>
    <w:rsid w:val="00502D71"/>
    <w:rsid w:val="00503C85"/>
    <w:rsid w:val="00503F04"/>
    <w:rsid w:val="005049FF"/>
    <w:rsid w:val="00504BEC"/>
    <w:rsid w:val="00504D27"/>
    <w:rsid w:val="00505435"/>
    <w:rsid w:val="005058CD"/>
    <w:rsid w:val="0050629F"/>
    <w:rsid w:val="005069E6"/>
    <w:rsid w:val="00506CFF"/>
    <w:rsid w:val="00507E77"/>
    <w:rsid w:val="0051039B"/>
    <w:rsid w:val="005107CC"/>
    <w:rsid w:val="0051182F"/>
    <w:rsid w:val="00511C4F"/>
    <w:rsid w:val="00512E64"/>
    <w:rsid w:val="005130EC"/>
    <w:rsid w:val="00515739"/>
    <w:rsid w:val="00516BE2"/>
    <w:rsid w:val="00517422"/>
    <w:rsid w:val="00517710"/>
    <w:rsid w:val="00520388"/>
    <w:rsid w:val="00520B1C"/>
    <w:rsid w:val="00522218"/>
    <w:rsid w:val="005243D5"/>
    <w:rsid w:val="00524957"/>
    <w:rsid w:val="00524A55"/>
    <w:rsid w:val="00525676"/>
    <w:rsid w:val="00525F72"/>
    <w:rsid w:val="0052629D"/>
    <w:rsid w:val="00530BBF"/>
    <w:rsid w:val="00531093"/>
    <w:rsid w:val="0053213E"/>
    <w:rsid w:val="00532272"/>
    <w:rsid w:val="0053439F"/>
    <w:rsid w:val="00535364"/>
    <w:rsid w:val="00536CB3"/>
    <w:rsid w:val="00537D62"/>
    <w:rsid w:val="00540A9C"/>
    <w:rsid w:val="00541065"/>
    <w:rsid w:val="005415C1"/>
    <w:rsid w:val="005415ED"/>
    <w:rsid w:val="005417F5"/>
    <w:rsid w:val="00542DA4"/>
    <w:rsid w:val="00544C04"/>
    <w:rsid w:val="005477DA"/>
    <w:rsid w:val="005509C9"/>
    <w:rsid w:val="00550E74"/>
    <w:rsid w:val="0055206E"/>
    <w:rsid w:val="00552618"/>
    <w:rsid w:val="0055293D"/>
    <w:rsid w:val="00552DC4"/>
    <w:rsid w:val="005539E8"/>
    <w:rsid w:val="00553C97"/>
    <w:rsid w:val="005552D8"/>
    <w:rsid w:val="00555F2A"/>
    <w:rsid w:val="0055787E"/>
    <w:rsid w:val="00560A4E"/>
    <w:rsid w:val="00560F9B"/>
    <w:rsid w:val="00561404"/>
    <w:rsid w:val="0056247D"/>
    <w:rsid w:val="005633B2"/>
    <w:rsid w:val="00563562"/>
    <w:rsid w:val="00563640"/>
    <w:rsid w:val="00564FC5"/>
    <w:rsid w:val="005654DF"/>
    <w:rsid w:val="005655F7"/>
    <w:rsid w:val="0056646D"/>
    <w:rsid w:val="005668C6"/>
    <w:rsid w:val="00566D8E"/>
    <w:rsid w:val="00567458"/>
    <w:rsid w:val="00567D74"/>
    <w:rsid w:val="0057051D"/>
    <w:rsid w:val="005708DD"/>
    <w:rsid w:val="00570E30"/>
    <w:rsid w:val="005710F8"/>
    <w:rsid w:val="00571BDB"/>
    <w:rsid w:val="00571CBE"/>
    <w:rsid w:val="0057223B"/>
    <w:rsid w:val="00572C56"/>
    <w:rsid w:val="005732A2"/>
    <w:rsid w:val="00573D18"/>
    <w:rsid w:val="005750E6"/>
    <w:rsid w:val="005756CC"/>
    <w:rsid w:val="00575A0B"/>
    <w:rsid w:val="005765B1"/>
    <w:rsid w:val="00576609"/>
    <w:rsid w:val="005778EC"/>
    <w:rsid w:val="005805CE"/>
    <w:rsid w:val="005809B6"/>
    <w:rsid w:val="00580B36"/>
    <w:rsid w:val="0058134C"/>
    <w:rsid w:val="005824E8"/>
    <w:rsid w:val="00582BEA"/>
    <w:rsid w:val="005839C0"/>
    <w:rsid w:val="00584066"/>
    <w:rsid w:val="0058415C"/>
    <w:rsid w:val="00584BB6"/>
    <w:rsid w:val="005852BC"/>
    <w:rsid w:val="0058573B"/>
    <w:rsid w:val="005869AA"/>
    <w:rsid w:val="00587ADD"/>
    <w:rsid w:val="005915E4"/>
    <w:rsid w:val="00591CE5"/>
    <w:rsid w:val="005933D4"/>
    <w:rsid w:val="0059370F"/>
    <w:rsid w:val="00593B9B"/>
    <w:rsid w:val="00594910"/>
    <w:rsid w:val="00594968"/>
    <w:rsid w:val="0059650D"/>
    <w:rsid w:val="00596B05"/>
    <w:rsid w:val="00596BF6"/>
    <w:rsid w:val="00596DE6"/>
    <w:rsid w:val="0059751D"/>
    <w:rsid w:val="00597A6F"/>
    <w:rsid w:val="005A0056"/>
    <w:rsid w:val="005A07D0"/>
    <w:rsid w:val="005A0D07"/>
    <w:rsid w:val="005A1062"/>
    <w:rsid w:val="005A1E3F"/>
    <w:rsid w:val="005A34EF"/>
    <w:rsid w:val="005A3793"/>
    <w:rsid w:val="005A44F7"/>
    <w:rsid w:val="005A4963"/>
    <w:rsid w:val="005A4993"/>
    <w:rsid w:val="005A4B7C"/>
    <w:rsid w:val="005B1630"/>
    <w:rsid w:val="005B17CB"/>
    <w:rsid w:val="005B18A8"/>
    <w:rsid w:val="005B2780"/>
    <w:rsid w:val="005B2E2D"/>
    <w:rsid w:val="005B2EFA"/>
    <w:rsid w:val="005B37D9"/>
    <w:rsid w:val="005C1080"/>
    <w:rsid w:val="005C134D"/>
    <w:rsid w:val="005C1575"/>
    <w:rsid w:val="005C216C"/>
    <w:rsid w:val="005C2F2C"/>
    <w:rsid w:val="005C517E"/>
    <w:rsid w:val="005C55D2"/>
    <w:rsid w:val="005C5713"/>
    <w:rsid w:val="005C57BA"/>
    <w:rsid w:val="005C59CA"/>
    <w:rsid w:val="005C5BB8"/>
    <w:rsid w:val="005C5F82"/>
    <w:rsid w:val="005C787A"/>
    <w:rsid w:val="005D0621"/>
    <w:rsid w:val="005D24F9"/>
    <w:rsid w:val="005D2AE8"/>
    <w:rsid w:val="005D364F"/>
    <w:rsid w:val="005D37DF"/>
    <w:rsid w:val="005D3D8A"/>
    <w:rsid w:val="005D5346"/>
    <w:rsid w:val="005D5674"/>
    <w:rsid w:val="005D6EEF"/>
    <w:rsid w:val="005D7176"/>
    <w:rsid w:val="005E0DED"/>
    <w:rsid w:val="005E1079"/>
    <w:rsid w:val="005E2A2C"/>
    <w:rsid w:val="005E2AB9"/>
    <w:rsid w:val="005E3144"/>
    <w:rsid w:val="005E4621"/>
    <w:rsid w:val="005E6009"/>
    <w:rsid w:val="005E61AD"/>
    <w:rsid w:val="005E6B40"/>
    <w:rsid w:val="005E6EED"/>
    <w:rsid w:val="005E700F"/>
    <w:rsid w:val="005E7169"/>
    <w:rsid w:val="005E7E97"/>
    <w:rsid w:val="005F1226"/>
    <w:rsid w:val="005F1563"/>
    <w:rsid w:val="005F23EC"/>
    <w:rsid w:val="005F2D43"/>
    <w:rsid w:val="005F2E2E"/>
    <w:rsid w:val="005F3423"/>
    <w:rsid w:val="005F3890"/>
    <w:rsid w:val="005F38B1"/>
    <w:rsid w:val="005F474B"/>
    <w:rsid w:val="005F480C"/>
    <w:rsid w:val="005F5095"/>
    <w:rsid w:val="0060070C"/>
    <w:rsid w:val="00602370"/>
    <w:rsid w:val="0060237A"/>
    <w:rsid w:val="006027EB"/>
    <w:rsid w:val="00603F07"/>
    <w:rsid w:val="0060640B"/>
    <w:rsid w:val="006064BD"/>
    <w:rsid w:val="00606B2D"/>
    <w:rsid w:val="00607AC1"/>
    <w:rsid w:val="00607C4C"/>
    <w:rsid w:val="00607DE8"/>
    <w:rsid w:val="00611748"/>
    <w:rsid w:val="00617517"/>
    <w:rsid w:val="0062045C"/>
    <w:rsid w:val="00621138"/>
    <w:rsid w:val="0062115A"/>
    <w:rsid w:val="00621B6D"/>
    <w:rsid w:val="00624129"/>
    <w:rsid w:val="00624C95"/>
    <w:rsid w:val="00625132"/>
    <w:rsid w:val="006260CB"/>
    <w:rsid w:val="00627C14"/>
    <w:rsid w:val="00627FDF"/>
    <w:rsid w:val="00630495"/>
    <w:rsid w:val="00630564"/>
    <w:rsid w:val="00630BE2"/>
    <w:rsid w:val="00631150"/>
    <w:rsid w:val="00632230"/>
    <w:rsid w:val="006331AE"/>
    <w:rsid w:val="006336F6"/>
    <w:rsid w:val="00636148"/>
    <w:rsid w:val="006369CA"/>
    <w:rsid w:val="00637B63"/>
    <w:rsid w:val="0064057E"/>
    <w:rsid w:val="00640808"/>
    <w:rsid w:val="00642E07"/>
    <w:rsid w:val="006459AB"/>
    <w:rsid w:val="00646026"/>
    <w:rsid w:val="00646F48"/>
    <w:rsid w:val="00647657"/>
    <w:rsid w:val="006504B1"/>
    <w:rsid w:val="00650B64"/>
    <w:rsid w:val="00650C6A"/>
    <w:rsid w:val="006513D8"/>
    <w:rsid w:val="006524CF"/>
    <w:rsid w:val="0065259C"/>
    <w:rsid w:val="00652B00"/>
    <w:rsid w:val="00652B50"/>
    <w:rsid w:val="00652C8F"/>
    <w:rsid w:val="0065337A"/>
    <w:rsid w:val="00655254"/>
    <w:rsid w:val="00655AE5"/>
    <w:rsid w:val="00657695"/>
    <w:rsid w:val="006610D7"/>
    <w:rsid w:val="006613A1"/>
    <w:rsid w:val="00661BAB"/>
    <w:rsid w:val="00662EA5"/>
    <w:rsid w:val="006659D3"/>
    <w:rsid w:val="00666F4B"/>
    <w:rsid w:val="00667E33"/>
    <w:rsid w:val="00671320"/>
    <w:rsid w:val="00671AAA"/>
    <w:rsid w:val="00671DAA"/>
    <w:rsid w:val="00672C9B"/>
    <w:rsid w:val="00674241"/>
    <w:rsid w:val="00677533"/>
    <w:rsid w:val="006777BD"/>
    <w:rsid w:val="0068033A"/>
    <w:rsid w:val="00684A91"/>
    <w:rsid w:val="006867E2"/>
    <w:rsid w:val="0068746C"/>
    <w:rsid w:val="0068770A"/>
    <w:rsid w:val="006901DC"/>
    <w:rsid w:val="00690A1E"/>
    <w:rsid w:val="00690F9F"/>
    <w:rsid w:val="006911BE"/>
    <w:rsid w:val="00691EF0"/>
    <w:rsid w:val="00692064"/>
    <w:rsid w:val="006925A8"/>
    <w:rsid w:val="0069289F"/>
    <w:rsid w:val="006928FF"/>
    <w:rsid w:val="00692CF4"/>
    <w:rsid w:val="0069319C"/>
    <w:rsid w:val="0069375A"/>
    <w:rsid w:val="0069516A"/>
    <w:rsid w:val="00695D1D"/>
    <w:rsid w:val="00696630"/>
    <w:rsid w:val="0069671C"/>
    <w:rsid w:val="006A0E05"/>
    <w:rsid w:val="006A1854"/>
    <w:rsid w:val="006A1E66"/>
    <w:rsid w:val="006A3756"/>
    <w:rsid w:val="006A4107"/>
    <w:rsid w:val="006A423F"/>
    <w:rsid w:val="006A5485"/>
    <w:rsid w:val="006A5B1A"/>
    <w:rsid w:val="006A6755"/>
    <w:rsid w:val="006A675D"/>
    <w:rsid w:val="006A68EF"/>
    <w:rsid w:val="006A714E"/>
    <w:rsid w:val="006A7AB4"/>
    <w:rsid w:val="006B0930"/>
    <w:rsid w:val="006B11EB"/>
    <w:rsid w:val="006B1353"/>
    <w:rsid w:val="006B13EE"/>
    <w:rsid w:val="006B19AF"/>
    <w:rsid w:val="006B292F"/>
    <w:rsid w:val="006B5A3D"/>
    <w:rsid w:val="006B5B82"/>
    <w:rsid w:val="006B64F0"/>
    <w:rsid w:val="006B6F67"/>
    <w:rsid w:val="006B743F"/>
    <w:rsid w:val="006B751E"/>
    <w:rsid w:val="006C0B12"/>
    <w:rsid w:val="006C1173"/>
    <w:rsid w:val="006C1946"/>
    <w:rsid w:val="006C1B0E"/>
    <w:rsid w:val="006C1E2C"/>
    <w:rsid w:val="006C2BFF"/>
    <w:rsid w:val="006C3AD6"/>
    <w:rsid w:val="006C41D4"/>
    <w:rsid w:val="006C532E"/>
    <w:rsid w:val="006C5894"/>
    <w:rsid w:val="006C7966"/>
    <w:rsid w:val="006C7C95"/>
    <w:rsid w:val="006D0330"/>
    <w:rsid w:val="006D0720"/>
    <w:rsid w:val="006D0883"/>
    <w:rsid w:val="006D093E"/>
    <w:rsid w:val="006D1C91"/>
    <w:rsid w:val="006D1DE1"/>
    <w:rsid w:val="006D214F"/>
    <w:rsid w:val="006D3CCF"/>
    <w:rsid w:val="006D42BD"/>
    <w:rsid w:val="006D47E3"/>
    <w:rsid w:val="006D49B2"/>
    <w:rsid w:val="006D4CA5"/>
    <w:rsid w:val="006D5182"/>
    <w:rsid w:val="006D52B0"/>
    <w:rsid w:val="006D6693"/>
    <w:rsid w:val="006D7480"/>
    <w:rsid w:val="006D7482"/>
    <w:rsid w:val="006D790A"/>
    <w:rsid w:val="006D7E1E"/>
    <w:rsid w:val="006E003C"/>
    <w:rsid w:val="006E1C13"/>
    <w:rsid w:val="006E61E9"/>
    <w:rsid w:val="006E721A"/>
    <w:rsid w:val="006E73D3"/>
    <w:rsid w:val="006F058B"/>
    <w:rsid w:val="006F0BAB"/>
    <w:rsid w:val="006F1575"/>
    <w:rsid w:val="006F1FFD"/>
    <w:rsid w:val="006F4011"/>
    <w:rsid w:val="006F4A8B"/>
    <w:rsid w:val="006F4C9D"/>
    <w:rsid w:val="006F57FE"/>
    <w:rsid w:val="006F6AAB"/>
    <w:rsid w:val="006F7434"/>
    <w:rsid w:val="006F7831"/>
    <w:rsid w:val="00700185"/>
    <w:rsid w:val="00700C8A"/>
    <w:rsid w:val="00701FD6"/>
    <w:rsid w:val="00702D8E"/>
    <w:rsid w:val="0070365C"/>
    <w:rsid w:val="00703E01"/>
    <w:rsid w:val="00704EBB"/>
    <w:rsid w:val="00704F88"/>
    <w:rsid w:val="007050CF"/>
    <w:rsid w:val="007052C1"/>
    <w:rsid w:val="00706C9C"/>
    <w:rsid w:val="00706EFE"/>
    <w:rsid w:val="007070FE"/>
    <w:rsid w:val="007074E4"/>
    <w:rsid w:val="00711631"/>
    <w:rsid w:val="00711C85"/>
    <w:rsid w:val="00711EED"/>
    <w:rsid w:val="00712B46"/>
    <w:rsid w:val="00713137"/>
    <w:rsid w:val="00713AE1"/>
    <w:rsid w:val="007141ED"/>
    <w:rsid w:val="00714323"/>
    <w:rsid w:val="00714333"/>
    <w:rsid w:val="00715657"/>
    <w:rsid w:val="00715C56"/>
    <w:rsid w:val="00717924"/>
    <w:rsid w:val="00720894"/>
    <w:rsid w:val="0072317B"/>
    <w:rsid w:val="00725D60"/>
    <w:rsid w:val="00727AF3"/>
    <w:rsid w:val="00730C75"/>
    <w:rsid w:val="00731661"/>
    <w:rsid w:val="00731EE4"/>
    <w:rsid w:val="00733CA4"/>
    <w:rsid w:val="007342E5"/>
    <w:rsid w:val="00734CDE"/>
    <w:rsid w:val="00734D28"/>
    <w:rsid w:val="007356E2"/>
    <w:rsid w:val="007360DB"/>
    <w:rsid w:val="00736AF3"/>
    <w:rsid w:val="00736E94"/>
    <w:rsid w:val="00736F1E"/>
    <w:rsid w:val="00737517"/>
    <w:rsid w:val="00740B51"/>
    <w:rsid w:val="00740D7F"/>
    <w:rsid w:val="007418F4"/>
    <w:rsid w:val="007439E1"/>
    <w:rsid w:val="00743EDA"/>
    <w:rsid w:val="00744B02"/>
    <w:rsid w:val="00745317"/>
    <w:rsid w:val="00745F87"/>
    <w:rsid w:val="007465C7"/>
    <w:rsid w:val="007474CA"/>
    <w:rsid w:val="0074795D"/>
    <w:rsid w:val="0074798E"/>
    <w:rsid w:val="007479A9"/>
    <w:rsid w:val="00747CAA"/>
    <w:rsid w:val="00750A24"/>
    <w:rsid w:val="007510B6"/>
    <w:rsid w:val="00751E79"/>
    <w:rsid w:val="0075219D"/>
    <w:rsid w:val="00754603"/>
    <w:rsid w:val="0075469B"/>
    <w:rsid w:val="007547E2"/>
    <w:rsid w:val="00756F59"/>
    <w:rsid w:val="00757AEA"/>
    <w:rsid w:val="00760736"/>
    <w:rsid w:val="00761098"/>
    <w:rsid w:val="00761A50"/>
    <w:rsid w:val="007621D8"/>
    <w:rsid w:val="00762680"/>
    <w:rsid w:val="0076336F"/>
    <w:rsid w:val="007634B5"/>
    <w:rsid w:val="00763B8A"/>
    <w:rsid w:val="00765453"/>
    <w:rsid w:val="0076631F"/>
    <w:rsid w:val="007672F5"/>
    <w:rsid w:val="007675C1"/>
    <w:rsid w:val="007704A5"/>
    <w:rsid w:val="0077053E"/>
    <w:rsid w:val="00773517"/>
    <w:rsid w:val="00774B50"/>
    <w:rsid w:val="00774EF6"/>
    <w:rsid w:val="0077730B"/>
    <w:rsid w:val="00780416"/>
    <w:rsid w:val="00780ACC"/>
    <w:rsid w:val="00780BC1"/>
    <w:rsid w:val="007825A4"/>
    <w:rsid w:val="00783EF9"/>
    <w:rsid w:val="00783FCF"/>
    <w:rsid w:val="007848D8"/>
    <w:rsid w:val="00786778"/>
    <w:rsid w:val="00790C26"/>
    <w:rsid w:val="00791B4E"/>
    <w:rsid w:val="00792518"/>
    <w:rsid w:val="0079268D"/>
    <w:rsid w:val="00792E24"/>
    <w:rsid w:val="00792F93"/>
    <w:rsid w:val="0079314E"/>
    <w:rsid w:val="00794446"/>
    <w:rsid w:val="00795640"/>
    <w:rsid w:val="00796686"/>
    <w:rsid w:val="00796CA5"/>
    <w:rsid w:val="00796FC8"/>
    <w:rsid w:val="007A0432"/>
    <w:rsid w:val="007A3006"/>
    <w:rsid w:val="007A61A6"/>
    <w:rsid w:val="007A701C"/>
    <w:rsid w:val="007A7885"/>
    <w:rsid w:val="007B090F"/>
    <w:rsid w:val="007B093E"/>
    <w:rsid w:val="007B167E"/>
    <w:rsid w:val="007B17BD"/>
    <w:rsid w:val="007B3539"/>
    <w:rsid w:val="007B3620"/>
    <w:rsid w:val="007B3696"/>
    <w:rsid w:val="007B3EDF"/>
    <w:rsid w:val="007B43E6"/>
    <w:rsid w:val="007B47BD"/>
    <w:rsid w:val="007B5044"/>
    <w:rsid w:val="007B637D"/>
    <w:rsid w:val="007B642C"/>
    <w:rsid w:val="007B77EE"/>
    <w:rsid w:val="007C16CF"/>
    <w:rsid w:val="007C225C"/>
    <w:rsid w:val="007C2643"/>
    <w:rsid w:val="007C3332"/>
    <w:rsid w:val="007C42EC"/>
    <w:rsid w:val="007C4CB4"/>
    <w:rsid w:val="007C4E1E"/>
    <w:rsid w:val="007C7251"/>
    <w:rsid w:val="007C7EE9"/>
    <w:rsid w:val="007D0352"/>
    <w:rsid w:val="007D0649"/>
    <w:rsid w:val="007D0DA1"/>
    <w:rsid w:val="007D1386"/>
    <w:rsid w:val="007D2072"/>
    <w:rsid w:val="007D2AE5"/>
    <w:rsid w:val="007D3ED1"/>
    <w:rsid w:val="007D4DE3"/>
    <w:rsid w:val="007D4F13"/>
    <w:rsid w:val="007D55C2"/>
    <w:rsid w:val="007D5768"/>
    <w:rsid w:val="007D6AB3"/>
    <w:rsid w:val="007E0CA5"/>
    <w:rsid w:val="007E1DBD"/>
    <w:rsid w:val="007E2793"/>
    <w:rsid w:val="007E3653"/>
    <w:rsid w:val="007E3971"/>
    <w:rsid w:val="007E3ABC"/>
    <w:rsid w:val="007E4621"/>
    <w:rsid w:val="007E52CB"/>
    <w:rsid w:val="007E5691"/>
    <w:rsid w:val="007E6703"/>
    <w:rsid w:val="007E7B5B"/>
    <w:rsid w:val="007E7CF7"/>
    <w:rsid w:val="007F106D"/>
    <w:rsid w:val="007F1663"/>
    <w:rsid w:val="007F1DA7"/>
    <w:rsid w:val="007F23BC"/>
    <w:rsid w:val="007F313D"/>
    <w:rsid w:val="007F401B"/>
    <w:rsid w:val="007F4DFD"/>
    <w:rsid w:val="007F7EB1"/>
    <w:rsid w:val="008001E0"/>
    <w:rsid w:val="00801D28"/>
    <w:rsid w:val="00801F28"/>
    <w:rsid w:val="0080264F"/>
    <w:rsid w:val="0080267F"/>
    <w:rsid w:val="008027D1"/>
    <w:rsid w:val="008037B8"/>
    <w:rsid w:val="00803A08"/>
    <w:rsid w:val="00804618"/>
    <w:rsid w:val="00804C9D"/>
    <w:rsid w:val="008050D5"/>
    <w:rsid w:val="00805781"/>
    <w:rsid w:val="00810894"/>
    <w:rsid w:val="00810ABF"/>
    <w:rsid w:val="00811274"/>
    <w:rsid w:val="00811778"/>
    <w:rsid w:val="0081197C"/>
    <w:rsid w:val="00811DC4"/>
    <w:rsid w:val="0081290E"/>
    <w:rsid w:val="00814848"/>
    <w:rsid w:val="00815FF0"/>
    <w:rsid w:val="008168B8"/>
    <w:rsid w:val="00816A75"/>
    <w:rsid w:val="008179C2"/>
    <w:rsid w:val="00820077"/>
    <w:rsid w:val="00820CDC"/>
    <w:rsid w:val="008226A5"/>
    <w:rsid w:val="0082275C"/>
    <w:rsid w:val="00822AF3"/>
    <w:rsid w:val="00822C42"/>
    <w:rsid w:val="0082300E"/>
    <w:rsid w:val="00823FB5"/>
    <w:rsid w:val="0082449D"/>
    <w:rsid w:val="00824589"/>
    <w:rsid w:val="00824EC4"/>
    <w:rsid w:val="00825908"/>
    <w:rsid w:val="00825B29"/>
    <w:rsid w:val="00825FB1"/>
    <w:rsid w:val="00826168"/>
    <w:rsid w:val="008269C7"/>
    <w:rsid w:val="00826B2E"/>
    <w:rsid w:val="00827A76"/>
    <w:rsid w:val="008310A5"/>
    <w:rsid w:val="0083269F"/>
    <w:rsid w:val="0083372F"/>
    <w:rsid w:val="00833E7D"/>
    <w:rsid w:val="00834192"/>
    <w:rsid w:val="008412E5"/>
    <w:rsid w:val="00842B8F"/>
    <w:rsid w:val="00842CBC"/>
    <w:rsid w:val="00844329"/>
    <w:rsid w:val="00844928"/>
    <w:rsid w:val="008451B0"/>
    <w:rsid w:val="008456E8"/>
    <w:rsid w:val="0084582B"/>
    <w:rsid w:val="008459B9"/>
    <w:rsid w:val="00845F3C"/>
    <w:rsid w:val="00851DDE"/>
    <w:rsid w:val="008522B0"/>
    <w:rsid w:val="00852DC3"/>
    <w:rsid w:val="00852DDC"/>
    <w:rsid w:val="008536D1"/>
    <w:rsid w:val="00853B6F"/>
    <w:rsid w:val="00854C24"/>
    <w:rsid w:val="00856960"/>
    <w:rsid w:val="00857CC5"/>
    <w:rsid w:val="008602EF"/>
    <w:rsid w:val="008603B7"/>
    <w:rsid w:val="0086047C"/>
    <w:rsid w:val="00861D25"/>
    <w:rsid w:val="0086211B"/>
    <w:rsid w:val="00862A5C"/>
    <w:rsid w:val="00862C96"/>
    <w:rsid w:val="00862F29"/>
    <w:rsid w:val="0086389B"/>
    <w:rsid w:val="008662A5"/>
    <w:rsid w:val="00866607"/>
    <w:rsid w:val="00867424"/>
    <w:rsid w:val="00872699"/>
    <w:rsid w:val="00873568"/>
    <w:rsid w:val="008736AA"/>
    <w:rsid w:val="008749A4"/>
    <w:rsid w:val="00874BF9"/>
    <w:rsid w:val="00874F4A"/>
    <w:rsid w:val="008750EE"/>
    <w:rsid w:val="0087721A"/>
    <w:rsid w:val="00880233"/>
    <w:rsid w:val="00880771"/>
    <w:rsid w:val="00880C7D"/>
    <w:rsid w:val="00880D8D"/>
    <w:rsid w:val="0088132B"/>
    <w:rsid w:val="0088271B"/>
    <w:rsid w:val="0088393C"/>
    <w:rsid w:val="00884581"/>
    <w:rsid w:val="008902D9"/>
    <w:rsid w:val="00891126"/>
    <w:rsid w:val="00891E3F"/>
    <w:rsid w:val="00892531"/>
    <w:rsid w:val="00893039"/>
    <w:rsid w:val="00893354"/>
    <w:rsid w:val="008938BA"/>
    <w:rsid w:val="008943AC"/>
    <w:rsid w:val="00895D65"/>
    <w:rsid w:val="00895DA7"/>
    <w:rsid w:val="00895DC9"/>
    <w:rsid w:val="00897435"/>
    <w:rsid w:val="008975F2"/>
    <w:rsid w:val="00897DCB"/>
    <w:rsid w:val="008A06AE"/>
    <w:rsid w:val="008A0815"/>
    <w:rsid w:val="008A0E4B"/>
    <w:rsid w:val="008A0FB1"/>
    <w:rsid w:val="008A1C79"/>
    <w:rsid w:val="008A1DA2"/>
    <w:rsid w:val="008A2CBE"/>
    <w:rsid w:val="008A3BAD"/>
    <w:rsid w:val="008A42C6"/>
    <w:rsid w:val="008A4899"/>
    <w:rsid w:val="008A495F"/>
    <w:rsid w:val="008A5C00"/>
    <w:rsid w:val="008A6A64"/>
    <w:rsid w:val="008B0A6F"/>
    <w:rsid w:val="008B0BCC"/>
    <w:rsid w:val="008B131A"/>
    <w:rsid w:val="008B131C"/>
    <w:rsid w:val="008B2147"/>
    <w:rsid w:val="008B2220"/>
    <w:rsid w:val="008B4DE4"/>
    <w:rsid w:val="008B50C0"/>
    <w:rsid w:val="008B5581"/>
    <w:rsid w:val="008B6A1E"/>
    <w:rsid w:val="008B6AC3"/>
    <w:rsid w:val="008B7490"/>
    <w:rsid w:val="008C137F"/>
    <w:rsid w:val="008C2987"/>
    <w:rsid w:val="008C2D73"/>
    <w:rsid w:val="008C35A4"/>
    <w:rsid w:val="008C36EA"/>
    <w:rsid w:val="008C38FE"/>
    <w:rsid w:val="008C5D19"/>
    <w:rsid w:val="008C7293"/>
    <w:rsid w:val="008C76D2"/>
    <w:rsid w:val="008C7E09"/>
    <w:rsid w:val="008D0A15"/>
    <w:rsid w:val="008D14C1"/>
    <w:rsid w:val="008D18D9"/>
    <w:rsid w:val="008D36E2"/>
    <w:rsid w:val="008D3BB3"/>
    <w:rsid w:val="008D4061"/>
    <w:rsid w:val="008D4F53"/>
    <w:rsid w:val="008D5E93"/>
    <w:rsid w:val="008D7681"/>
    <w:rsid w:val="008E10CB"/>
    <w:rsid w:val="008E1CA5"/>
    <w:rsid w:val="008E210A"/>
    <w:rsid w:val="008E2249"/>
    <w:rsid w:val="008E30C0"/>
    <w:rsid w:val="008E3434"/>
    <w:rsid w:val="008E5E43"/>
    <w:rsid w:val="008E61C8"/>
    <w:rsid w:val="008E68EC"/>
    <w:rsid w:val="008E6B62"/>
    <w:rsid w:val="008E6D81"/>
    <w:rsid w:val="008E7203"/>
    <w:rsid w:val="008F08E3"/>
    <w:rsid w:val="008F114C"/>
    <w:rsid w:val="008F1EDC"/>
    <w:rsid w:val="008F2117"/>
    <w:rsid w:val="008F237F"/>
    <w:rsid w:val="008F255A"/>
    <w:rsid w:val="008F283B"/>
    <w:rsid w:val="008F3752"/>
    <w:rsid w:val="008F37E8"/>
    <w:rsid w:val="008F3EB7"/>
    <w:rsid w:val="008F5D02"/>
    <w:rsid w:val="008F7992"/>
    <w:rsid w:val="009002E6"/>
    <w:rsid w:val="00900A7A"/>
    <w:rsid w:val="009013DE"/>
    <w:rsid w:val="0090263E"/>
    <w:rsid w:val="00905567"/>
    <w:rsid w:val="009055FD"/>
    <w:rsid w:val="009057AE"/>
    <w:rsid w:val="00906C20"/>
    <w:rsid w:val="009106FE"/>
    <w:rsid w:val="00910CEE"/>
    <w:rsid w:val="00911487"/>
    <w:rsid w:val="00911EC3"/>
    <w:rsid w:val="009122CD"/>
    <w:rsid w:val="00913736"/>
    <w:rsid w:val="0091443F"/>
    <w:rsid w:val="00914BB7"/>
    <w:rsid w:val="00915169"/>
    <w:rsid w:val="00915B9E"/>
    <w:rsid w:val="009165DE"/>
    <w:rsid w:val="00916AA8"/>
    <w:rsid w:val="009178C1"/>
    <w:rsid w:val="009178C8"/>
    <w:rsid w:val="0092146E"/>
    <w:rsid w:val="00921605"/>
    <w:rsid w:val="00922C23"/>
    <w:rsid w:val="009236FB"/>
    <w:rsid w:val="0092458C"/>
    <w:rsid w:val="009248EF"/>
    <w:rsid w:val="00924EFD"/>
    <w:rsid w:val="00924F6D"/>
    <w:rsid w:val="009263B3"/>
    <w:rsid w:val="00927F3D"/>
    <w:rsid w:val="009304EA"/>
    <w:rsid w:val="009312F7"/>
    <w:rsid w:val="00931837"/>
    <w:rsid w:val="0093381D"/>
    <w:rsid w:val="00933C91"/>
    <w:rsid w:val="00933E07"/>
    <w:rsid w:val="0093454C"/>
    <w:rsid w:val="00934C0D"/>
    <w:rsid w:val="00936E87"/>
    <w:rsid w:val="00936F9B"/>
    <w:rsid w:val="0094008F"/>
    <w:rsid w:val="009402AC"/>
    <w:rsid w:val="009406CD"/>
    <w:rsid w:val="00941701"/>
    <w:rsid w:val="009438C2"/>
    <w:rsid w:val="00943B68"/>
    <w:rsid w:val="0094421A"/>
    <w:rsid w:val="0094446A"/>
    <w:rsid w:val="0094480D"/>
    <w:rsid w:val="00945FAF"/>
    <w:rsid w:val="009462B8"/>
    <w:rsid w:val="009476E2"/>
    <w:rsid w:val="00947D69"/>
    <w:rsid w:val="00950887"/>
    <w:rsid w:val="009523C2"/>
    <w:rsid w:val="009527B2"/>
    <w:rsid w:val="0095457E"/>
    <w:rsid w:val="00956D20"/>
    <w:rsid w:val="00957D8B"/>
    <w:rsid w:val="00957E35"/>
    <w:rsid w:val="00957EE5"/>
    <w:rsid w:val="00960659"/>
    <w:rsid w:val="00960C31"/>
    <w:rsid w:val="00961063"/>
    <w:rsid w:val="009632CD"/>
    <w:rsid w:val="00964502"/>
    <w:rsid w:val="00964A9B"/>
    <w:rsid w:val="0096595A"/>
    <w:rsid w:val="00965E3B"/>
    <w:rsid w:val="0096627A"/>
    <w:rsid w:val="00966D0A"/>
    <w:rsid w:val="00967A5C"/>
    <w:rsid w:val="00967DBA"/>
    <w:rsid w:val="009711A9"/>
    <w:rsid w:val="009713F2"/>
    <w:rsid w:val="00971844"/>
    <w:rsid w:val="009727C2"/>
    <w:rsid w:val="00973121"/>
    <w:rsid w:val="00973364"/>
    <w:rsid w:val="00973E7E"/>
    <w:rsid w:val="00975AEA"/>
    <w:rsid w:val="00975F6D"/>
    <w:rsid w:val="0097627D"/>
    <w:rsid w:val="00976721"/>
    <w:rsid w:val="00977509"/>
    <w:rsid w:val="00977D5E"/>
    <w:rsid w:val="009801F3"/>
    <w:rsid w:val="009806A5"/>
    <w:rsid w:val="00980BC6"/>
    <w:rsid w:val="00981273"/>
    <w:rsid w:val="00981C90"/>
    <w:rsid w:val="00981FCC"/>
    <w:rsid w:val="0098218B"/>
    <w:rsid w:val="00982F3D"/>
    <w:rsid w:val="00983F64"/>
    <w:rsid w:val="00984CA6"/>
    <w:rsid w:val="00985081"/>
    <w:rsid w:val="00985210"/>
    <w:rsid w:val="009852FD"/>
    <w:rsid w:val="00986097"/>
    <w:rsid w:val="00986662"/>
    <w:rsid w:val="009902D5"/>
    <w:rsid w:val="009916D9"/>
    <w:rsid w:val="009921BD"/>
    <w:rsid w:val="00992312"/>
    <w:rsid w:val="00992770"/>
    <w:rsid w:val="00993C1B"/>
    <w:rsid w:val="00993EF0"/>
    <w:rsid w:val="00994630"/>
    <w:rsid w:val="009962C7"/>
    <w:rsid w:val="00996461"/>
    <w:rsid w:val="00996BE2"/>
    <w:rsid w:val="00996DC6"/>
    <w:rsid w:val="009A063B"/>
    <w:rsid w:val="009A0681"/>
    <w:rsid w:val="009A1821"/>
    <w:rsid w:val="009A186A"/>
    <w:rsid w:val="009A2433"/>
    <w:rsid w:val="009A2493"/>
    <w:rsid w:val="009A2579"/>
    <w:rsid w:val="009A3F4D"/>
    <w:rsid w:val="009A492E"/>
    <w:rsid w:val="009A4B92"/>
    <w:rsid w:val="009A5200"/>
    <w:rsid w:val="009A5B4F"/>
    <w:rsid w:val="009B1209"/>
    <w:rsid w:val="009B183D"/>
    <w:rsid w:val="009B472C"/>
    <w:rsid w:val="009B4971"/>
    <w:rsid w:val="009B569A"/>
    <w:rsid w:val="009B6232"/>
    <w:rsid w:val="009B63E1"/>
    <w:rsid w:val="009B6416"/>
    <w:rsid w:val="009B676F"/>
    <w:rsid w:val="009B6DEF"/>
    <w:rsid w:val="009B7913"/>
    <w:rsid w:val="009B7DF2"/>
    <w:rsid w:val="009C0494"/>
    <w:rsid w:val="009C0832"/>
    <w:rsid w:val="009C0CF2"/>
    <w:rsid w:val="009C1AEC"/>
    <w:rsid w:val="009C2E26"/>
    <w:rsid w:val="009C3050"/>
    <w:rsid w:val="009C38E9"/>
    <w:rsid w:val="009C5273"/>
    <w:rsid w:val="009C56E8"/>
    <w:rsid w:val="009C6091"/>
    <w:rsid w:val="009D0297"/>
    <w:rsid w:val="009D23C8"/>
    <w:rsid w:val="009D33BB"/>
    <w:rsid w:val="009D35FA"/>
    <w:rsid w:val="009D384D"/>
    <w:rsid w:val="009D5535"/>
    <w:rsid w:val="009D5546"/>
    <w:rsid w:val="009D56BB"/>
    <w:rsid w:val="009D77BF"/>
    <w:rsid w:val="009D7B72"/>
    <w:rsid w:val="009D7CD5"/>
    <w:rsid w:val="009E16A0"/>
    <w:rsid w:val="009E27BA"/>
    <w:rsid w:val="009E2D03"/>
    <w:rsid w:val="009E3D77"/>
    <w:rsid w:val="009E4248"/>
    <w:rsid w:val="009E44AC"/>
    <w:rsid w:val="009E4DF7"/>
    <w:rsid w:val="009E4F0C"/>
    <w:rsid w:val="009E50B8"/>
    <w:rsid w:val="009E5EA1"/>
    <w:rsid w:val="009E62E0"/>
    <w:rsid w:val="009E6A8C"/>
    <w:rsid w:val="009E73C9"/>
    <w:rsid w:val="009F0961"/>
    <w:rsid w:val="009F23B2"/>
    <w:rsid w:val="009F2816"/>
    <w:rsid w:val="009F2C7E"/>
    <w:rsid w:val="009F3C8B"/>
    <w:rsid w:val="009F3E40"/>
    <w:rsid w:val="009F4381"/>
    <w:rsid w:val="009F48F0"/>
    <w:rsid w:val="009F4A0F"/>
    <w:rsid w:val="009F5F46"/>
    <w:rsid w:val="009F6E0E"/>
    <w:rsid w:val="00A0054C"/>
    <w:rsid w:val="00A0070D"/>
    <w:rsid w:val="00A00B24"/>
    <w:rsid w:val="00A0185C"/>
    <w:rsid w:val="00A04452"/>
    <w:rsid w:val="00A0500D"/>
    <w:rsid w:val="00A06732"/>
    <w:rsid w:val="00A06F66"/>
    <w:rsid w:val="00A10321"/>
    <w:rsid w:val="00A10626"/>
    <w:rsid w:val="00A106E7"/>
    <w:rsid w:val="00A109DF"/>
    <w:rsid w:val="00A11322"/>
    <w:rsid w:val="00A12750"/>
    <w:rsid w:val="00A12F9D"/>
    <w:rsid w:val="00A14C2C"/>
    <w:rsid w:val="00A1501C"/>
    <w:rsid w:val="00A17A04"/>
    <w:rsid w:val="00A21E2A"/>
    <w:rsid w:val="00A221D7"/>
    <w:rsid w:val="00A2286A"/>
    <w:rsid w:val="00A22CD4"/>
    <w:rsid w:val="00A2301E"/>
    <w:rsid w:val="00A23A58"/>
    <w:rsid w:val="00A24CD8"/>
    <w:rsid w:val="00A255DD"/>
    <w:rsid w:val="00A25912"/>
    <w:rsid w:val="00A25E92"/>
    <w:rsid w:val="00A26EE7"/>
    <w:rsid w:val="00A27248"/>
    <w:rsid w:val="00A2781E"/>
    <w:rsid w:val="00A27D99"/>
    <w:rsid w:val="00A30901"/>
    <w:rsid w:val="00A30A63"/>
    <w:rsid w:val="00A30F81"/>
    <w:rsid w:val="00A319FC"/>
    <w:rsid w:val="00A31A1E"/>
    <w:rsid w:val="00A334C2"/>
    <w:rsid w:val="00A350B8"/>
    <w:rsid w:val="00A35D13"/>
    <w:rsid w:val="00A366B0"/>
    <w:rsid w:val="00A372CF"/>
    <w:rsid w:val="00A37607"/>
    <w:rsid w:val="00A37A7B"/>
    <w:rsid w:val="00A37F38"/>
    <w:rsid w:val="00A40B4F"/>
    <w:rsid w:val="00A40EEC"/>
    <w:rsid w:val="00A414A4"/>
    <w:rsid w:val="00A42265"/>
    <w:rsid w:val="00A44D26"/>
    <w:rsid w:val="00A44EFF"/>
    <w:rsid w:val="00A472FA"/>
    <w:rsid w:val="00A4783F"/>
    <w:rsid w:val="00A50E96"/>
    <w:rsid w:val="00A521B6"/>
    <w:rsid w:val="00A5257B"/>
    <w:rsid w:val="00A52EFC"/>
    <w:rsid w:val="00A53BB9"/>
    <w:rsid w:val="00A54523"/>
    <w:rsid w:val="00A54607"/>
    <w:rsid w:val="00A54C25"/>
    <w:rsid w:val="00A5592F"/>
    <w:rsid w:val="00A55E48"/>
    <w:rsid w:val="00A567DB"/>
    <w:rsid w:val="00A57637"/>
    <w:rsid w:val="00A608D0"/>
    <w:rsid w:val="00A626B4"/>
    <w:rsid w:val="00A62DC5"/>
    <w:rsid w:val="00A63FA8"/>
    <w:rsid w:val="00A64E00"/>
    <w:rsid w:val="00A65C71"/>
    <w:rsid w:val="00A66907"/>
    <w:rsid w:val="00A669F5"/>
    <w:rsid w:val="00A67173"/>
    <w:rsid w:val="00A678C1"/>
    <w:rsid w:val="00A70A6A"/>
    <w:rsid w:val="00A70EBD"/>
    <w:rsid w:val="00A70FA6"/>
    <w:rsid w:val="00A7197C"/>
    <w:rsid w:val="00A71B99"/>
    <w:rsid w:val="00A723A4"/>
    <w:rsid w:val="00A7504D"/>
    <w:rsid w:val="00A75BE1"/>
    <w:rsid w:val="00A81000"/>
    <w:rsid w:val="00A813D2"/>
    <w:rsid w:val="00A81A60"/>
    <w:rsid w:val="00A82EB9"/>
    <w:rsid w:val="00A83365"/>
    <w:rsid w:val="00A83F03"/>
    <w:rsid w:val="00A8492F"/>
    <w:rsid w:val="00A8536F"/>
    <w:rsid w:val="00A862BD"/>
    <w:rsid w:val="00A86984"/>
    <w:rsid w:val="00A86B40"/>
    <w:rsid w:val="00A906E3"/>
    <w:rsid w:val="00A91ADA"/>
    <w:rsid w:val="00A92553"/>
    <w:rsid w:val="00A92B42"/>
    <w:rsid w:val="00A92EDC"/>
    <w:rsid w:val="00A9486B"/>
    <w:rsid w:val="00A94FD9"/>
    <w:rsid w:val="00A9587B"/>
    <w:rsid w:val="00A95B2C"/>
    <w:rsid w:val="00A96C8C"/>
    <w:rsid w:val="00A96FB2"/>
    <w:rsid w:val="00A97083"/>
    <w:rsid w:val="00A979A9"/>
    <w:rsid w:val="00A97C4B"/>
    <w:rsid w:val="00A97F5A"/>
    <w:rsid w:val="00AA25BF"/>
    <w:rsid w:val="00AA27EA"/>
    <w:rsid w:val="00AA2BFE"/>
    <w:rsid w:val="00AA6AF4"/>
    <w:rsid w:val="00AA72CB"/>
    <w:rsid w:val="00AA7347"/>
    <w:rsid w:val="00AA7FF6"/>
    <w:rsid w:val="00AB0F8E"/>
    <w:rsid w:val="00AB16F0"/>
    <w:rsid w:val="00AB2645"/>
    <w:rsid w:val="00AB3AB0"/>
    <w:rsid w:val="00AB6B64"/>
    <w:rsid w:val="00AC1172"/>
    <w:rsid w:val="00AC1218"/>
    <w:rsid w:val="00AC1AEB"/>
    <w:rsid w:val="00AC1B5E"/>
    <w:rsid w:val="00AC1CD0"/>
    <w:rsid w:val="00AC1D59"/>
    <w:rsid w:val="00AC2300"/>
    <w:rsid w:val="00AC2868"/>
    <w:rsid w:val="00AC2CF9"/>
    <w:rsid w:val="00AC40AD"/>
    <w:rsid w:val="00AC4726"/>
    <w:rsid w:val="00AC57EA"/>
    <w:rsid w:val="00AC795C"/>
    <w:rsid w:val="00AC7DE2"/>
    <w:rsid w:val="00AD1294"/>
    <w:rsid w:val="00AD1F96"/>
    <w:rsid w:val="00AD3A94"/>
    <w:rsid w:val="00AD4581"/>
    <w:rsid w:val="00AD52A4"/>
    <w:rsid w:val="00AD53D3"/>
    <w:rsid w:val="00AD581C"/>
    <w:rsid w:val="00AD6521"/>
    <w:rsid w:val="00AD713C"/>
    <w:rsid w:val="00AD7A79"/>
    <w:rsid w:val="00AD7D27"/>
    <w:rsid w:val="00AE0981"/>
    <w:rsid w:val="00AE38A0"/>
    <w:rsid w:val="00AE43AB"/>
    <w:rsid w:val="00AE4FA9"/>
    <w:rsid w:val="00AE5050"/>
    <w:rsid w:val="00AE55F2"/>
    <w:rsid w:val="00AE5C3E"/>
    <w:rsid w:val="00AE6D54"/>
    <w:rsid w:val="00AE7396"/>
    <w:rsid w:val="00AE7749"/>
    <w:rsid w:val="00AF043E"/>
    <w:rsid w:val="00AF0828"/>
    <w:rsid w:val="00AF0DE4"/>
    <w:rsid w:val="00AF3E80"/>
    <w:rsid w:val="00AF43D7"/>
    <w:rsid w:val="00AF4A41"/>
    <w:rsid w:val="00AF4AF5"/>
    <w:rsid w:val="00AF5468"/>
    <w:rsid w:val="00AF5E27"/>
    <w:rsid w:val="00B00472"/>
    <w:rsid w:val="00B009A3"/>
    <w:rsid w:val="00B01127"/>
    <w:rsid w:val="00B01153"/>
    <w:rsid w:val="00B01935"/>
    <w:rsid w:val="00B024B9"/>
    <w:rsid w:val="00B024E6"/>
    <w:rsid w:val="00B03CAD"/>
    <w:rsid w:val="00B066D7"/>
    <w:rsid w:val="00B06A1A"/>
    <w:rsid w:val="00B07200"/>
    <w:rsid w:val="00B07E65"/>
    <w:rsid w:val="00B10589"/>
    <w:rsid w:val="00B12EAA"/>
    <w:rsid w:val="00B13783"/>
    <w:rsid w:val="00B143A0"/>
    <w:rsid w:val="00B14C4B"/>
    <w:rsid w:val="00B1601C"/>
    <w:rsid w:val="00B169B1"/>
    <w:rsid w:val="00B17DB6"/>
    <w:rsid w:val="00B20647"/>
    <w:rsid w:val="00B2068E"/>
    <w:rsid w:val="00B2310D"/>
    <w:rsid w:val="00B23E69"/>
    <w:rsid w:val="00B26034"/>
    <w:rsid w:val="00B261AC"/>
    <w:rsid w:val="00B27415"/>
    <w:rsid w:val="00B30F57"/>
    <w:rsid w:val="00B327E1"/>
    <w:rsid w:val="00B3310A"/>
    <w:rsid w:val="00B331B8"/>
    <w:rsid w:val="00B3346D"/>
    <w:rsid w:val="00B34657"/>
    <w:rsid w:val="00B35FF9"/>
    <w:rsid w:val="00B360E0"/>
    <w:rsid w:val="00B36A1D"/>
    <w:rsid w:val="00B37116"/>
    <w:rsid w:val="00B379FD"/>
    <w:rsid w:val="00B40F8C"/>
    <w:rsid w:val="00B41226"/>
    <w:rsid w:val="00B42B97"/>
    <w:rsid w:val="00B4312C"/>
    <w:rsid w:val="00B43286"/>
    <w:rsid w:val="00B433E8"/>
    <w:rsid w:val="00B43EF9"/>
    <w:rsid w:val="00B44538"/>
    <w:rsid w:val="00B44ADA"/>
    <w:rsid w:val="00B45543"/>
    <w:rsid w:val="00B4645D"/>
    <w:rsid w:val="00B47F3A"/>
    <w:rsid w:val="00B47FAD"/>
    <w:rsid w:val="00B508EC"/>
    <w:rsid w:val="00B50FD5"/>
    <w:rsid w:val="00B515A8"/>
    <w:rsid w:val="00B52858"/>
    <w:rsid w:val="00B5425A"/>
    <w:rsid w:val="00B5427E"/>
    <w:rsid w:val="00B548E6"/>
    <w:rsid w:val="00B54DF7"/>
    <w:rsid w:val="00B5580E"/>
    <w:rsid w:val="00B55B12"/>
    <w:rsid w:val="00B5640E"/>
    <w:rsid w:val="00B56CE9"/>
    <w:rsid w:val="00B576B1"/>
    <w:rsid w:val="00B607E7"/>
    <w:rsid w:val="00B61BE7"/>
    <w:rsid w:val="00B61F7E"/>
    <w:rsid w:val="00B63050"/>
    <w:rsid w:val="00B634B6"/>
    <w:rsid w:val="00B63766"/>
    <w:rsid w:val="00B6401B"/>
    <w:rsid w:val="00B64095"/>
    <w:rsid w:val="00B64508"/>
    <w:rsid w:val="00B65CF4"/>
    <w:rsid w:val="00B67222"/>
    <w:rsid w:val="00B67442"/>
    <w:rsid w:val="00B6773C"/>
    <w:rsid w:val="00B67E53"/>
    <w:rsid w:val="00B70D2E"/>
    <w:rsid w:val="00B7345A"/>
    <w:rsid w:val="00B75F47"/>
    <w:rsid w:val="00B760E2"/>
    <w:rsid w:val="00B7677E"/>
    <w:rsid w:val="00B76A71"/>
    <w:rsid w:val="00B76A8B"/>
    <w:rsid w:val="00B77347"/>
    <w:rsid w:val="00B776C7"/>
    <w:rsid w:val="00B777C3"/>
    <w:rsid w:val="00B77A8F"/>
    <w:rsid w:val="00B80944"/>
    <w:rsid w:val="00B82A7A"/>
    <w:rsid w:val="00B837BF"/>
    <w:rsid w:val="00B83B8B"/>
    <w:rsid w:val="00B845B8"/>
    <w:rsid w:val="00B85B71"/>
    <w:rsid w:val="00B860BA"/>
    <w:rsid w:val="00B86967"/>
    <w:rsid w:val="00B87459"/>
    <w:rsid w:val="00B8758E"/>
    <w:rsid w:val="00B87FC7"/>
    <w:rsid w:val="00B9032C"/>
    <w:rsid w:val="00B90346"/>
    <w:rsid w:val="00B91D1C"/>
    <w:rsid w:val="00B937B2"/>
    <w:rsid w:val="00B937D0"/>
    <w:rsid w:val="00B949EE"/>
    <w:rsid w:val="00B94D59"/>
    <w:rsid w:val="00B95BBD"/>
    <w:rsid w:val="00B96E43"/>
    <w:rsid w:val="00B9724C"/>
    <w:rsid w:val="00BA0157"/>
    <w:rsid w:val="00BA0E63"/>
    <w:rsid w:val="00BA0F8E"/>
    <w:rsid w:val="00BA17C0"/>
    <w:rsid w:val="00BA17C3"/>
    <w:rsid w:val="00BA2240"/>
    <w:rsid w:val="00BA2830"/>
    <w:rsid w:val="00BA31EA"/>
    <w:rsid w:val="00BA37A4"/>
    <w:rsid w:val="00BA48A6"/>
    <w:rsid w:val="00BA5197"/>
    <w:rsid w:val="00BA5291"/>
    <w:rsid w:val="00BA6AC5"/>
    <w:rsid w:val="00BB07AC"/>
    <w:rsid w:val="00BB16BC"/>
    <w:rsid w:val="00BB1CDE"/>
    <w:rsid w:val="00BB3343"/>
    <w:rsid w:val="00BB3500"/>
    <w:rsid w:val="00BB3DFC"/>
    <w:rsid w:val="00BB3E7F"/>
    <w:rsid w:val="00BB4567"/>
    <w:rsid w:val="00BB4BB9"/>
    <w:rsid w:val="00BB4D00"/>
    <w:rsid w:val="00BB65F9"/>
    <w:rsid w:val="00BB6A49"/>
    <w:rsid w:val="00BB7726"/>
    <w:rsid w:val="00BC1729"/>
    <w:rsid w:val="00BC2273"/>
    <w:rsid w:val="00BC2429"/>
    <w:rsid w:val="00BC26D4"/>
    <w:rsid w:val="00BC274A"/>
    <w:rsid w:val="00BC2963"/>
    <w:rsid w:val="00BC3176"/>
    <w:rsid w:val="00BC5837"/>
    <w:rsid w:val="00BC5876"/>
    <w:rsid w:val="00BC6852"/>
    <w:rsid w:val="00BD08D0"/>
    <w:rsid w:val="00BD09A2"/>
    <w:rsid w:val="00BD0D70"/>
    <w:rsid w:val="00BD255B"/>
    <w:rsid w:val="00BD30FF"/>
    <w:rsid w:val="00BD32F5"/>
    <w:rsid w:val="00BD552B"/>
    <w:rsid w:val="00BD709E"/>
    <w:rsid w:val="00BD7568"/>
    <w:rsid w:val="00BE0A9C"/>
    <w:rsid w:val="00BE0E3D"/>
    <w:rsid w:val="00BE1816"/>
    <w:rsid w:val="00BE2F27"/>
    <w:rsid w:val="00BE33FB"/>
    <w:rsid w:val="00BE3C4D"/>
    <w:rsid w:val="00BE4B2A"/>
    <w:rsid w:val="00BE4F6D"/>
    <w:rsid w:val="00BE5CFC"/>
    <w:rsid w:val="00BE5DB1"/>
    <w:rsid w:val="00BE60C1"/>
    <w:rsid w:val="00BE68FC"/>
    <w:rsid w:val="00BE7864"/>
    <w:rsid w:val="00BE7BA9"/>
    <w:rsid w:val="00BF08B2"/>
    <w:rsid w:val="00BF0A4F"/>
    <w:rsid w:val="00BF0B99"/>
    <w:rsid w:val="00BF0DAB"/>
    <w:rsid w:val="00BF1889"/>
    <w:rsid w:val="00BF18C9"/>
    <w:rsid w:val="00BF1CEF"/>
    <w:rsid w:val="00BF28DC"/>
    <w:rsid w:val="00BF2BC4"/>
    <w:rsid w:val="00BF2C1C"/>
    <w:rsid w:val="00BF2C40"/>
    <w:rsid w:val="00BF2C44"/>
    <w:rsid w:val="00BF4936"/>
    <w:rsid w:val="00BF5682"/>
    <w:rsid w:val="00BF5789"/>
    <w:rsid w:val="00BF599C"/>
    <w:rsid w:val="00BF6CB2"/>
    <w:rsid w:val="00C005C3"/>
    <w:rsid w:val="00C0067A"/>
    <w:rsid w:val="00C01726"/>
    <w:rsid w:val="00C03210"/>
    <w:rsid w:val="00C03DD7"/>
    <w:rsid w:val="00C03F68"/>
    <w:rsid w:val="00C07CE3"/>
    <w:rsid w:val="00C10EE0"/>
    <w:rsid w:val="00C1130D"/>
    <w:rsid w:val="00C12B8E"/>
    <w:rsid w:val="00C1372D"/>
    <w:rsid w:val="00C13963"/>
    <w:rsid w:val="00C1489F"/>
    <w:rsid w:val="00C148FA"/>
    <w:rsid w:val="00C14DC2"/>
    <w:rsid w:val="00C17033"/>
    <w:rsid w:val="00C17B2F"/>
    <w:rsid w:val="00C21800"/>
    <w:rsid w:val="00C223AB"/>
    <w:rsid w:val="00C225DE"/>
    <w:rsid w:val="00C22D84"/>
    <w:rsid w:val="00C23075"/>
    <w:rsid w:val="00C268CE"/>
    <w:rsid w:val="00C30287"/>
    <w:rsid w:val="00C3063B"/>
    <w:rsid w:val="00C31E0B"/>
    <w:rsid w:val="00C31FAB"/>
    <w:rsid w:val="00C320C3"/>
    <w:rsid w:val="00C32A71"/>
    <w:rsid w:val="00C335E8"/>
    <w:rsid w:val="00C337ED"/>
    <w:rsid w:val="00C34150"/>
    <w:rsid w:val="00C34222"/>
    <w:rsid w:val="00C35D89"/>
    <w:rsid w:val="00C365B8"/>
    <w:rsid w:val="00C36642"/>
    <w:rsid w:val="00C40BAA"/>
    <w:rsid w:val="00C410AB"/>
    <w:rsid w:val="00C4181D"/>
    <w:rsid w:val="00C41D31"/>
    <w:rsid w:val="00C41F83"/>
    <w:rsid w:val="00C42A89"/>
    <w:rsid w:val="00C43508"/>
    <w:rsid w:val="00C438D2"/>
    <w:rsid w:val="00C45AEA"/>
    <w:rsid w:val="00C463C6"/>
    <w:rsid w:val="00C47247"/>
    <w:rsid w:val="00C50CB4"/>
    <w:rsid w:val="00C522DD"/>
    <w:rsid w:val="00C52A6C"/>
    <w:rsid w:val="00C53A96"/>
    <w:rsid w:val="00C53E1C"/>
    <w:rsid w:val="00C54DA9"/>
    <w:rsid w:val="00C55526"/>
    <w:rsid w:val="00C57373"/>
    <w:rsid w:val="00C61909"/>
    <w:rsid w:val="00C6296C"/>
    <w:rsid w:val="00C632C4"/>
    <w:rsid w:val="00C63C57"/>
    <w:rsid w:val="00C642F8"/>
    <w:rsid w:val="00C649C6"/>
    <w:rsid w:val="00C65707"/>
    <w:rsid w:val="00C65922"/>
    <w:rsid w:val="00C66519"/>
    <w:rsid w:val="00C67EBF"/>
    <w:rsid w:val="00C71285"/>
    <w:rsid w:val="00C72C41"/>
    <w:rsid w:val="00C754E8"/>
    <w:rsid w:val="00C7572B"/>
    <w:rsid w:val="00C75C4D"/>
    <w:rsid w:val="00C7693F"/>
    <w:rsid w:val="00C76FC7"/>
    <w:rsid w:val="00C80068"/>
    <w:rsid w:val="00C80806"/>
    <w:rsid w:val="00C81435"/>
    <w:rsid w:val="00C81B64"/>
    <w:rsid w:val="00C82B71"/>
    <w:rsid w:val="00C82BAD"/>
    <w:rsid w:val="00C84CB8"/>
    <w:rsid w:val="00C86ED8"/>
    <w:rsid w:val="00C87408"/>
    <w:rsid w:val="00C878D1"/>
    <w:rsid w:val="00C87B9B"/>
    <w:rsid w:val="00C87EE0"/>
    <w:rsid w:val="00C9029F"/>
    <w:rsid w:val="00C91147"/>
    <w:rsid w:val="00C936D3"/>
    <w:rsid w:val="00C93D6E"/>
    <w:rsid w:val="00C93F4A"/>
    <w:rsid w:val="00C93F9D"/>
    <w:rsid w:val="00C95819"/>
    <w:rsid w:val="00C9695A"/>
    <w:rsid w:val="00C96B29"/>
    <w:rsid w:val="00C97948"/>
    <w:rsid w:val="00CA036C"/>
    <w:rsid w:val="00CA049E"/>
    <w:rsid w:val="00CA4003"/>
    <w:rsid w:val="00CA412F"/>
    <w:rsid w:val="00CA51DF"/>
    <w:rsid w:val="00CA525E"/>
    <w:rsid w:val="00CA593B"/>
    <w:rsid w:val="00CA5C7F"/>
    <w:rsid w:val="00CA67AF"/>
    <w:rsid w:val="00CA7814"/>
    <w:rsid w:val="00CB0639"/>
    <w:rsid w:val="00CB1808"/>
    <w:rsid w:val="00CB1B39"/>
    <w:rsid w:val="00CB1FD3"/>
    <w:rsid w:val="00CB310E"/>
    <w:rsid w:val="00CB5C85"/>
    <w:rsid w:val="00CB75E0"/>
    <w:rsid w:val="00CC0447"/>
    <w:rsid w:val="00CC0A8C"/>
    <w:rsid w:val="00CC1F65"/>
    <w:rsid w:val="00CC1F8D"/>
    <w:rsid w:val="00CC22A1"/>
    <w:rsid w:val="00CC235E"/>
    <w:rsid w:val="00CC33A7"/>
    <w:rsid w:val="00CC3A9F"/>
    <w:rsid w:val="00CC3D0B"/>
    <w:rsid w:val="00CC44E7"/>
    <w:rsid w:val="00CC5667"/>
    <w:rsid w:val="00CC631F"/>
    <w:rsid w:val="00CC64F1"/>
    <w:rsid w:val="00CC65D1"/>
    <w:rsid w:val="00CC6F33"/>
    <w:rsid w:val="00CC7786"/>
    <w:rsid w:val="00CC7F60"/>
    <w:rsid w:val="00CD3F89"/>
    <w:rsid w:val="00CD4132"/>
    <w:rsid w:val="00CD483D"/>
    <w:rsid w:val="00CD4BE3"/>
    <w:rsid w:val="00CD50DC"/>
    <w:rsid w:val="00CD562D"/>
    <w:rsid w:val="00CD5C84"/>
    <w:rsid w:val="00CD66B7"/>
    <w:rsid w:val="00CD6AFB"/>
    <w:rsid w:val="00CD7548"/>
    <w:rsid w:val="00CE03F5"/>
    <w:rsid w:val="00CE2129"/>
    <w:rsid w:val="00CE2222"/>
    <w:rsid w:val="00CE2230"/>
    <w:rsid w:val="00CE27F9"/>
    <w:rsid w:val="00CE2EC0"/>
    <w:rsid w:val="00CE34E8"/>
    <w:rsid w:val="00CE3DAF"/>
    <w:rsid w:val="00CE4BE3"/>
    <w:rsid w:val="00CE4E63"/>
    <w:rsid w:val="00CE5B2F"/>
    <w:rsid w:val="00CE6085"/>
    <w:rsid w:val="00CE6828"/>
    <w:rsid w:val="00CE68EE"/>
    <w:rsid w:val="00CE6E94"/>
    <w:rsid w:val="00CE7840"/>
    <w:rsid w:val="00CF0160"/>
    <w:rsid w:val="00CF0630"/>
    <w:rsid w:val="00CF09CB"/>
    <w:rsid w:val="00CF1488"/>
    <w:rsid w:val="00CF14B9"/>
    <w:rsid w:val="00CF1E62"/>
    <w:rsid w:val="00CF29DF"/>
    <w:rsid w:val="00CF3719"/>
    <w:rsid w:val="00CF4A0C"/>
    <w:rsid w:val="00CF4B55"/>
    <w:rsid w:val="00CF62CE"/>
    <w:rsid w:val="00D00258"/>
    <w:rsid w:val="00D00967"/>
    <w:rsid w:val="00D0193E"/>
    <w:rsid w:val="00D01A16"/>
    <w:rsid w:val="00D027B2"/>
    <w:rsid w:val="00D02C52"/>
    <w:rsid w:val="00D0390C"/>
    <w:rsid w:val="00D04D90"/>
    <w:rsid w:val="00D04F7C"/>
    <w:rsid w:val="00D10846"/>
    <w:rsid w:val="00D11747"/>
    <w:rsid w:val="00D11EB1"/>
    <w:rsid w:val="00D14235"/>
    <w:rsid w:val="00D1425E"/>
    <w:rsid w:val="00D145DF"/>
    <w:rsid w:val="00D1492A"/>
    <w:rsid w:val="00D157D4"/>
    <w:rsid w:val="00D15DFB"/>
    <w:rsid w:val="00D15E7F"/>
    <w:rsid w:val="00D173AB"/>
    <w:rsid w:val="00D17469"/>
    <w:rsid w:val="00D17757"/>
    <w:rsid w:val="00D20178"/>
    <w:rsid w:val="00D203D3"/>
    <w:rsid w:val="00D21685"/>
    <w:rsid w:val="00D224E7"/>
    <w:rsid w:val="00D22D0B"/>
    <w:rsid w:val="00D23410"/>
    <w:rsid w:val="00D23F74"/>
    <w:rsid w:val="00D24C95"/>
    <w:rsid w:val="00D257B9"/>
    <w:rsid w:val="00D2595C"/>
    <w:rsid w:val="00D26E3B"/>
    <w:rsid w:val="00D3049B"/>
    <w:rsid w:val="00D30797"/>
    <w:rsid w:val="00D31369"/>
    <w:rsid w:val="00D3165F"/>
    <w:rsid w:val="00D3169E"/>
    <w:rsid w:val="00D3191C"/>
    <w:rsid w:val="00D32EF7"/>
    <w:rsid w:val="00D32F6C"/>
    <w:rsid w:val="00D33855"/>
    <w:rsid w:val="00D34062"/>
    <w:rsid w:val="00D34336"/>
    <w:rsid w:val="00D34E22"/>
    <w:rsid w:val="00D353E8"/>
    <w:rsid w:val="00D355C3"/>
    <w:rsid w:val="00D36E73"/>
    <w:rsid w:val="00D371FD"/>
    <w:rsid w:val="00D40B69"/>
    <w:rsid w:val="00D43197"/>
    <w:rsid w:val="00D44B8F"/>
    <w:rsid w:val="00D44E2C"/>
    <w:rsid w:val="00D45189"/>
    <w:rsid w:val="00D458CD"/>
    <w:rsid w:val="00D458E0"/>
    <w:rsid w:val="00D501D7"/>
    <w:rsid w:val="00D51AB8"/>
    <w:rsid w:val="00D5213E"/>
    <w:rsid w:val="00D52AE2"/>
    <w:rsid w:val="00D52BFC"/>
    <w:rsid w:val="00D52F78"/>
    <w:rsid w:val="00D544AF"/>
    <w:rsid w:val="00D55676"/>
    <w:rsid w:val="00D5745C"/>
    <w:rsid w:val="00D57539"/>
    <w:rsid w:val="00D57645"/>
    <w:rsid w:val="00D57D56"/>
    <w:rsid w:val="00D601C3"/>
    <w:rsid w:val="00D609C4"/>
    <w:rsid w:val="00D61D20"/>
    <w:rsid w:val="00D61E4D"/>
    <w:rsid w:val="00D61E7F"/>
    <w:rsid w:val="00D6242B"/>
    <w:rsid w:val="00D62896"/>
    <w:rsid w:val="00D6366B"/>
    <w:rsid w:val="00D66BE6"/>
    <w:rsid w:val="00D66E9B"/>
    <w:rsid w:val="00D66FA6"/>
    <w:rsid w:val="00D67621"/>
    <w:rsid w:val="00D67628"/>
    <w:rsid w:val="00D67B82"/>
    <w:rsid w:val="00D71C8F"/>
    <w:rsid w:val="00D730D4"/>
    <w:rsid w:val="00D73C47"/>
    <w:rsid w:val="00D74235"/>
    <w:rsid w:val="00D74E42"/>
    <w:rsid w:val="00D75D8B"/>
    <w:rsid w:val="00D7680B"/>
    <w:rsid w:val="00D77901"/>
    <w:rsid w:val="00D8019F"/>
    <w:rsid w:val="00D806E3"/>
    <w:rsid w:val="00D80AD9"/>
    <w:rsid w:val="00D813DC"/>
    <w:rsid w:val="00D81CF2"/>
    <w:rsid w:val="00D81FD2"/>
    <w:rsid w:val="00D82148"/>
    <w:rsid w:val="00D83507"/>
    <w:rsid w:val="00D84C24"/>
    <w:rsid w:val="00D8554F"/>
    <w:rsid w:val="00D8724A"/>
    <w:rsid w:val="00D8799C"/>
    <w:rsid w:val="00D92595"/>
    <w:rsid w:val="00D9286E"/>
    <w:rsid w:val="00D92A2A"/>
    <w:rsid w:val="00D93276"/>
    <w:rsid w:val="00D9336F"/>
    <w:rsid w:val="00D93B37"/>
    <w:rsid w:val="00D93DAE"/>
    <w:rsid w:val="00D93E29"/>
    <w:rsid w:val="00D9522B"/>
    <w:rsid w:val="00D9554C"/>
    <w:rsid w:val="00D955ED"/>
    <w:rsid w:val="00D96124"/>
    <w:rsid w:val="00D9784B"/>
    <w:rsid w:val="00DA0576"/>
    <w:rsid w:val="00DA061E"/>
    <w:rsid w:val="00DA1132"/>
    <w:rsid w:val="00DA1291"/>
    <w:rsid w:val="00DA1A03"/>
    <w:rsid w:val="00DA349F"/>
    <w:rsid w:val="00DA3F49"/>
    <w:rsid w:val="00DA5CD9"/>
    <w:rsid w:val="00DA5D8F"/>
    <w:rsid w:val="00DA61B0"/>
    <w:rsid w:val="00DA62AB"/>
    <w:rsid w:val="00DA6A13"/>
    <w:rsid w:val="00DB1167"/>
    <w:rsid w:val="00DB13C1"/>
    <w:rsid w:val="00DB20EC"/>
    <w:rsid w:val="00DB2BD2"/>
    <w:rsid w:val="00DB3954"/>
    <w:rsid w:val="00DB39FF"/>
    <w:rsid w:val="00DB47B7"/>
    <w:rsid w:val="00DB4944"/>
    <w:rsid w:val="00DB5BA7"/>
    <w:rsid w:val="00DB5E45"/>
    <w:rsid w:val="00DB62A4"/>
    <w:rsid w:val="00DB6407"/>
    <w:rsid w:val="00DB7525"/>
    <w:rsid w:val="00DB7623"/>
    <w:rsid w:val="00DC0AF5"/>
    <w:rsid w:val="00DC0F16"/>
    <w:rsid w:val="00DC15CE"/>
    <w:rsid w:val="00DC1606"/>
    <w:rsid w:val="00DC1836"/>
    <w:rsid w:val="00DC18BF"/>
    <w:rsid w:val="00DC2822"/>
    <w:rsid w:val="00DC39EC"/>
    <w:rsid w:val="00DC3CF6"/>
    <w:rsid w:val="00DC646D"/>
    <w:rsid w:val="00DC6AAA"/>
    <w:rsid w:val="00DC6F53"/>
    <w:rsid w:val="00DC7626"/>
    <w:rsid w:val="00DD1D2E"/>
    <w:rsid w:val="00DD2DA1"/>
    <w:rsid w:val="00DD2DFD"/>
    <w:rsid w:val="00DD3D17"/>
    <w:rsid w:val="00DD4D98"/>
    <w:rsid w:val="00DD6246"/>
    <w:rsid w:val="00DD6A47"/>
    <w:rsid w:val="00DD731F"/>
    <w:rsid w:val="00DE04B7"/>
    <w:rsid w:val="00DE067B"/>
    <w:rsid w:val="00DE0AC4"/>
    <w:rsid w:val="00DE1E98"/>
    <w:rsid w:val="00DE2622"/>
    <w:rsid w:val="00DE2873"/>
    <w:rsid w:val="00DE415F"/>
    <w:rsid w:val="00DE48B1"/>
    <w:rsid w:val="00DE6589"/>
    <w:rsid w:val="00DE6908"/>
    <w:rsid w:val="00DE6DD4"/>
    <w:rsid w:val="00DE72DD"/>
    <w:rsid w:val="00DE7419"/>
    <w:rsid w:val="00DE7B10"/>
    <w:rsid w:val="00DF1A82"/>
    <w:rsid w:val="00DF39F6"/>
    <w:rsid w:val="00DF3EF2"/>
    <w:rsid w:val="00DF3F0F"/>
    <w:rsid w:val="00DF4785"/>
    <w:rsid w:val="00DF4B68"/>
    <w:rsid w:val="00DF4C51"/>
    <w:rsid w:val="00DF5106"/>
    <w:rsid w:val="00DF5E97"/>
    <w:rsid w:val="00DF6390"/>
    <w:rsid w:val="00DF7062"/>
    <w:rsid w:val="00DF7B7F"/>
    <w:rsid w:val="00E0002D"/>
    <w:rsid w:val="00E01C21"/>
    <w:rsid w:val="00E03372"/>
    <w:rsid w:val="00E0525D"/>
    <w:rsid w:val="00E052AE"/>
    <w:rsid w:val="00E052AF"/>
    <w:rsid w:val="00E06096"/>
    <w:rsid w:val="00E073AE"/>
    <w:rsid w:val="00E11121"/>
    <w:rsid w:val="00E125D2"/>
    <w:rsid w:val="00E126AD"/>
    <w:rsid w:val="00E12D99"/>
    <w:rsid w:val="00E14682"/>
    <w:rsid w:val="00E148FD"/>
    <w:rsid w:val="00E15130"/>
    <w:rsid w:val="00E16357"/>
    <w:rsid w:val="00E16A16"/>
    <w:rsid w:val="00E16B18"/>
    <w:rsid w:val="00E16B97"/>
    <w:rsid w:val="00E16C11"/>
    <w:rsid w:val="00E16CFF"/>
    <w:rsid w:val="00E20E14"/>
    <w:rsid w:val="00E22CAF"/>
    <w:rsid w:val="00E23028"/>
    <w:rsid w:val="00E23E75"/>
    <w:rsid w:val="00E24967"/>
    <w:rsid w:val="00E25586"/>
    <w:rsid w:val="00E260EE"/>
    <w:rsid w:val="00E2677C"/>
    <w:rsid w:val="00E26DC3"/>
    <w:rsid w:val="00E26FF2"/>
    <w:rsid w:val="00E3096F"/>
    <w:rsid w:val="00E30B95"/>
    <w:rsid w:val="00E3150C"/>
    <w:rsid w:val="00E32940"/>
    <w:rsid w:val="00E33766"/>
    <w:rsid w:val="00E33D16"/>
    <w:rsid w:val="00E3417D"/>
    <w:rsid w:val="00E3631A"/>
    <w:rsid w:val="00E363A6"/>
    <w:rsid w:val="00E374AE"/>
    <w:rsid w:val="00E37681"/>
    <w:rsid w:val="00E3790C"/>
    <w:rsid w:val="00E37C8E"/>
    <w:rsid w:val="00E40EBC"/>
    <w:rsid w:val="00E41233"/>
    <w:rsid w:val="00E414CC"/>
    <w:rsid w:val="00E41D9B"/>
    <w:rsid w:val="00E44B2D"/>
    <w:rsid w:val="00E44C10"/>
    <w:rsid w:val="00E458B4"/>
    <w:rsid w:val="00E45DD8"/>
    <w:rsid w:val="00E46611"/>
    <w:rsid w:val="00E4710F"/>
    <w:rsid w:val="00E515E4"/>
    <w:rsid w:val="00E521E1"/>
    <w:rsid w:val="00E52308"/>
    <w:rsid w:val="00E52B3C"/>
    <w:rsid w:val="00E53505"/>
    <w:rsid w:val="00E55054"/>
    <w:rsid w:val="00E57FA9"/>
    <w:rsid w:val="00E608DC"/>
    <w:rsid w:val="00E61541"/>
    <w:rsid w:val="00E61709"/>
    <w:rsid w:val="00E6192D"/>
    <w:rsid w:val="00E65291"/>
    <w:rsid w:val="00E65F8B"/>
    <w:rsid w:val="00E6681E"/>
    <w:rsid w:val="00E66C7E"/>
    <w:rsid w:val="00E66E12"/>
    <w:rsid w:val="00E66EC0"/>
    <w:rsid w:val="00E672BE"/>
    <w:rsid w:val="00E67379"/>
    <w:rsid w:val="00E67C35"/>
    <w:rsid w:val="00E7149E"/>
    <w:rsid w:val="00E71838"/>
    <w:rsid w:val="00E71FF0"/>
    <w:rsid w:val="00E724A1"/>
    <w:rsid w:val="00E72F3E"/>
    <w:rsid w:val="00E7401C"/>
    <w:rsid w:val="00E7546E"/>
    <w:rsid w:val="00E76288"/>
    <w:rsid w:val="00E77E77"/>
    <w:rsid w:val="00E77F0C"/>
    <w:rsid w:val="00E8047C"/>
    <w:rsid w:val="00E815C9"/>
    <w:rsid w:val="00E81686"/>
    <w:rsid w:val="00E81C04"/>
    <w:rsid w:val="00E82819"/>
    <w:rsid w:val="00E828A7"/>
    <w:rsid w:val="00E82F39"/>
    <w:rsid w:val="00E8369E"/>
    <w:rsid w:val="00E85898"/>
    <w:rsid w:val="00E858CF"/>
    <w:rsid w:val="00E86696"/>
    <w:rsid w:val="00E877A9"/>
    <w:rsid w:val="00E87C19"/>
    <w:rsid w:val="00E910C9"/>
    <w:rsid w:val="00E92EC0"/>
    <w:rsid w:val="00E932AB"/>
    <w:rsid w:val="00E94222"/>
    <w:rsid w:val="00E942E1"/>
    <w:rsid w:val="00E952E0"/>
    <w:rsid w:val="00E96323"/>
    <w:rsid w:val="00E96C25"/>
    <w:rsid w:val="00E976E8"/>
    <w:rsid w:val="00EA113E"/>
    <w:rsid w:val="00EA28FD"/>
    <w:rsid w:val="00EA352F"/>
    <w:rsid w:val="00EA3B30"/>
    <w:rsid w:val="00EA474A"/>
    <w:rsid w:val="00EA5474"/>
    <w:rsid w:val="00EA54CA"/>
    <w:rsid w:val="00EA5656"/>
    <w:rsid w:val="00EA59E9"/>
    <w:rsid w:val="00EA5D86"/>
    <w:rsid w:val="00EB0504"/>
    <w:rsid w:val="00EB0816"/>
    <w:rsid w:val="00EB1C30"/>
    <w:rsid w:val="00EB3D78"/>
    <w:rsid w:val="00EB482D"/>
    <w:rsid w:val="00EB51EF"/>
    <w:rsid w:val="00EC05F2"/>
    <w:rsid w:val="00EC066D"/>
    <w:rsid w:val="00EC0D0E"/>
    <w:rsid w:val="00EC14BA"/>
    <w:rsid w:val="00EC16A3"/>
    <w:rsid w:val="00EC1A2B"/>
    <w:rsid w:val="00EC1E7D"/>
    <w:rsid w:val="00EC2170"/>
    <w:rsid w:val="00EC21A4"/>
    <w:rsid w:val="00EC245B"/>
    <w:rsid w:val="00EC2790"/>
    <w:rsid w:val="00EC2F14"/>
    <w:rsid w:val="00EC3F2D"/>
    <w:rsid w:val="00EC4097"/>
    <w:rsid w:val="00EC5018"/>
    <w:rsid w:val="00EC579C"/>
    <w:rsid w:val="00EC60A3"/>
    <w:rsid w:val="00EC6A0D"/>
    <w:rsid w:val="00EC6C16"/>
    <w:rsid w:val="00ED071F"/>
    <w:rsid w:val="00ED0E09"/>
    <w:rsid w:val="00ED1CEC"/>
    <w:rsid w:val="00ED1D8A"/>
    <w:rsid w:val="00ED1E7A"/>
    <w:rsid w:val="00ED2CEA"/>
    <w:rsid w:val="00ED2D8A"/>
    <w:rsid w:val="00ED2F09"/>
    <w:rsid w:val="00ED418B"/>
    <w:rsid w:val="00ED41DF"/>
    <w:rsid w:val="00ED4998"/>
    <w:rsid w:val="00ED4F43"/>
    <w:rsid w:val="00ED5372"/>
    <w:rsid w:val="00ED5564"/>
    <w:rsid w:val="00ED6957"/>
    <w:rsid w:val="00ED73DB"/>
    <w:rsid w:val="00EE04C8"/>
    <w:rsid w:val="00EE22E0"/>
    <w:rsid w:val="00EE3327"/>
    <w:rsid w:val="00EE3503"/>
    <w:rsid w:val="00EE3B09"/>
    <w:rsid w:val="00EE4677"/>
    <w:rsid w:val="00EE4EDC"/>
    <w:rsid w:val="00EE5AA1"/>
    <w:rsid w:val="00EF113D"/>
    <w:rsid w:val="00EF1DAA"/>
    <w:rsid w:val="00EF1EFB"/>
    <w:rsid w:val="00EF2C23"/>
    <w:rsid w:val="00EF3D7D"/>
    <w:rsid w:val="00EF4E66"/>
    <w:rsid w:val="00EF5529"/>
    <w:rsid w:val="00EF5D40"/>
    <w:rsid w:val="00EF6C50"/>
    <w:rsid w:val="00EF7A9A"/>
    <w:rsid w:val="00F005C9"/>
    <w:rsid w:val="00F00793"/>
    <w:rsid w:val="00F01165"/>
    <w:rsid w:val="00F0448A"/>
    <w:rsid w:val="00F05369"/>
    <w:rsid w:val="00F057A5"/>
    <w:rsid w:val="00F05A59"/>
    <w:rsid w:val="00F05D94"/>
    <w:rsid w:val="00F06469"/>
    <w:rsid w:val="00F06A83"/>
    <w:rsid w:val="00F11BEB"/>
    <w:rsid w:val="00F120DF"/>
    <w:rsid w:val="00F12A80"/>
    <w:rsid w:val="00F12D15"/>
    <w:rsid w:val="00F1361B"/>
    <w:rsid w:val="00F137DB"/>
    <w:rsid w:val="00F14065"/>
    <w:rsid w:val="00F1432D"/>
    <w:rsid w:val="00F1469F"/>
    <w:rsid w:val="00F16101"/>
    <w:rsid w:val="00F17612"/>
    <w:rsid w:val="00F17F79"/>
    <w:rsid w:val="00F202CC"/>
    <w:rsid w:val="00F20C94"/>
    <w:rsid w:val="00F211CD"/>
    <w:rsid w:val="00F216FE"/>
    <w:rsid w:val="00F218A7"/>
    <w:rsid w:val="00F22BD1"/>
    <w:rsid w:val="00F2448F"/>
    <w:rsid w:val="00F25D69"/>
    <w:rsid w:val="00F25E37"/>
    <w:rsid w:val="00F262D5"/>
    <w:rsid w:val="00F277DA"/>
    <w:rsid w:val="00F30BB2"/>
    <w:rsid w:val="00F3108B"/>
    <w:rsid w:val="00F313B3"/>
    <w:rsid w:val="00F318E9"/>
    <w:rsid w:val="00F32798"/>
    <w:rsid w:val="00F32C93"/>
    <w:rsid w:val="00F3322A"/>
    <w:rsid w:val="00F33E72"/>
    <w:rsid w:val="00F34642"/>
    <w:rsid w:val="00F35120"/>
    <w:rsid w:val="00F35810"/>
    <w:rsid w:val="00F36D90"/>
    <w:rsid w:val="00F36DF1"/>
    <w:rsid w:val="00F36E1C"/>
    <w:rsid w:val="00F370D6"/>
    <w:rsid w:val="00F37807"/>
    <w:rsid w:val="00F37D27"/>
    <w:rsid w:val="00F40A08"/>
    <w:rsid w:val="00F40C3D"/>
    <w:rsid w:val="00F41257"/>
    <w:rsid w:val="00F4183A"/>
    <w:rsid w:val="00F4326A"/>
    <w:rsid w:val="00F45E33"/>
    <w:rsid w:val="00F4654E"/>
    <w:rsid w:val="00F46A11"/>
    <w:rsid w:val="00F46D44"/>
    <w:rsid w:val="00F4722A"/>
    <w:rsid w:val="00F475D6"/>
    <w:rsid w:val="00F47615"/>
    <w:rsid w:val="00F508D1"/>
    <w:rsid w:val="00F5164A"/>
    <w:rsid w:val="00F529F3"/>
    <w:rsid w:val="00F52D4A"/>
    <w:rsid w:val="00F54627"/>
    <w:rsid w:val="00F54CF8"/>
    <w:rsid w:val="00F55D2F"/>
    <w:rsid w:val="00F56B37"/>
    <w:rsid w:val="00F57567"/>
    <w:rsid w:val="00F57F16"/>
    <w:rsid w:val="00F60196"/>
    <w:rsid w:val="00F62FAA"/>
    <w:rsid w:val="00F66E56"/>
    <w:rsid w:val="00F679BD"/>
    <w:rsid w:val="00F70C78"/>
    <w:rsid w:val="00F716BE"/>
    <w:rsid w:val="00F716E9"/>
    <w:rsid w:val="00F71E4F"/>
    <w:rsid w:val="00F72CFC"/>
    <w:rsid w:val="00F7453B"/>
    <w:rsid w:val="00F7464B"/>
    <w:rsid w:val="00F7487D"/>
    <w:rsid w:val="00F77F94"/>
    <w:rsid w:val="00F802C5"/>
    <w:rsid w:val="00F808E8"/>
    <w:rsid w:val="00F80B1F"/>
    <w:rsid w:val="00F80C2A"/>
    <w:rsid w:val="00F80FB3"/>
    <w:rsid w:val="00F81952"/>
    <w:rsid w:val="00F81967"/>
    <w:rsid w:val="00F848E7"/>
    <w:rsid w:val="00F85C10"/>
    <w:rsid w:val="00F85D24"/>
    <w:rsid w:val="00F87E6F"/>
    <w:rsid w:val="00F901A4"/>
    <w:rsid w:val="00F93D47"/>
    <w:rsid w:val="00F94A61"/>
    <w:rsid w:val="00F95F98"/>
    <w:rsid w:val="00F96252"/>
    <w:rsid w:val="00F96AF1"/>
    <w:rsid w:val="00F970D9"/>
    <w:rsid w:val="00F973FA"/>
    <w:rsid w:val="00F97774"/>
    <w:rsid w:val="00FA063A"/>
    <w:rsid w:val="00FA0959"/>
    <w:rsid w:val="00FA0CE4"/>
    <w:rsid w:val="00FA1574"/>
    <w:rsid w:val="00FA1927"/>
    <w:rsid w:val="00FA22F9"/>
    <w:rsid w:val="00FA2975"/>
    <w:rsid w:val="00FA34D3"/>
    <w:rsid w:val="00FA371D"/>
    <w:rsid w:val="00FA38DD"/>
    <w:rsid w:val="00FA3E0F"/>
    <w:rsid w:val="00FA479E"/>
    <w:rsid w:val="00FA4C6A"/>
    <w:rsid w:val="00FA5CE4"/>
    <w:rsid w:val="00FA5E55"/>
    <w:rsid w:val="00FA5F58"/>
    <w:rsid w:val="00FA6C9D"/>
    <w:rsid w:val="00FB17B4"/>
    <w:rsid w:val="00FB24AB"/>
    <w:rsid w:val="00FB2E0C"/>
    <w:rsid w:val="00FB36B3"/>
    <w:rsid w:val="00FB4803"/>
    <w:rsid w:val="00FB5D5B"/>
    <w:rsid w:val="00FB5EC8"/>
    <w:rsid w:val="00FB662E"/>
    <w:rsid w:val="00FB7170"/>
    <w:rsid w:val="00FC018F"/>
    <w:rsid w:val="00FC18AE"/>
    <w:rsid w:val="00FC18F7"/>
    <w:rsid w:val="00FC1BB1"/>
    <w:rsid w:val="00FC47C0"/>
    <w:rsid w:val="00FC4882"/>
    <w:rsid w:val="00FC51BC"/>
    <w:rsid w:val="00FC606A"/>
    <w:rsid w:val="00FC6564"/>
    <w:rsid w:val="00FC6A63"/>
    <w:rsid w:val="00FC7A0A"/>
    <w:rsid w:val="00FC7EB5"/>
    <w:rsid w:val="00FC7ECB"/>
    <w:rsid w:val="00FD03C7"/>
    <w:rsid w:val="00FD1938"/>
    <w:rsid w:val="00FD237D"/>
    <w:rsid w:val="00FD2959"/>
    <w:rsid w:val="00FD3A04"/>
    <w:rsid w:val="00FD61BC"/>
    <w:rsid w:val="00FD6B98"/>
    <w:rsid w:val="00FD76BC"/>
    <w:rsid w:val="00FE06C8"/>
    <w:rsid w:val="00FE0C2A"/>
    <w:rsid w:val="00FE13C4"/>
    <w:rsid w:val="00FE1C6F"/>
    <w:rsid w:val="00FE3ED7"/>
    <w:rsid w:val="00FE4B50"/>
    <w:rsid w:val="00FE4D41"/>
    <w:rsid w:val="00FE5278"/>
    <w:rsid w:val="00FE5641"/>
    <w:rsid w:val="00FE5844"/>
    <w:rsid w:val="00FE5DE3"/>
    <w:rsid w:val="00FE74D3"/>
    <w:rsid w:val="00FE7A81"/>
    <w:rsid w:val="00FE7BEB"/>
    <w:rsid w:val="00FF027F"/>
    <w:rsid w:val="00FF0A40"/>
    <w:rsid w:val="00FF16E3"/>
    <w:rsid w:val="00FF1CF8"/>
    <w:rsid w:val="00FF2804"/>
    <w:rsid w:val="00FF3065"/>
    <w:rsid w:val="00FF3222"/>
    <w:rsid w:val="00FF3393"/>
    <w:rsid w:val="00FF33B6"/>
    <w:rsid w:val="00FF3A0C"/>
    <w:rsid w:val="00FF4127"/>
    <w:rsid w:val="00FF54F6"/>
    <w:rsid w:val="00FF5FF1"/>
    <w:rsid w:val="00FF640B"/>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7083F"/>
  <w15:docId w15:val="{2B90A5BB-A4CF-4275-BD89-F8E4D331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DF1"/>
  </w:style>
  <w:style w:type="paragraph" w:styleId="Heading1">
    <w:name w:val="heading 1"/>
    <w:basedOn w:val="Normal"/>
    <w:next w:val="Normal"/>
    <w:link w:val="Heading1Char"/>
    <w:qFormat/>
    <w:rsid w:val="00931837"/>
    <w:pPr>
      <w:keepNext/>
      <w:numPr>
        <w:numId w:val="5"/>
      </w:numPr>
      <w:spacing w:before="360" w:after="360" w:line="240" w:lineRule="auto"/>
      <w:outlineLvl w:val="0"/>
    </w:pPr>
    <w:rPr>
      <w:rFonts w:ascii="Verdana" w:eastAsia="Times New Roman" w:hAnsi="Verdana" w:cs="Times New Roman Bold"/>
      <w:b/>
      <w:bCs/>
      <w:caps/>
      <w:color w:val="004494"/>
      <w:sz w:val="32"/>
      <w:szCs w:val="44"/>
      <w:lang w:val="en-GB" w:eastAsia="en-GB"/>
    </w:rPr>
  </w:style>
  <w:style w:type="paragraph" w:styleId="Heading2">
    <w:name w:val="heading 2"/>
    <w:basedOn w:val="Normal"/>
    <w:next w:val="Normal"/>
    <w:link w:val="Heading2Char"/>
    <w:qFormat/>
    <w:rsid w:val="00931837"/>
    <w:pPr>
      <w:keepNext/>
      <w:numPr>
        <w:ilvl w:val="1"/>
        <w:numId w:val="5"/>
      </w:numPr>
      <w:spacing w:before="360" w:after="360" w:line="240" w:lineRule="auto"/>
      <w:outlineLvl w:val="1"/>
    </w:pPr>
    <w:rPr>
      <w:rFonts w:ascii="Verdana" w:eastAsia="Times New Roman" w:hAnsi="Verdana" w:cs="Times New Roman"/>
      <w:b/>
      <w:bCs/>
      <w:iCs/>
      <w:color w:val="2681B4"/>
      <w:sz w:val="32"/>
      <w:szCs w:val="28"/>
      <w:lang w:val="en-GB"/>
    </w:rPr>
  </w:style>
  <w:style w:type="paragraph" w:styleId="Heading3">
    <w:name w:val="heading 3"/>
    <w:basedOn w:val="Normal"/>
    <w:next w:val="Normal"/>
    <w:link w:val="Heading3Char"/>
    <w:qFormat/>
    <w:rsid w:val="00931837"/>
    <w:pPr>
      <w:keepNext/>
      <w:numPr>
        <w:ilvl w:val="2"/>
        <w:numId w:val="5"/>
      </w:numPr>
      <w:spacing w:before="360" w:after="360" w:line="240" w:lineRule="auto"/>
      <w:outlineLvl w:val="2"/>
    </w:pPr>
    <w:rPr>
      <w:rFonts w:ascii="Verdana" w:eastAsia="Times New Roman" w:hAnsi="Verdana" w:cs="Times New Roman Bold"/>
      <w:b/>
      <w:bCs/>
      <w:color w:val="678086"/>
      <w:sz w:val="26"/>
      <w:szCs w:val="24"/>
      <w:lang w:val="en-GB"/>
    </w:rPr>
  </w:style>
  <w:style w:type="paragraph" w:styleId="Heading4">
    <w:name w:val="heading 4"/>
    <w:basedOn w:val="Normal"/>
    <w:next w:val="Normal"/>
    <w:link w:val="Heading4Char"/>
    <w:qFormat/>
    <w:rsid w:val="004B66B4"/>
    <w:pPr>
      <w:keepNext/>
      <w:tabs>
        <w:tab w:val="num" w:pos="2160"/>
      </w:tabs>
      <w:overflowPunct w:val="0"/>
      <w:spacing w:before="240" w:after="120" w:line="240" w:lineRule="auto"/>
      <w:textAlignment w:val="baseline"/>
      <w:outlineLvl w:val="3"/>
    </w:pPr>
    <w:rPr>
      <w:rFonts w:ascii="Verdana" w:eastAsia="Times New Roman" w:hAnsi="Verdana" w:cs="Times New Roman"/>
      <w:b/>
      <w:bCs/>
      <w:iCs/>
      <w:color w:val="000000"/>
      <w:spacing w:val="-1"/>
      <w:kern w:val="36"/>
      <w:szCs w:val="20"/>
      <w:lang w:val="en-GB"/>
    </w:rPr>
  </w:style>
  <w:style w:type="paragraph" w:styleId="Heading5">
    <w:name w:val="heading 5"/>
    <w:basedOn w:val="Normal"/>
    <w:next w:val="Normal"/>
    <w:link w:val="Heading5Char"/>
    <w:qFormat/>
    <w:rsid w:val="00A97F5A"/>
    <w:pPr>
      <w:spacing w:before="360" w:after="360" w:line="240" w:lineRule="auto"/>
      <w:ind w:left="1276" w:hanging="1276"/>
      <w:outlineLvl w:val="4"/>
    </w:pPr>
    <w:rPr>
      <w:rFonts w:ascii="Verdana" w:hAnsi="Verdana" w:cs="Times New Roman"/>
      <w:b/>
      <w:bCs/>
      <w:i/>
      <w:iCs/>
      <w:color w:val="808080" w:themeColor="background1" w:themeShade="80"/>
      <w:sz w:val="26"/>
      <w:szCs w:val="26"/>
      <w:lang w:val="en-GB" w:eastAsia="en-GB"/>
    </w:rPr>
  </w:style>
  <w:style w:type="paragraph" w:styleId="Heading6">
    <w:name w:val="heading 6"/>
    <w:basedOn w:val="Normal"/>
    <w:next w:val="Normal"/>
    <w:link w:val="Heading6Char"/>
    <w:qFormat/>
    <w:rsid w:val="00A221D7"/>
    <w:pPr>
      <w:keepLines/>
      <w:tabs>
        <w:tab w:val="num" w:pos="-1258"/>
      </w:tabs>
      <w:spacing w:before="240" w:after="60" w:line="360" w:lineRule="auto"/>
      <w:ind w:left="-1258" w:hanging="1152"/>
      <w:jc w:val="both"/>
      <w:outlineLvl w:val="5"/>
    </w:pPr>
    <w:rPr>
      <w:rFonts w:ascii="Times New Roman" w:eastAsia="Calibri" w:hAnsi="Times New Roman" w:cs="Times New Roman"/>
      <w:b/>
      <w:lang w:val="en-GB" w:eastAsia="de-DE"/>
    </w:rPr>
  </w:style>
  <w:style w:type="paragraph" w:styleId="Heading7">
    <w:name w:val="heading 7"/>
    <w:basedOn w:val="Normal"/>
    <w:next w:val="Normal"/>
    <w:link w:val="Heading7Char"/>
    <w:qFormat/>
    <w:rsid w:val="00A221D7"/>
    <w:pPr>
      <w:keepLines/>
      <w:tabs>
        <w:tab w:val="num" w:pos="-1114"/>
      </w:tabs>
      <w:spacing w:before="240" w:after="60" w:line="360" w:lineRule="auto"/>
      <w:ind w:left="-1114" w:hanging="1296"/>
      <w:jc w:val="both"/>
      <w:outlineLvl w:val="6"/>
    </w:pPr>
    <w:rPr>
      <w:rFonts w:ascii="Times New Roman" w:eastAsia="Calibri" w:hAnsi="Times New Roman" w:cs="Times New Roman"/>
      <w:bCs/>
      <w:sz w:val="24"/>
      <w:szCs w:val="24"/>
      <w:lang w:val="en-GB" w:eastAsia="de-DE"/>
    </w:rPr>
  </w:style>
  <w:style w:type="paragraph" w:styleId="Heading8">
    <w:name w:val="heading 8"/>
    <w:basedOn w:val="Normal"/>
    <w:next w:val="Normal"/>
    <w:link w:val="Heading8Char"/>
    <w:qFormat/>
    <w:rsid w:val="00A221D7"/>
    <w:pPr>
      <w:keepLines/>
      <w:tabs>
        <w:tab w:val="num" w:pos="-970"/>
      </w:tabs>
      <w:spacing w:before="240" w:after="60" w:line="360" w:lineRule="auto"/>
      <w:ind w:left="-970" w:hanging="1440"/>
      <w:jc w:val="both"/>
      <w:outlineLvl w:val="7"/>
    </w:pPr>
    <w:rPr>
      <w:rFonts w:ascii="Times New Roman" w:eastAsia="Calibri" w:hAnsi="Times New Roman" w:cs="Times New Roman"/>
      <w:bCs/>
      <w:i/>
      <w:iCs/>
      <w:sz w:val="24"/>
      <w:szCs w:val="24"/>
      <w:lang w:val="en-GB" w:eastAsia="de-DE"/>
    </w:rPr>
  </w:style>
  <w:style w:type="paragraph" w:styleId="Heading9">
    <w:name w:val="heading 9"/>
    <w:basedOn w:val="Normal"/>
    <w:next w:val="Normal"/>
    <w:link w:val="Heading9Char"/>
    <w:qFormat/>
    <w:rsid w:val="00A221D7"/>
    <w:pPr>
      <w:keepLines/>
      <w:tabs>
        <w:tab w:val="num" w:pos="-826"/>
      </w:tabs>
      <w:spacing w:before="240" w:after="60" w:line="360" w:lineRule="auto"/>
      <w:ind w:left="-826" w:hanging="1584"/>
      <w:jc w:val="both"/>
      <w:outlineLvl w:val="8"/>
    </w:pPr>
    <w:rPr>
      <w:rFonts w:ascii="Arial" w:eastAsia="Calibri" w:hAnsi="Arial" w:cs="Arial"/>
      <w:bCs/>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837"/>
    <w:rPr>
      <w:rFonts w:ascii="Verdana" w:eastAsia="Times New Roman" w:hAnsi="Verdana" w:cs="Times New Roman Bold"/>
      <w:b/>
      <w:bCs/>
      <w:caps/>
      <w:color w:val="004494"/>
      <w:sz w:val="32"/>
      <w:szCs w:val="44"/>
      <w:lang w:val="en-GB" w:eastAsia="en-GB"/>
    </w:rPr>
  </w:style>
  <w:style w:type="character" w:customStyle="1" w:styleId="Heading2Char">
    <w:name w:val="Heading 2 Char"/>
    <w:basedOn w:val="DefaultParagraphFont"/>
    <w:link w:val="Heading2"/>
    <w:rsid w:val="00931837"/>
    <w:rPr>
      <w:rFonts w:ascii="Verdana" w:eastAsia="Times New Roman" w:hAnsi="Verdana" w:cs="Times New Roman"/>
      <w:b/>
      <w:bCs/>
      <w:iCs/>
      <w:color w:val="2681B4"/>
      <w:sz w:val="32"/>
      <w:szCs w:val="28"/>
      <w:lang w:val="en-GB"/>
    </w:rPr>
  </w:style>
  <w:style w:type="character" w:customStyle="1" w:styleId="Heading3Char">
    <w:name w:val="Heading 3 Char"/>
    <w:basedOn w:val="DefaultParagraphFont"/>
    <w:link w:val="Heading3"/>
    <w:rsid w:val="00931837"/>
    <w:rPr>
      <w:rFonts w:ascii="Verdana" w:eastAsia="Times New Roman" w:hAnsi="Verdana" w:cs="Times New Roman Bold"/>
      <w:b/>
      <w:bCs/>
      <w:color w:val="678086"/>
      <w:sz w:val="26"/>
      <w:szCs w:val="24"/>
      <w:lang w:val="en-GB"/>
    </w:rPr>
  </w:style>
  <w:style w:type="character" w:customStyle="1" w:styleId="Heading4Char">
    <w:name w:val="Heading 4 Char"/>
    <w:basedOn w:val="DefaultParagraphFont"/>
    <w:link w:val="Heading4"/>
    <w:uiPriority w:val="9"/>
    <w:rsid w:val="004B66B4"/>
    <w:rPr>
      <w:rFonts w:ascii="Verdana" w:eastAsia="Times New Roman" w:hAnsi="Verdana" w:cs="Times New Roman"/>
      <w:b/>
      <w:bCs/>
      <w:iCs/>
      <w:color w:val="000000"/>
      <w:spacing w:val="-1"/>
      <w:kern w:val="36"/>
      <w:szCs w:val="20"/>
      <w:lang w:val="en-GB"/>
    </w:rPr>
  </w:style>
  <w:style w:type="character" w:customStyle="1" w:styleId="Heading5Char">
    <w:name w:val="Heading 5 Char"/>
    <w:basedOn w:val="DefaultParagraphFont"/>
    <w:link w:val="Heading5"/>
    <w:rsid w:val="00A97F5A"/>
    <w:rPr>
      <w:rFonts w:ascii="Verdana" w:hAnsi="Verdana" w:cs="Times New Roman"/>
      <w:b/>
      <w:bCs/>
      <w:i/>
      <w:iCs/>
      <w:color w:val="808080" w:themeColor="background1" w:themeShade="80"/>
      <w:sz w:val="26"/>
      <w:szCs w:val="26"/>
      <w:lang w:val="en-GB" w:eastAsia="en-GB"/>
    </w:rPr>
  </w:style>
  <w:style w:type="numbering" w:customStyle="1" w:styleId="NoList1">
    <w:name w:val="No List1"/>
    <w:next w:val="NoList"/>
    <w:uiPriority w:val="99"/>
    <w:semiHidden/>
    <w:unhideWhenUsed/>
    <w:rsid w:val="004B66B4"/>
  </w:style>
  <w:style w:type="paragraph" w:styleId="FootnoteText">
    <w:name w:val="footnote text"/>
    <w:aliases w:val="Footnote Text Char1 Char,Footnote Text Char Char Char,Footnote Text Char1 Char Char Char,Footnote Text Char Char Char Char Char,Footnote Text Char1 Char1 Char,Footnote Text Char Char Char1 Char,Footnote Text Char1 Char Char Char Char Char"/>
    <w:basedOn w:val="Normal"/>
    <w:link w:val="FootnoteTextChar1"/>
    <w:rsid w:val="004B66B4"/>
    <w:pPr>
      <w:spacing w:after="0" w:line="240" w:lineRule="auto"/>
      <w:ind w:left="170" w:hanging="170"/>
    </w:pPr>
    <w:rPr>
      <w:rFonts w:ascii="Verdana" w:eastAsia="Times New Roman" w:hAnsi="Verdana" w:cs="Times New Roman"/>
      <w:sz w:val="18"/>
      <w:szCs w:val="20"/>
      <w:lang w:val="en-GB" w:eastAsia="en-GB"/>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1 Char Char1,Footnote Text Char Char Char1 Char Char1"/>
    <w:basedOn w:val="DefaultParagraphFont"/>
    <w:rsid w:val="004B66B4"/>
    <w:rPr>
      <w:sz w:val="20"/>
      <w:szCs w:val="20"/>
    </w:rPr>
  </w:style>
  <w:style w:type="character" w:styleId="FootnoteReference">
    <w:name w:val="footnote reference"/>
    <w:aliases w:val="SUPERS,BVI fnr,Footnote Reference Superscript,Footnote symbol,Footnote,16 Point,Superscript 6 Point,Footnote Reference Number,Footnote Reference_LVL6,Footnote Reference_LVL61,Footnote Reference_LVL62,Footnote Reference_LVL63"/>
    <w:rsid w:val="004B66B4"/>
    <w:rPr>
      <w:rFonts w:ascii="Verdana" w:hAnsi="Verdana"/>
      <w:b/>
      <w:color w:val="auto"/>
      <w:sz w:val="20"/>
      <w:vertAlign w:val="superscript"/>
    </w:rPr>
  </w:style>
  <w:style w:type="paragraph" w:styleId="Footer">
    <w:name w:val="footer"/>
    <w:basedOn w:val="Normal"/>
    <w:link w:val="FooterChar"/>
    <w:uiPriority w:val="99"/>
    <w:rsid w:val="004B66B4"/>
    <w:pPr>
      <w:tabs>
        <w:tab w:val="center" w:pos="4536"/>
        <w:tab w:val="right" w:pos="9072"/>
      </w:tabs>
      <w:spacing w:after="0" w:line="360" w:lineRule="auto"/>
    </w:pPr>
    <w:rPr>
      <w:rFonts w:ascii="Verdana" w:eastAsia="Times New Roman" w:hAnsi="Verdana" w:cs="Times New Roman"/>
      <w:i/>
      <w:sz w:val="18"/>
      <w:szCs w:val="20"/>
      <w:lang w:val="en-GB" w:eastAsia="en-GB"/>
    </w:rPr>
  </w:style>
  <w:style w:type="character" w:customStyle="1" w:styleId="FooterChar">
    <w:name w:val="Footer Char"/>
    <w:basedOn w:val="DefaultParagraphFont"/>
    <w:link w:val="Footer"/>
    <w:uiPriority w:val="99"/>
    <w:rsid w:val="004B66B4"/>
    <w:rPr>
      <w:rFonts w:ascii="Verdana" w:eastAsia="Times New Roman" w:hAnsi="Verdana" w:cs="Times New Roman"/>
      <w:i/>
      <w:sz w:val="18"/>
      <w:szCs w:val="20"/>
      <w:lang w:val="en-GB" w:eastAsia="en-GB"/>
    </w:rPr>
  </w:style>
  <w:style w:type="character" w:styleId="FollowedHyperlink">
    <w:name w:val="FollowedHyperlink"/>
    <w:rsid w:val="004B66B4"/>
    <w:rPr>
      <w:color w:val="800080"/>
      <w:u w:val="single"/>
    </w:rPr>
  </w:style>
  <w:style w:type="character" w:styleId="Hyperlink">
    <w:name w:val="Hyperlink"/>
    <w:uiPriority w:val="99"/>
    <w:rsid w:val="004B66B4"/>
    <w:rPr>
      <w:rFonts w:ascii="Verdana" w:hAnsi="Verdana"/>
      <w:color w:val="0000FF"/>
      <w:sz w:val="20"/>
      <w:u w:val="single"/>
    </w:rPr>
  </w:style>
  <w:style w:type="paragraph" w:customStyle="1" w:styleId="Listnumber1">
    <w:name w:val="List number 1"/>
    <w:basedOn w:val="Normal"/>
    <w:uiPriority w:val="99"/>
    <w:rsid w:val="004B66B4"/>
    <w:pPr>
      <w:numPr>
        <w:numId w:val="4"/>
      </w:numPr>
      <w:spacing w:after="0" w:line="240" w:lineRule="auto"/>
      <w:ind w:left="1077" w:hanging="357"/>
    </w:pPr>
    <w:rPr>
      <w:rFonts w:ascii="Verdana" w:eastAsia="Times New Roman" w:hAnsi="Verdana" w:cs="Times New Roman"/>
      <w:sz w:val="20"/>
      <w:szCs w:val="20"/>
      <w:lang w:val="fr-BE"/>
    </w:rPr>
  </w:style>
  <w:style w:type="paragraph" w:styleId="Header">
    <w:name w:val="header"/>
    <w:basedOn w:val="Normal"/>
    <w:link w:val="HeaderChar"/>
    <w:uiPriority w:val="99"/>
    <w:rsid w:val="004B66B4"/>
    <w:pPr>
      <w:tabs>
        <w:tab w:val="center" w:pos="4536"/>
        <w:tab w:val="right" w:pos="9072"/>
      </w:tabs>
      <w:spacing w:after="0" w:line="360" w:lineRule="auto"/>
    </w:pPr>
    <w:rPr>
      <w:rFonts w:ascii="Verdana" w:eastAsia="Times New Roman" w:hAnsi="Verdana" w:cs="Times New Roman"/>
      <w:sz w:val="20"/>
      <w:szCs w:val="20"/>
      <w:lang w:val="en-GB" w:eastAsia="en-GB"/>
    </w:rPr>
  </w:style>
  <w:style w:type="character" w:customStyle="1" w:styleId="HeaderChar">
    <w:name w:val="Header Char"/>
    <w:basedOn w:val="DefaultParagraphFont"/>
    <w:link w:val="Header"/>
    <w:uiPriority w:val="99"/>
    <w:rsid w:val="004B66B4"/>
    <w:rPr>
      <w:rFonts w:ascii="Verdana" w:eastAsia="Times New Roman" w:hAnsi="Verdana" w:cs="Times New Roman"/>
      <w:sz w:val="20"/>
      <w:szCs w:val="20"/>
      <w:lang w:val="en-GB" w:eastAsia="en-GB"/>
    </w:rPr>
  </w:style>
  <w:style w:type="paragraph" w:styleId="TOC1">
    <w:name w:val="toc 1"/>
    <w:basedOn w:val="Normal"/>
    <w:next w:val="Normal"/>
    <w:autoRedefine/>
    <w:uiPriority w:val="39"/>
    <w:qFormat/>
    <w:rsid w:val="001A28BC"/>
    <w:pPr>
      <w:spacing w:before="120" w:after="120"/>
    </w:pPr>
    <w:rPr>
      <w:rFonts w:cstheme="minorHAnsi"/>
      <w:b/>
      <w:bCs/>
      <w:caps/>
      <w:sz w:val="20"/>
      <w:szCs w:val="20"/>
    </w:rPr>
  </w:style>
  <w:style w:type="paragraph" w:styleId="TOC2">
    <w:name w:val="toc 2"/>
    <w:basedOn w:val="Normal"/>
    <w:next w:val="Normal"/>
    <w:autoRedefine/>
    <w:uiPriority w:val="39"/>
    <w:qFormat/>
    <w:rsid w:val="00975AEA"/>
    <w:pPr>
      <w:spacing w:after="0"/>
      <w:ind w:left="220"/>
    </w:pPr>
    <w:rPr>
      <w:rFonts w:cstheme="minorHAnsi"/>
      <w:smallCaps/>
      <w:sz w:val="20"/>
      <w:szCs w:val="20"/>
    </w:rPr>
  </w:style>
  <w:style w:type="paragraph" w:styleId="TOC3">
    <w:name w:val="toc 3"/>
    <w:basedOn w:val="Normal"/>
    <w:next w:val="Normal"/>
    <w:autoRedefine/>
    <w:uiPriority w:val="39"/>
    <w:qFormat/>
    <w:rsid w:val="00C81435"/>
    <w:pPr>
      <w:spacing w:after="0"/>
      <w:ind w:left="440"/>
    </w:pPr>
    <w:rPr>
      <w:rFonts w:cstheme="minorHAnsi"/>
      <w:i/>
      <w:iCs/>
      <w:sz w:val="20"/>
      <w:szCs w:val="20"/>
    </w:rPr>
  </w:style>
  <w:style w:type="paragraph" w:customStyle="1" w:styleId="Listbullet1">
    <w:name w:val="List bullet 1"/>
    <w:basedOn w:val="Normal"/>
    <w:link w:val="Listbullet1Char"/>
    <w:rsid w:val="004B66B4"/>
    <w:pPr>
      <w:tabs>
        <w:tab w:val="num" w:pos="283"/>
      </w:tabs>
      <w:spacing w:after="0" w:line="240" w:lineRule="auto"/>
      <w:ind w:left="624" w:hanging="284"/>
    </w:pPr>
    <w:rPr>
      <w:rFonts w:ascii="Verdana" w:eastAsia="Times New Roman" w:hAnsi="Verdana" w:cs="Times New Roman"/>
      <w:sz w:val="20"/>
      <w:szCs w:val="20"/>
      <w:lang w:val="fr-BE"/>
    </w:rPr>
  </w:style>
  <w:style w:type="paragraph" w:customStyle="1" w:styleId="ListBullet31">
    <w:name w:val="List Bullet 31"/>
    <w:basedOn w:val="Normal"/>
    <w:uiPriority w:val="99"/>
    <w:rsid w:val="004B66B4"/>
    <w:pPr>
      <w:numPr>
        <w:ilvl w:val="1"/>
        <w:numId w:val="1"/>
      </w:numPr>
      <w:tabs>
        <w:tab w:val="clear" w:pos="1440"/>
        <w:tab w:val="num" w:pos="1985"/>
      </w:tabs>
      <w:spacing w:after="120" w:line="240" w:lineRule="auto"/>
      <w:ind w:left="1984" w:hanging="357"/>
    </w:pPr>
    <w:rPr>
      <w:rFonts w:ascii="Verdana" w:eastAsia="Times New Roman" w:hAnsi="Verdana" w:cs="Times New Roman"/>
      <w:sz w:val="20"/>
      <w:szCs w:val="20"/>
      <w:lang w:val="en-GB" w:eastAsia="ko-KR"/>
    </w:rPr>
  </w:style>
  <w:style w:type="paragraph" w:styleId="NormalWeb">
    <w:name w:val="Normal (Web)"/>
    <w:basedOn w:val="Normal"/>
    <w:uiPriority w:val="99"/>
    <w:unhideWhenUsed/>
    <w:rsid w:val="004B66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21">
    <w:name w:val="List Bullet 21"/>
    <w:basedOn w:val="Normal"/>
    <w:uiPriority w:val="99"/>
    <w:rsid w:val="004B66B4"/>
    <w:pPr>
      <w:numPr>
        <w:numId w:val="2"/>
      </w:numPr>
      <w:tabs>
        <w:tab w:val="clear" w:pos="765"/>
        <w:tab w:val="num" w:pos="1418"/>
      </w:tabs>
      <w:spacing w:after="0" w:line="240" w:lineRule="auto"/>
      <w:ind w:left="1418" w:hanging="284"/>
    </w:pPr>
    <w:rPr>
      <w:rFonts w:ascii="Verdana" w:eastAsia="Times New Roman" w:hAnsi="Verdana" w:cs="Times New Roman"/>
      <w:sz w:val="20"/>
      <w:szCs w:val="20"/>
      <w:lang w:val="en-GB"/>
    </w:rPr>
  </w:style>
  <w:style w:type="paragraph" w:customStyle="1" w:styleId="ListDash1">
    <w:name w:val="List Dash 1"/>
    <w:basedOn w:val="Normal"/>
    <w:uiPriority w:val="99"/>
    <w:rsid w:val="004B66B4"/>
    <w:pPr>
      <w:numPr>
        <w:numId w:val="3"/>
      </w:numPr>
      <w:spacing w:after="0" w:line="240" w:lineRule="auto"/>
      <w:ind w:left="766" w:hanging="284"/>
    </w:pPr>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rsid w:val="004B66B4"/>
    <w:pPr>
      <w:spacing w:after="0" w:line="36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4B66B4"/>
    <w:rPr>
      <w:rFonts w:ascii="Tahoma" w:eastAsia="Times New Roman" w:hAnsi="Tahoma" w:cs="Tahoma"/>
      <w:sz w:val="16"/>
      <w:szCs w:val="16"/>
      <w:lang w:val="en-GB" w:eastAsia="en-GB"/>
    </w:rPr>
  </w:style>
  <w:style w:type="paragraph" w:styleId="Date">
    <w:name w:val="Date"/>
    <w:basedOn w:val="Normal"/>
    <w:next w:val="Normal"/>
    <w:link w:val="DateChar"/>
    <w:uiPriority w:val="99"/>
    <w:rsid w:val="004B66B4"/>
    <w:pPr>
      <w:spacing w:after="0" w:line="360" w:lineRule="auto"/>
      <w:ind w:left="5103" w:right="-567"/>
    </w:pPr>
    <w:rPr>
      <w:rFonts w:ascii="Verdana" w:eastAsia="Times New Roman" w:hAnsi="Verdana" w:cs="Times New Roman"/>
      <w:i/>
      <w:sz w:val="20"/>
      <w:szCs w:val="20"/>
      <w:lang w:val="en-GB"/>
    </w:rPr>
  </w:style>
  <w:style w:type="character" w:customStyle="1" w:styleId="DateChar">
    <w:name w:val="Date Char"/>
    <w:basedOn w:val="DefaultParagraphFont"/>
    <w:link w:val="Date"/>
    <w:uiPriority w:val="99"/>
    <w:rsid w:val="004B66B4"/>
    <w:rPr>
      <w:rFonts w:ascii="Verdana" w:eastAsia="Times New Roman" w:hAnsi="Verdana" w:cs="Times New Roman"/>
      <w:i/>
      <w:sz w:val="20"/>
      <w:szCs w:val="20"/>
      <w:lang w:val="en-GB"/>
    </w:rPr>
  </w:style>
  <w:style w:type="table" w:styleId="TableGrid">
    <w:name w:val="Table Grid"/>
    <w:basedOn w:val="TableNormal"/>
    <w:uiPriority w:val="39"/>
    <w:rsid w:val="004B66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
    <w:name w:val="Sign"/>
    <w:basedOn w:val="Normal"/>
    <w:uiPriority w:val="99"/>
    <w:rsid w:val="004B66B4"/>
    <w:pPr>
      <w:shd w:val="clear" w:color="auto" w:fill="FFFFFF"/>
      <w:spacing w:before="360" w:after="360" w:line="494" w:lineRule="exact"/>
      <w:jc w:val="right"/>
    </w:pPr>
    <w:rPr>
      <w:rFonts w:ascii="Verdana" w:eastAsia="Times New Roman" w:hAnsi="Verdana" w:cs="Times New Roman"/>
      <w:i/>
      <w:iCs/>
      <w:color w:val="000000"/>
      <w:spacing w:val="-2"/>
      <w:sz w:val="20"/>
      <w:lang w:val="en-GB"/>
    </w:rPr>
  </w:style>
  <w:style w:type="paragraph" w:customStyle="1" w:styleId="Hintstipstitle">
    <w:name w:val="Hintstips title"/>
    <w:basedOn w:val="Normal"/>
    <w:link w:val="HintstipstitleChar"/>
    <w:rsid w:val="004B66B4"/>
    <w:pPr>
      <w:spacing w:before="180" w:after="0" w:line="360" w:lineRule="auto"/>
      <w:ind w:left="425"/>
    </w:pPr>
    <w:rPr>
      <w:rFonts w:ascii="Verdana" w:eastAsia="Times New Roman" w:hAnsi="Verdana" w:cs="Times New Roman"/>
      <w:b/>
      <w:i/>
      <w:sz w:val="18"/>
      <w:szCs w:val="20"/>
      <w:lang w:val="en-GB" w:eastAsia="en-GB"/>
    </w:rPr>
  </w:style>
  <w:style w:type="paragraph" w:customStyle="1" w:styleId="Hintstipstitleinfo">
    <w:name w:val="Hintstips title info"/>
    <w:basedOn w:val="Hintstipstitle"/>
    <w:link w:val="HintstipstitleinfoChar"/>
    <w:rsid w:val="004B66B4"/>
    <w:rPr>
      <w:color w:val="FF0000"/>
    </w:rPr>
  </w:style>
  <w:style w:type="character" w:customStyle="1" w:styleId="HintstipstitleChar">
    <w:name w:val="Hintstips title Char"/>
    <w:link w:val="Hintstipstitle"/>
    <w:rsid w:val="004B66B4"/>
    <w:rPr>
      <w:rFonts w:ascii="Verdana" w:eastAsia="Times New Roman" w:hAnsi="Verdana" w:cs="Times New Roman"/>
      <w:b/>
      <w:i/>
      <w:sz w:val="18"/>
      <w:szCs w:val="20"/>
      <w:lang w:val="en-GB" w:eastAsia="en-GB"/>
    </w:rPr>
  </w:style>
  <w:style w:type="character" w:customStyle="1" w:styleId="HintstipstitleinfoChar">
    <w:name w:val="Hintstips title info Char"/>
    <w:link w:val="Hintstipstitleinfo"/>
    <w:rsid w:val="004B66B4"/>
    <w:rPr>
      <w:rFonts w:ascii="Verdana" w:eastAsia="Times New Roman" w:hAnsi="Verdana" w:cs="Times New Roman"/>
      <w:b/>
      <w:i/>
      <w:color w:val="FF0000"/>
      <w:sz w:val="18"/>
      <w:szCs w:val="20"/>
      <w:lang w:val="en-GB" w:eastAsia="en-GB"/>
    </w:rPr>
  </w:style>
  <w:style w:type="paragraph" w:customStyle="1" w:styleId="Hintstipslistbullet">
    <w:name w:val="Hintstips list bullet"/>
    <w:basedOn w:val="Normal"/>
    <w:link w:val="HintstipslistbulletChar"/>
    <w:rsid w:val="004B66B4"/>
    <w:pPr>
      <w:numPr>
        <w:numId w:val="6"/>
      </w:numPr>
      <w:spacing w:after="0" w:line="360" w:lineRule="auto"/>
      <w:ind w:right="200"/>
    </w:pPr>
    <w:rPr>
      <w:rFonts w:ascii="Verdana" w:eastAsia="Times New Roman" w:hAnsi="Verdana" w:cs="Times New Roman"/>
      <w:i/>
      <w:sz w:val="18"/>
      <w:szCs w:val="20"/>
      <w:lang w:val="en-GB" w:eastAsia="en-GB"/>
    </w:rPr>
  </w:style>
  <w:style w:type="paragraph" w:customStyle="1" w:styleId="Hintstipshyperlinktext">
    <w:name w:val="Hintstips hyperlink text"/>
    <w:link w:val="HintstipshyperlinktextChar"/>
    <w:rsid w:val="004B66B4"/>
    <w:pPr>
      <w:spacing w:before="180" w:after="0" w:line="280" w:lineRule="exact"/>
      <w:ind w:firstLine="851"/>
    </w:pPr>
    <w:rPr>
      <w:rFonts w:ascii="Verdana" w:eastAsia="Times New Roman" w:hAnsi="Verdana" w:cs="Times New Roman"/>
      <w:i/>
      <w:sz w:val="18"/>
      <w:szCs w:val="20"/>
      <w:lang w:val="en-GB" w:eastAsia="en-GB"/>
    </w:rPr>
  </w:style>
  <w:style w:type="paragraph" w:customStyle="1" w:styleId="Hintstipshyperlink">
    <w:name w:val="Hintstips hyperlink"/>
    <w:basedOn w:val="Hintstipshyperlinktext"/>
    <w:link w:val="HintstipshyperlinkChar"/>
    <w:rsid w:val="004B66B4"/>
    <w:pPr>
      <w:ind w:left="851" w:firstLine="0"/>
    </w:pPr>
    <w:rPr>
      <w:color w:val="0000FF"/>
      <w:u w:val="single"/>
    </w:rPr>
  </w:style>
  <w:style w:type="character" w:customStyle="1" w:styleId="HintstipshyperlinktextChar">
    <w:name w:val="Hintstips hyperlink text Char"/>
    <w:link w:val="Hintstipshyperlinktext"/>
    <w:rsid w:val="004B66B4"/>
    <w:rPr>
      <w:rFonts w:ascii="Verdana" w:eastAsia="Times New Roman" w:hAnsi="Verdana" w:cs="Times New Roman"/>
      <w:i/>
      <w:sz w:val="18"/>
      <w:szCs w:val="20"/>
      <w:lang w:val="en-GB" w:eastAsia="en-GB"/>
    </w:rPr>
  </w:style>
  <w:style w:type="character" w:customStyle="1" w:styleId="HintstipshyperlinkChar">
    <w:name w:val="Hintstips hyperlink Char"/>
    <w:link w:val="Hintstipshyperlink"/>
    <w:rsid w:val="004B66B4"/>
    <w:rPr>
      <w:rFonts w:ascii="Verdana" w:eastAsia="Times New Roman" w:hAnsi="Verdana" w:cs="Times New Roman"/>
      <w:i/>
      <w:color w:val="0000FF"/>
      <w:sz w:val="18"/>
      <w:szCs w:val="20"/>
      <w:u w:val="single"/>
      <w:lang w:val="en-GB" w:eastAsia="en-GB"/>
    </w:rPr>
  </w:style>
  <w:style w:type="character" w:styleId="CommentReference">
    <w:name w:val="annotation reference"/>
    <w:uiPriority w:val="99"/>
    <w:semiHidden/>
    <w:rsid w:val="004B66B4"/>
    <w:rPr>
      <w:sz w:val="16"/>
      <w:szCs w:val="16"/>
    </w:rPr>
  </w:style>
  <w:style w:type="paragraph" w:customStyle="1" w:styleId="Hintstipslistbulletbold">
    <w:name w:val="Hintstips list bullet bold"/>
    <w:basedOn w:val="Hintstipslistbullet"/>
    <w:link w:val="HintstipslistbulletboldChar"/>
    <w:rsid w:val="004B66B4"/>
    <w:rPr>
      <w:b/>
      <w:bCs/>
      <w:iCs/>
    </w:rPr>
  </w:style>
  <w:style w:type="character" w:customStyle="1" w:styleId="HintstipslistbulletChar">
    <w:name w:val="Hintstips list bullet Char"/>
    <w:link w:val="Hintstipslistbullet"/>
    <w:rsid w:val="004B66B4"/>
    <w:rPr>
      <w:rFonts w:ascii="Verdana" w:eastAsia="Times New Roman" w:hAnsi="Verdana" w:cs="Times New Roman"/>
      <w:i/>
      <w:sz w:val="18"/>
      <w:szCs w:val="20"/>
      <w:lang w:val="en-GB" w:eastAsia="en-GB"/>
    </w:rPr>
  </w:style>
  <w:style w:type="character" w:customStyle="1" w:styleId="HintstipslistbulletboldChar">
    <w:name w:val="Hintstips list bullet bold Char"/>
    <w:link w:val="Hintstipslistbulletbold"/>
    <w:rsid w:val="004B66B4"/>
    <w:rPr>
      <w:rFonts w:ascii="Verdana" w:eastAsia="Times New Roman" w:hAnsi="Verdana" w:cs="Times New Roman"/>
      <w:b/>
      <w:bCs/>
      <w:i/>
      <w:iCs/>
      <w:sz w:val="18"/>
      <w:szCs w:val="20"/>
      <w:lang w:val="en-GB" w:eastAsia="en-GB"/>
    </w:rPr>
  </w:style>
  <w:style w:type="paragraph" w:styleId="CommentText">
    <w:name w:val="annotation text"/>
    <w:basedOn w:val="Normal"/>
    <w:link w:val="CommentTextChar"/>
    <w:uiPriority w:val="99"/>
    <w:semiHidden/>
    <w:rsid w:val="004B66B4"/>
    <w:pPr>
      <w:spacing w:after="0" w:line="360" w:lineRule="auto"/>
    </w:pPr>
    <w:rPr>
      <w:rFonts w:ascii="Verdana" w:eastAsia="Times New Roman" w:hAnsi="Verdana" w:cs="Times New Roman"/>
      <w:sz w:val="20"/>
      <w:szCs w:val="20"/>
      <w:lang w:val="en-GB" w:eastAsia="en-GB"/>
    </w:rPr>
  </w:style>
  <w:style w:type="character" w:customStyle="1" w:styleId="CommentTextChar">
    <w:name w:val="Comment Text Char"/>
    <w:basedOn w:val="DefaultParagraphFont"/>
    <w:link w:val="CommentText"/>
    <w:uiPriority w:val="99"/>
    <w:semiHidden/>
    <w:rsid w:val="004B66B4"/>
    <w:rPr>
      <w:rFonts w:ascii="Verdana" w:eastAsia="Times New Roman" w:hAnsi="Verdana" w:cs="Times New Roman"/>
      <w:sz w:val="20"/>
      <w:szCs w:val="20"/>
      <w:lang w:val="en-GB" w:eastAsia="en-GB"/>
    </w:rPr>
  </w:style>
  <w:style w:type="paragraph" w:styleId="CommentSubject">
    <w:name w:val="annotation subject"/>
    <w:basedOn w:val="CommentText"/>
    <w:next w:val="CommentText"/>
    <w:link w:val="CommentSubjectChar"/>
    <w:uiPriority w:val="99"/>
    <w:semiHidden/>
    <w:rsid w:val="004B66B4"/>
    <w:rPr>
      <w:b/>
      <w:bCs/>
    </w:rPr>
  </w:style>
  <w:style w:type="character" w:customStyle="1" w:styleId="CommentSubjectChar">
    <w:name w:val="Comment Subject Char"/>
    <w:basedOn w:val="CommentTextChar"/>
    <w:link w:val="CommentSubject"/>
    <w:uiPriority w:val="99"/>
    <w:semiHidden/>
    <w:rsid w:val="004B66B4"/>
    <w:rPr>
      <w:rFonts w:ascii="Verdana" w:eastAsia="Times New Roman" w:hAnsi="Verdana" w:cs="Times New Roman"/>
      <w:b/>
      <w:bCs/>
      <w:sz w:val="20"/>
      <w:szCs w:val="20"/>
      <w:lang w:val="en-GB" w:eastAsia="en-GB"/>
    </w:rPr>
  </w:style>
  <w:style w:type="paragraph" w:customStyle="1" w:styleId="Tablecelltitle">
    <w:name w:val="Table cell title"/>
    <w:basedOn w:val="Normal"/>
    <w:link w:val="TablecelltitleChar"/>
    <w:rsid w:val="004B66B4"/>
    <w:pPr>
      <w:spacing w:before="120" w:after="120" w:line="240" w:lineRule="auto"/>
    </w:pPr>
    <w:rPr>
      <w:rFonts w:ascii="Verdana" w:eastAsia="Times New Roman" w:hAnsi="Verdana" w:cs="Times New Roman"/>
      <w:b/>
      <w:bCs/>
      <w:sz w:val="18"/>
      <w:szCs w:val="20"/>
      <w:lang w:val="en-GB" w:eastAsia="en-GB"/>
    </w:rPr>
  </w:style>
  <w:style w:type="paragraph" w:customStyle="1" w:styleId="Tablecellitalic">
    <w:name w:val="Table cell italic"/>
    <w:basedOn w:val="Normal"/>
    <w:link w:val="TablecellitalicChar"/>
    <w:rsid w:val="004B66B4"/>
    <w:pPr>
      <w:spacing w:before="120" w:after="120" w:line="240" w:lineRule="auto"/>
    </w:pPr>
    <w:rPr>
      <w:rFonts w:ascii="Verdana" w:eastAsia="Times New Roman" w:hAnsi="Verdana" w:cs="Times New Roman"/>
      <w:i/>
      <w:sz w:val="18"/>
      <w:szCs w:val="20"/>
      <w:lang w:val="en-GB"/>
    </w:rPr>
  </w:style>
  <w:style w:type="paragraph" w:customStyle="1" w:styleId="Tablecelllistbullet">
    <w:name w:val="Table cell list bullet"/>
    <w:basedOn w:val="Listbullet1"/>
    <w:link w:val="TablecelllistbulletChar"/>
    <w:rsid w:val="004B66B4"/>
    <w:rPr>
      <w:i/>
      <w:iCs/>
      <w:sz w:val="18"/>
    </w:rPr>
  </w:style>
  <w:style w:type="paragraph" w:customStyle="1" w:styleId="Tablecellitalicbold">
    <w:name w:val="Table cell italicbold"/>
    <w:basedOn w:val="Tablecellitalic"/>
    <w:link w:val="TablecellitalicboldChar"/>
    <w:rsid w:val="004B66B4"/>
    <w:rPr>
      <w:b/>
      <w:bCs/>
      <w:iCs/>
    </w:rPr>
  </w:style>
  <w:style w:type="character" w:customStyle="1" w:styleId="TablecellitalicChar">
    <w:name w:val="Table cell italic Char"/>
    <w:link w:val="Tablecellitalic"/>
    <w:rsid w:val="004B66B4"/>
    <w:rPr>
      <w:rFonts w:ascii="Verdana" w:eastAsia="Times New Roman" w:hAnsi="Verdana" w:cs="Times New Roman"/>
      <w:i/>
      <w:sz w:val="18"/>
      <w:szCs w:val="20"/>
      <w:lang w:val="en-GB"/>
    </w:rPr>
  </w:style>
  <w:style w:type="character" w:customStyle="1" w:styleId="TablecellitalicboldChar">
    <w:name w:val="Table cell italicbold Char"/>
    <w:link w:val="Tablecellitalicbold"/>
    <w:rsid w:val="004B66B4"/>
    <w:rPr>
      <w:rFonts w:ascii="Verdana" w:eastAsia="Times New Roman" w:hAnsi="Verdana" w:cs="Times New Roman"/>
      <w:b/>
      <w:bCs/>
      <w:i/>
      <w:iCs/>
      <w:sz w:val="18"/>
      <w:szCs w:val="20"/>
      <w:lang w:val="en-GB"/>
    </w:rPr>
  </w:style>
  <w:style w:type="paragraph" w:customStyle="1" w:styleId="Tablecelllistbulletbold">
    <w:name w:val="Table cell list bullet bold"/>
    <w:basedOn w:val="Tablecelllistbullet"/>
    <w:link w:val="TablecelllistbulletboldChar"/>
    <w:rsid w:val="004B66B4"/>
    <w:rPr>
      <w:b/>
      <w:bCs/>
    </w:rPr>
  </w:style>
  <w:style w:type="character" w:customStyle="1" w:styleId="Listbullet1Char">
    <w:name w:val="List bullet 1 Char"/>
    <w:link w:val="Listbullet1"/>
    <w:rsid w:val="004B66B4"/>
    <w:rPr>
      <w:rFonts w:ascii="Verdana" w:eastAsia="Times New Roman" w:hAnsi="Verdana" w:cs="Times New Roman"/>
      <w:sz w:val="20"/>
      <w:szCs w:val="20"/>
      <w:lang w:val="fr-BE"/>
    </w:rPr>
  </w:style>
  <w:style w:type="character" w:customStyle="1" w:styleId="TablecelllistbulletChar">
    <w:name w:val="Table cell list bullet Char"/>
    <w:link w:val="Tablecelllistbullet"/>
    <w:rsid w:val="004B66B4"/>
    <w:rPr>
      <w:rFonts w:ascii="Verdana" w:eastAsia="Times New Roman" w:hAnsi="Verdana" w:cs="Times New Roman"/>
      <w:i/>
      <w:iCs/>
      <w:sz w:val="18"/>
      <w:szCs w:val="20"/>
      <w:lang w:val="fr-BE"/>
    </w:rPr>
  </w:style>
  <w:style w:type="character" w:customStyle="1" w:styleId="TablecelllistbulletboldChar">
    <w:name w:val="Table cell list bullet bold Char"/>
    <w:link w:val="Tablecelllistbulletbold"/>
    <w:rsid w:val="004B66B4"/>
    <w:rPr>
      <w:rFonts w:ascii="Verdana" w:eastAsia="Times New Roman" w:hAnsi="Verdana" w:cs="Times New Roman"/>
      <w:b/>
      <w:bCs/>
      <w:i/>
      <w:iCs/>
      <w:sz w:val="18"/>
      <w:szCs w:val="20"/>
      <w:lang w:val="fr-BE"/>
    </w:rPr>
  </w:style>
  <w:style w:type="paragraph" w:customStyle="1" w:styleId="Letter">
    <w:name w:val="Letter"/>
    <w:basedOn w:val="Normal"/>
    <w:link w:val="LetterChar"/>
    <w:rsid w:val="004B66B4"/>
    <w:pPr>
      <w:spacing w:after="0" w:line="320" w:lineRule="exact"/>
    </w:pPr>
    <w:rPr>
      <w:rFonts w:ascii="Verdana" w:eastAsia="Times New Roman" w:hAnsi="Verdana" w:cs="Times New Roman"/>
      <w:i/>
      <w:sz w:val="20"/>
      <w:szCs w:val="20"/>
      <w:lang w:val="en-GB"/>
    </w:rPr>
  </w:style>
  <w:style w:type="paragraph" w:customStyle="1" w:styleId="Footnoteletter">
    <w:name w:val="Footnote letter"/>
    <w:basedOn w:val="FootnoteText"/>
    <w:link w:val="FootnoteletterChar"/>
    <w:rsid w:val="004B66B4"/>
    <w:rPr>
      <w:i/>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1 Char1 Char Char,Footnote Text Char Char Char1 Char Char"/>
    <w:link w:val="FootnoteText"/>
    <w:rsid w:val="004B66B4"/>
    <w:rPr>
      <w:rFonts w:ascii="Verdana" w:eastAsia="Times New Roman" w:hAnsi="Verdana" w:cs="Times New Roman"/>
      <w:sz w:val="18"/>
      <w:szCs w:val="20"/>
      <w:lang w:val="en-GB" w:eastAsia="en-GB"/>
    </w:rPr>
  </w:style>
  <w:style w:type="character" w:customStyle="1" w:styleId="FootnoteletterChar">
    <w:name w:val="Footnote letter Char"/>
    <w:link w:val="Footnoteletter"/>
    <w:rsid w:val="004B66B4"/>
    <w:rPr>
      <w:rFonts w:ascii="Verdana" w:eastAsia="Times New Roman" w:hAnsi="Verdana" w:cs="Times New Roman"/>
      <w:i/>
      <w:sz w:val="18"/>
      <w:szCs w:val="20"/>
      <w:lang w:val="en-GB" w:eastAsia="en-GB"/>
    </w:rPr>
  </w:style>
  <w:style w:type="paragraph" w:customStyle="1" w:styleId="Deleteifnotapplicable">
    <w:name w:val="Delete if not applicable"/>
    <w:basedOn w:val="Letter"/>
    <w:link w:val="DeleteifnotapplicableChar"/>
    <w:rsid w:val="004B66B4"/>
    <w:rPr>
      <w:b/>
      <w:i w:val="0"/>
      <w:color w:val="FF6600"/>
    </w:rPr>
  </w:style>
  <w:style w:type="character" w:customStyle="1" w:styleId="LetterChar">
    <w:name w:val="Letter Char"/>
    <w:link w:val="Letter"/>
    <w:rsid w:val="004B66B4"/>
    <w:rPr>
      <w:rFonts w:ascii="Verdana" w:eastAsia="Times New Roman" w:hAnsi="Verdana" w:cs="Times New Roman"/>
      <w:i/>
      <w:sz w:val="20"/>
      <w:szCs w:val="20"/>
      <w:lang w:val="en-GB"/>
    </w:rPr>
  </w:style>
  <w:style w:type="character" w:customStyle="1" w:styleId="DeleteifnotapplicableChar">
    <w:name w:val="Delete if not applicable Char"/>
    <w:link w:val="Deleteifnotapplicable"/>
    <w:rsid w:val="004B66B4"/>
    <w:rPr>
      <w:rFonts w:ascii="Verdana" w:eastAsia="Times New Roman" w:hAnsi="Verdana" w:cs="Times New Roman"/>
      <w:b/>
      <w:color w:val="FF6600"/>
      <w:sz w:val="20"/>
      <w:szCs w:val="20"/>
      <w:lang w:val="en-GB"/>
    </w:rPr>
  </w:style>
  <w:style w:type="paragraph" w:customStyle="1" w:styleId="AnnexHeading1">
    <w:name w:val="Annex Heading 1"/>
    <w:next w:val="Normal"/>
    <w:uiPriority w:val="99"/>
    <w:rsid w:val="004B66B4"/>
    <w:pPr>
      <w:numPr>
        <w:numId w:val="7"/>
      </w:numPr>
      <w:spacing w:after="360" w:line="360" w:lineRule="auto"/>
      <w:jc w:val="center"/>
    </w:pPr>
    <w:rPr>
      <w:rFonts w:ascii="Verdana" w:eastAsia="Times New Roman" w:hAnsi="Verdana" w:cs="Times New Roman Bold"/>
      <w:b/>
      <w:bCs/>
      <w:caps/>
      <w:color w:val="004494"/>
      <w:sz w:val="32"/>
      <w:szCs w:val="44"/>
      <w:lang w:val="en-GB" w:eastAsia="en-GB"/>
    </w:rPr>
  </w:style>
  <w:style w:type="paragraph" w:customStyle="1" w:styleId="Tablerowtitle">
    <w:name w:val="Table row title"/>
    <w:uiPriority w:val="99"/>
    <w:rsid w:val="004B66B4"/>
    <w:pPr>
      <w:spacing w:after="0" w:line="360" w:lineRule="auto"/>
      <w:jc w:val="center"/>
    </w:pPr>
    <w:rPr>
      <w:rFonts w:ascii="Verdana" w:eastAsia="Times New Roman" w:hAnsi="Verdana" w:cs="Times New Roman"/>
      <w:b/>
      <w:iCs/>
      <w:sz w:val="20"/>
      <w:szCs w:val="20"/>
      <w:lang w:val="en-GB"/>
    </w:rPr>
  </w:style>
  <w:style w:type="paragraph" w:styleId="NoSpacing">
    <w:name w:val="No Spacing"/>
    <w:link w:val="NoSpacingChar"/>
    <w:uiPriority w:val="1"/>
    <w:qFormat/>
    <w:rsid w:val="004B66B4"/>
    <w:pPr>
      <w:spacing w:after="0" w:line="360" w:lineRule="auto"/>
    </w:pPr>
    <w:rPr>
      <w:rFonts w:ascii="Trebuchet MS" w:eastAsia="Times New Roman" w:hAnsi="Trebuchet MS" w:cs="Times New Roman"/>
      <w:sz w:val="18"/>
      <w:szCs w:val="20"/>
      <w:lang w:val="de-DE"/>
    </w:rPr>
  </w:style>
  <w:style w:type="character" w:customStyle="1" w:styleId="TablecelltitleChar">
    <w:name w:val="Table cell title Char"/>
    <w:link w:val="Tablecelltitle"/>
    <w:rsid w:val="004B66B4"/>
    <w:rPr>
      <w:rFonts w:ascii="Verdana" w:eastAsia="Times New Roman" w:hAnsi="Verdana" w:cs="Times New Roman"/>
      <w:b/>
      <w:bCs/>
      <w:sz w:val="18"/>
      <w:szCs w:val="20"/>
      <w:lang w:val="en-GB" w:eastAsia="en-GB"/>
    </w:rPr>
  </w:style>
  <w:style w:type="paragraph" w:customStyle="1" w:styleId="Covertitle2">
    <w:name w:val="Cover title 2"/>
    <w:basedOn w:val="Normal"/>
    <w:uiPriority w:val="99"/>
    <w:rsid w:val="004B66B4"/>
    <w:pPr>
      <w:spacing w:after="600" w:line="240" w:lineRule="auto"/>
      <w:ind w:left="4848"/>
    </w:pPr>
    <w:rPr>
      <w:rFonts w:ascii="Verdana" w:eastAsia="Times New Roman" w:hAnsi="Verdana" w:cs="Times New Roman"/>
      <w:b/>
      <w:bCs/>
      <w:color w:val="2681B4"/>
      <w:sz w:val="60"/>
      <w:szCs w:val="76"/>
      <w:lang w:val="en-GB" w:eastAsia="en-GB"/>
    </w:rPr>
  </w:style>
  <w:style w:type="paragraph" w:customStyle="1" w:styleId="Covertitle1">
    <w:name w:val="Cover title 1"/>
    <w:basedOn w:val="Normal"/>
    <w:uiPriority w:val="99"/>
    <w:rsid w:val="004B66B4"/>
    <w:pPr>
      <w:spacing w:after="600" w:line="240" w:lineRule="auto"/>
      <w:jc w:val="center"/>
    </w:pPr>
    <w:rPr>
      <w:rFonts w:ascii="Verdana" w:eastAsia="Times New Roman" w:hAnsi="Verdana" w:cs="Times New Roman"/>
      <w:b/>
      <w:bCs/>
      <w:color w:val="004494"/>
      <w:sz w:val="76"/>
      <w:szCs w:val="76"/>
      <w:lang w:val="en-GB" w:eastAsia="en-GB"/>
    </w:rPr>
  </w:style>
  <w:style w:type="paragraph" w:customStyle="1" w:styleId="Indextitle">
    <w:name w:val="Index title"/>
    <w:next w:val="Normal"/>
    <w:uiPriority w:val="99"/>
    <w:rsid w:val="004B66B4"/>
    <w:pPr>
      <w:spacing w:after="360" w:line="360" w:lineRule="auto"/>
      <w:jc w:val="center"/>
    </w:pPr>
    <w:rPr>
      <w:rFonts w:ascii="Verdana" w:eastAsia="Times New Roman" w:hAnsi="Verdana" w:cs="Times New Roman"/>
      <w:b/>
      <w:bCs/>
      <w:color w:val="004494"/>
      <w:sz w:val="48"/>
      <w:szCs w:val="76"/>
      <w:lang w:val="en-GB" w:eastAsia="en-GB"/>
    </w:rPr>
  </w:style>
  <w:style w:type="paragraph" w:styleId="ListParagraph">
    <w:name w:val="List Paragraph"/>
    <w:basedOn w:val="Normal"/>
    <w:uiPriority w:val="34"/>
    <w:qFormat/>
    <w:rsid w:val="004B66B4"/>
    <w:pPr>
      <w:spacing w:after="0" w:line="240" w:lineRule="auto"/>
      <w:ind w:left="720"/>
      <w:contextualSpacing/>
    </w:pPr>
    <w:rPr>
      <w:rFonts w:ascii="Constantia" w:eastAsia="Times New Roman" w:hAnsi="Constantia" w:cs="Times New Roman"/>
      <w:lang w:val="sl-SI" w:eastAsia="sl-SI"/>
    </w:rPr>
  </w:style>
  <w:style w:type="paragraph" w:customStyle="1" w:styleId="Default">
    <w:name w:val="Default"/>
    <w:rsid w:val="004B66B4"/>
    <w:pPr>
      <w:autoSpaceDE w:val="0"/>
      <w:autoSpaceDN w:val="0"/>
      <w:adjustRightInd w:val="0"/>
      <w:spacing w:after="0" w:line="360" w:lineRule="auto"/>
    </w:pPr>
    <w:rPr>
      <w:rFonts w:ascii="EUAlbertina" w:eastAsia="Calibri" w:hAnsi="EUAlbertina" w:cs="EUAlbertina"/>
      <w:color w:val="000000"/>
      <w:sz w:val="24"/>
      <w:szCs w:val="24"/>
      <w:lang w:val="en-IE"/>
    </w:rPr>
  </w:style>
  <w:style w:type="character" w:styleId="Strong">
    <w:name w:val="Strong"/>
    <w:uiPriority w:val="22"/>
    <w:qFormat/>
    <w:rsid w:val="004B66B4"/>
    <w:rPr>
      <w:b/>
      <w:bCs/>
    </w:rPr>
  </w:style>
  <w:style w:type="paragraph" w:styleId="Caption">
    <w:name w:val="caption"/>
    <w:basedOn w:val="Normal"/>
    <w:next w:val="Normal"/>
    <w:uiPriority w:val="99"/>
    <w:unhideWhenUsed/>
    <w:qFormat/>
    <w:rsid w:val="004B66B4"/>
    <w:pPr>
      <w:spacing w:after="0" w:line="360" w:lineRule="auto"/>
    </w:pPr>
    <w:rPr>
      <w:rFonts w:ascii="Verdana" w:eastAsia="Times New Roman" w:hAnsi="Verdana" w:cs="Times New Roman"/>
      <w:b/>
      <w:bCs/>
      <w:sz w:val="20"/>
      <w:szCs w:val="20"/>
      <w:lang w:val="en-GB" w:eastAsia="en-GB"/>
    </w:rPr>
  </w:style>
  <w:style w:type="character" w:customStyle="1" w:styleId="titleorimageid27928668siteid6171">
    <w:name w:val="titleorimageid27928668siteid6171"/>
    <w:rsid w:val="004B66B4"/>
    <w:rPr>
      <w:rFonts w:ascii="Arial" w:hAnsi="Arial" w:cs="Arial" w:hint="default"/>
      <w:b/>
      <w:bCs/>
      <w:color w:val="2571BC"/>
      <w:sz w:val="20"/>
      <w:szCs w:val="20"/>
    </w:rPr>
  </w:style>
  <w:style w:type="numbering" w:customStyle="1" w:styleId="NoList11">
    <w:name w:val="No List11"/>
    <w:next w:val="NoList"/>
    <w:uiPriority w:val="99"/>
    <w:semiHidden/>
    <w:unhideWhenUsed/>
    <w:rsid w:val="004B66B4"/>
  </w:style>
  <w:style w:type="paragraph" w:customStyle="1" w:styleId="CFCA-Arial11">
    <w:name w:val="CFCA - Arial 11"/>
    <w:basedOn w:val="Normal"/>
    <w:uiPriority w:val="99"/>
    <w:rsid w:val="004B66B4"/>
    <w:pPr>
      <w:spacing w:after="0" w:line="240" w:lineRule="auto"/>
    </w:pPr>
    <w:rPr>
      <w:rFonts w:ascii="Arial" w:eastAsia="Times New Roman" w:hAnsi="Arial" w:cs="Times New Roman"/>
      <w:szCs w:val="24"/>
      <w:lang w:val="es-ES_tradnl" w:eastAsia="es-ES_tradnl"/>
    </w:rPr>
  </w:style>
  <w:style w:type="paragraph" w:customStyle="1" w:styleId="Text1">
    <w:name w:val="Text 1"/>
    <w:basedOn w:val="Normal"/>
    <w:rsid w:val="004B66B4"/>
    <w:pPr>
      <w:spacing w:after="0" w:line="240" w:lineRule="auto"/>
      <w:ind w:left="482"/>
    </w:pPr>
    <w:rPr>
      <w:rFonts w:ascii="Times New Roman" w:eastAsia="Times New Roman" w:hAnsi="Times New Roman" w:cs="Times New Roman"/>
      <w:sz w:val="24"/>
      <w:szCs w:val="20"/>
      <w:lang w:val="en-GB"/>
    </w:rPr>
  </w:style>
  <w:style w:type="paragraph" w:customStyle="1" w:styleId="Text3">
    <w:name w:val="Text 3"/>
    <w:basedOn w:val="Normal"/>
    <w:rsid w:val="004B66B4"/>
    <w:pPr>
      <w:tabs>
        <w:tab w:val="left" w:pos="2302"/>
      </w:tabs>
      <w:spacing w:after="0" w:line="240" w:lineRule="auto"/>
      <w:ind w:left="1916"/>
    </w:pPr>
    <w:rPr>
      <w:rFonts w:ascii="Times New Roman" w:eastAsia="Times New Roman" w:hAnsi="Times New Roman" w:cs="Times New Roman"/>
      <w:sz w:val="24"/>
      <w:szCs w:val="20"/>
      <w:lang w:val="en-GB"/>
    </w:rPr>
  </w:style>
  <w:style w:type="paragraph" w:styleId="Revision">
    <w:name w:val="Revision"/>
    <w:hidden/>
    <w:uiPriority w:val="99"/>
    <w:rsid w:val="004B66B4"/>
    <w:pPr>
      <w:spacing w:after="0" w:line="360" w:lineRule="auto"/>
    </w:pPr>
    <w:rPr>
      <w:rFonts w:ascii="Verdana" w:eastAsia="Times New Roman" w:hAnsi="Verdana" w:cs="Times New Roman"/>
      <w:sz w:val="20"/>
      <w:szCs w:val="20"/>
      <w:lang w:val="en-GB" w:eastAsia="en-GB"/>
    </w:rPr>
  </w:style>
  <w:style w:type="character" w:customStyle="1" w:styleId="shorttext">
    <w:name w:val="short_text"/>
    <w:rsid w:val="004B66B4"/>
  </w:style>
  <w:style w:type="paragraph" w:styleId="TOCHeading">
    <w:name w:val="TOC Heading"/>
    <w:basedOn w:val="Heading1"/>
    <w:next w:val="Normal"/>
    <w:uiPriority w:val="39"/>
    <w:unhideWhenUsed/>
    <w:qFormat/>
    <w:rsid w:val="004B66B4"/>
    <w:pPr>
      <w:keepLines/>
      <w:numPr>
        <w:numId w:val="0"/>
      </w:numPr>
      <w:spacing w:before="480" w:after="0" w:line="276" w:lineRule="auto"/>
      <w:outlineLvl w:val="9"/>
    </w:pPr>
    <w:rPr>
      <w:rFonts w:ascii="Cambria" w:eastAsia="MS Gothic" w:hAnsi="Cambria" w:cs="Times New Roman"/>
      <w:caps w:val="0"/>
      <w:color w:val="365F91"/>
      <w:sz w:val="28"/>
      <w:szCs w:val="28"/>
      <w:lang w:val="en-US" w:eastAsia="ja-JP"/>
    </w:rPr>
  </w:style>
  <w:style w:type="character" w:customStyle="1" w:styleId="NoSpacingChar">
    <w:name w:val="No Spacing Char"/>
    <w:basedOn w:val="DefaultParagraphFont"/>
    <w:link w:val="NoSpacing"/>
    <w:uiPriority w:val="1"/>
    <w:rsid w:val="00C21800"/>
    <w:rPr>
      <w:rFonts w:ascii="Trebuchet MS" w:eastAsia="Times New Roman" w:hAnsi="Trebuchet MS" w:cs="Times New Roman"/>
      <w:sz w:val="18"/>
      <w:szCs w:val="20"/>
      <w:lang w:val="de-DE"/>
    </w:rPr>
  </w:style>
  <w:style w:type="paragraph" w:styleId="Title">
    <w:name w:val="Title"/>
    <w:basedOn w:val="Normal"/>
    <w:next w:val="Normal"/>
    <w:link w:val="TitleChar"/>
    <w:qFormat/>
    <w:rsid w:val="00C218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2180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qFormat/>
    <w:rsid w:val="00C2180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21800"/>
    <w:rPr>
      <w:rFonts w:asciiTheme="majorHAnsi" w:eastAsiaTheme="majorEastAsia" w:hAnsiTheme="majorHAnsi" w:cstheme="majorBidi"/>
      <w:i/>
      <w:iCs/>
      <w:color w:val="4F81BD" w:themeColor="accent1"/>
      <w:spacing w:val="15"/>
      <w:sz w:val="24"/>
      <w:szCs w:val="24"/>
      <w:lang w:eastAsia="ja-JP"/>
    </w:rPr>
  </w:style>
  <w:style w:type="paragraph" w:styleId="PlainText">
    <w:name w:val="Plain Text"/>
    <w:basedOn w:val="Normal"/>
    <w:link w:val="PlainTextChar"/>
    <w:unhideWhenUsed/>
    <w:rsid w:val="00480687"/>
    <w:pPr>
      <w:spacing w:after="0" w:line="240" w:lineRule="auto"/>
    </w:pPr>
    <w:rPr>
      <w:rFonts w:ascii="Calibri" w:hAnsi="Calibri"/>
      <w:szCs w:val="21"/>
      <w:lang w:val="en-GB"/>
    </w:rPr>
  </w:style>
  <w:style w:type="character" w:customStyle="1" w:styleId="PlainTextChar">
    <w:name w:val="Plain Text Char"/>
    <w:basedOn w:val="DefaultParagraphFont"/>
    <w:link w:val="PlainText"/>
    <w:rsid w:val="00480687"/>
    <w:rPr>
      <w:rFonts w:ascii="Calibri" w:hAnsi="Calibri"/>
      <w:szCs w:val="21"/>
      <w:lang w:val="en-GB"/>
    </w:rPr>
  </w:style>
  <w:style w:type="paragraph" w:customStyle="1" w:styleId="PargrafodaLista">
    <w:name w:val="Parágrafo da Lista"/>
    <w:basedOn w:val="Normal"/>
    <w:qFormat/>
    <w:rsid w:val="007C2643"/>
    <w:pPr>
      <w:ind w:left="720"/>
      <w:contextualSpacing/>
    </w:pPr>
    <w:rPr>
      <w:rFonts w:ascii="Calibri" w:eastAsia="Calibri" w:hAnsi="Calibri" w:cs="Times New Roman"/>
      <w:lang w:val="it-IT"/>
    </w:rPr>
  </w:style>
  <w:style w:type="numbering" w:customStyle="1" w:styleId="NoList2">
    <w:name w:val="No List2"/>
    <w:next w:val="NoList"/>
    <w:semiHidden/>
    <w:unhideWhenUsed/>
    <w:rsid w:val="00652B50"/>
  </w:style>
  <w:style w:type="paragraph" w:customStyle="1" w:styleId="ListBullet32">
    <w:name w:val="List Bullet 32"/>
    <w:basedOn w:val="Normal"/>
    <w:uiPriority w:val="99"/>
    <w:rsid w:val="00652B50"/>
    <w:pPr>
      <w:tabs>
        <w:tab w:val="num" w:pos="1985"/>
      </w:tabs>
      <w:spacing w:after="120" w:line="240" w:lineRule="auto"/>
      <w:ind w:left="1984" w:hanging="357"/>
    </w:pPr>
    <w:rPr>
      <w:rFonts w:ascii="Verdana" w:eastAsia="Times New Roman" w:hAnsi="Verdana" w:cs="Times New Roman"/>
      <w:sz w:val="20"/>
      <w:szCs w:val="20"/>
      <w:lang w:val="en-GB" w:eastAsia="ko-KR"/>
    </w:rPr>
  </w:style>
  <w:style w:type="paragraph" w:customStyle="1" w:styleId="ListBullet22">
    <w:name w:val="List Bullet 22"/>
    <w:basedOn w:val="Normal"/>
    <w:uiPriority w:val="99"/>
    <w:rsid w:val="00652B50"/>
    <w:pPr>
      <w:tabs>
        <w:tab w:val="num" w:pos="1418"/>
      </w:tabs>
      <w:spacing w:after="0" w:line="240" w:lineRule="auto"/>
      <w:ind w:left="1418" w:hanging="284"/>
    </w:pPr>
    <w:rPr>
      <w:rFonts w:ascii="Verdana" w:eastAsia="Times New Roman" w:hAnsi="Verdana" w:cs="Times New Roman"/>
      <w:sz w:val="20"/>
      <w:szCs w:val="20"/>
      <w:lang w:val="en-GB"/>
    </w:rPr>
  </w:style>
  <w:style w:type="table" w:customStyle="1" w:styleId="TableGrid1">
    <w:name w:val="Table Grid1"/>
    <w:basedOn w:val="TableNormal"/>
    <w:next w:val="TableGrid"/>
    <w:uiPriority w:val="59"/>
    <w:rsid w:val="00652B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652B50"/>
  </w:style>
  <w:style w:type="numbering" w:customStyle="1" w:styleId="NoList3">
    <w:name w:val="No List3"/>
    <w:next w:val="NoList"/>
    <w:uiPriority w:val="99"/>
    <w:semiHidden/>
    <w:unhideWhenUsed/>
    <w:rsid w:val="005A44F7"/>
  </w:style>
  <w:style w:type="character" w:styleId="IntenseEmphasis">
    <w:name w:val="Intense Emphasis"/>
    <w:basedOn w:val="DefaultParagraphFont"/>
    <w:uiPriority w:val="21"/>
    <w:qFormat/>
    <w:rsid w:val="007C7EE9"/>
    <w:rPr>
      <w:b/>
      <w:bCs/>
      <w:i/>
      <w:iCs/>
      <w:color w:val="4F81BD" w:themeColor="accent1"/>
    </w:rPr>
  </w:style>
  <w:style w:type="table" w:styleId="LightShading-Accent1">
    <w:name w:val="Light Shading Accent 1"/>
    <w:basedOn w:val="TableNormal"/>
    <w:uiPriority w:val="60"/>
    <w:rsid w:val="008451B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1">
    <w:name w:val="Medium Shading 1 Accent 1"/>
    <w:basedOn w:val="TableNormal"/>
    <w:uiPriority w:val="63"/>
    <w:rsid w:val="008451B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8451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6Char">
    <w:name w:val="Heading 6 Char"/>
    <w:basedOn w:val="DefaultParagraphFont"/>
    <w:link w:val="Heading6"/>
    <w:rsid w:val="00A221D7"/>
    <w:rPr>
      <w:rFonts w:ascii="Times New Roman" w:eastAsia="Calibri" w:hAnsi="Times New Roman" w:cs="Times New Roman"/>
      <w:b/>
      <w:lang w:val="en-GB" w:eastAsia="de-DE"/>
    </w:rPr>
  </w:style>
  <w:style w:type="character" w:customStyle="1" w:styleId="Heading7Char">
    <w:name w:val="Heading 7 Char"/>
    <w:basedOn w:val="DefaultParagraphFont"/>
    <w:link w:val="Heading7"/>
    <w:rsid w:val="00A221D7"/>
    <w:rPr>
      <w:rFonts w:ascii="Times New Roman" w:eastAsia="Calibri" w:hAnsi="Times New Roman" w:cs="Times New Roman"/>
      <w:bCs/>
      <w:sz w:val="24"/>
      <w:szCs w:val="24"/>
      <w:lang w:val="en-GB" w:eastAsia="de-DE"/>
    </w:rPr>
  </w:style>
  <w:style w:type="character" w:customStyle="1" w:styleId="Heading8Char">
    <w:name w:val="Heading 8 Char"/>
    <w:basedOn w:val="DefaultParagraphFont"/>
    <w:link w:val="Heading8"/>
    <w:rsid w:val="00A221D7"/>
    <w:rPr>
      <w:rFonts w:ascii="Times New Roman" w:eastAsia="Calibri" w:hAnsi="Times New Roman" w:cs="Times New Roman"/>
      <w:bCs/>
      <w:i/>
      <w:iCs/>
      <w:sz w:val="24"/>
      <w:szCs w:val="24"/>
      <w:lang w:val="en-GB" w:eastAsia="de-DE"/>
    </w:rPr>
  </w:style>
  <w:style w:type="character" w:customStyle="1" w:styleId="Heading9Char">
    <w:name w:val="Heading 9 Char"/>
    <w:basedOn w:val="DefaultParagraphFont"/>
    <w:link w:val="Heading9"/>
    <w:rsid w:val="00A221D7"/>
    <w:rPr>
      <w:rFonts w:ascii="Arial" w:eastAsia="Calibri" w:hAnsi="Arial" w:cs="Arial"/>
      <w:bCs/>
      <w:lang w:val="en-GB" w:eastAsia="de-DE"/>
    </w:rPr>
  </w:style>
  <w:style w:type="paragraph" w:customStyle="1" w:styleId="Corpo">
    <w:name w:val="Corpo"/>
    <w:rsid w:val="00A221D7"/>
    <w:pPr>
      <w:pBdr>
        <w:top w:val="single" w:sz="6" w:space="8" w:color="336699"/>
        <w:bottom w:val="single" w:sz="6" w:space="8" w:color="336699"/>
      </w:pBdr>
      <w:spacing w:before="240" w:after="0" w:line="360" w:lineRule="auto"/>
      <w:jc w:val="center"/>
    </w:pPr>
    <w:rPr>
      <w:rFonts w:ascii="Arial" w:eastAsia="Times New Roman" w:hAnsi="Arial" w:cs="Times New Roman"/>
      <w:snapToGrid w:val="0"/>
      <w:color w:val="336699"/>
      <w:sz w:val="18"/>
      <w:szCs w:val="20"/>
      <w:lang w:val="pt-PT" w:eastAsia="de-AT"/>
    </w:rPr>
  </w:style>
  <w:style w:type="numbering" w:customStyle="1" w:styleId="Bulletpoint">
    <w:name w:val="Bullet point"/>
    <w:rsid w:val="00A221D7"/>
    <w:pPr>
      <w:numPr>
        <w:numId w:val="8"/>
      </w:numPr>
    </w:pPr>
  </w:style>
  <w:style w:type="numbering" w:customStyle="1" w:styleId="Bulletpoin">
    <w:name w:val="Bullet poin"/>
    <w:rsid w:val="00A221D7"/>
    <w:pPr>
      <w:numPr>
        <w:numId w:val="10"/>
      </w:numPr>
    </w:pPr>
  </w:style>
  <w:style w:type="numbering" w:customStyle="1" w:styleId="Formatvorlage1">
    <w:name w:val="Formatvorlage1"/>
    <w:rsid w:val="00A221D7"/>
    <w:pPr>
      <w:numPr>
        <w:numId w:val="9"/>
      </w:numPr>
    </w:pPr>
  </w:style>
  <w:style w:type="paragraph" w:customStyle="1" w:styleId="Paragraph-bulletpoints2">
    <w:name w:val="Paragraph-bullet points 2"/>
    <w:basedOn w:val="Normal"/>
    <w:rsid w:val="00A221D7"/>
    <w:pPr>
      <w:keepLines/>
      <w:numPr>
        <w:numId w:val="11"/>
      </w:numPr>
      <w:tabs>
        <w:tab w:val="left" w:pos="1985"/>
        <w:tab w:val="left" w:pos="5103"/>
      </w:tabs>
      <w:spacing w:before="120" w:after="120" w:line="360" w:lineRule="auto"/>
      <w:jc w:val="both"/>
    </w:pPr>
    <w:rPr>
      <w:rFonts w:ascii="Arial" w:eastAsia="Calibri" w:hAnsi="Arial" w:cs="Times New Roman"/>
      <w:bCs/>
      <w:noProof/>
      <w:snapToGrid w:val="0"/>
      <w:sz w:val="24"/>
      <w:szCs w:val="24"/>
      <w:lang w:val="en-GB" w:eastAsia="de-AT"/>
    </w:rPr>
  </w:style>
  <w:style w:type="paragraph" w:customStyle="1" w:styleId="ManualNumPar1">
    <w:name w:val="Manual NumPar 1"/>
    <w:basedOn w:val="Normal"/>
    <w:next w:val="Normal"/>
    <w:rsid w:val="00A221D7"/>
    <w:pPr>
      <w:spacing w:before="120" w:after="120" w:line="360" w:lineRule="auto"/>
      <w:ind w:left="850" w:hanging="850"/>
    </w:pPr>
    <w:rPr>
      <w:rFonts w:ascii="Times New Roman" w:eastAsia="Calibri" w:hAnsi="Times New Roman" w:cs="Times New Roman"/>
      <w:sz w:val="24"/>
      <w:szCs w:val="20"/>
      <w:lang w:val="en-GB"/>
    </w:rPr>
  </w:style>
  <w:style w:type="character" w:styleId="PageNumber">
    <w:name w:val="page number"/>
    <w:basedOn w:val="DefaultParagraphFont"/>
    <w:rsid w:val="00A221D7"/>
  </w:style>
  <w:style w:type="paragraph" w:styleId="Index1">
    <w:name w:val="index 1"/>
    <w:basedOn w:val="Normal"/>
    <w:next w:val="Normal"/>
    <w:autoRedefine/>
    <w:rsid w:val="00A221D7"/>
    <w:pPr>
      <w:keepLines/>
      <w:spacing w:after="0" w:line="360" w:lineRule="auto"/>
      <w:ind w:left="240" w:hanging="240"/>
    </w:pPr>
    <w:rPr>
      <w:rFonts w:ascii="Calibri" w:eastAsia="Calibri" w:hAnsi="Calibri" w:cs="Calibri"/>
      <w:noProof/>
      <w:snapToGrid w:val="0"/>
      <w:sz w:val="18"/>
      <w:szCs w:val="18"/>
      <w:lang w:val="en-GB" w:eastAsia="de-AT"/>
    </w:rPr>
  </w:style>
  <w:style w:type="paragraph" w:styleId="Index3">
    <w:name w:val="index 3"/>
    <w:basedOn w:val="Normal"/>
    <w:next w:val="Normal"/>
    <w:autoRedefine/>
    <w:rsid w:val="00A221D7"/>
    <w:pPr>
      <w:keepLines/>
      <w:spacing w:after="0" w:line="360" w:lineRule="auto"/>
      <w:ind w:left="720" w:hanging="240"/>
    </w:pPr>
    <w:rPr>
      <w:rFonts w:ascii="Calibri" w:eastAsia="Calibri" w:hAnsi="Calibri" w:cs="Calibri"/>
      <w:noProof/>
      <w:snapToGrid w:val="0"/>
      <w:sz w:val="18"/>
      <w:szCs w:val="18"/>
      <w:lang w:val="en-GB" w:eastAsia="de-AT"/>
    </w:rPr>
  </w:style>
  <w:style w:type="paragraph" w:styleId="TableofFigures">
    <w:name w:val="table of figures"/>
    <w:basedOn w:val="Normal"/>
    <w:next w:val="Normal"/>
    <w:rsid w:val="00A221D7"/>
    <w:pPr>
      <w:keepLines/>
      <w:spacing w:before="120" w:after="120" w:line="360" w:lineRule="auto"/>
      <w:jc w:val="both"/>
    </w:pPr>
    <w:rPr>
      <w:rFonts w:ascii="Arial" w:eastAsia="Calibri" w:hAnsi="Arial" w:cs="Times New Roman"/>
      <w:bCs/>
      <w:noProof/>
      <w:snapToGrid w:val="0"/>
      <w:sz w:val="24"/>
      <w:szCs w:val="24"/>
      <w:lang w:val="en-GB" w:eastAsia="de-AT"/>
    </w:rPr>
  </w:style>
  <w:style w:type="paragraph" w:styleId="Index2">
    <w:name w:val="index 2"/>
    <w:basedOn w:val="Normal"/>
    <w:next w:val="Normal"/>
    <w:autoRedefine/>
    <w:rsid w:val="00A221D7"/>
    <w:pPr>
      <w:keepLines/>
      <w:spacing w:after="0" w:line="360" w:lineRule="auto"/>
      <w:ind w:left="480" w:hanging="240"/>
    </w:pPr>
    <w:rPr>
      <w:rFonts w:ascii="Calibri" w:eastAsia="Calibri" w:hAnsi="Calibri" w:cs="Calibri"/>
      <w:noProof/>
      <w:snapToGrid w:val="0"/>
      <w:sz w:val="18"/>
      <w:szCs w:val="18"/>
      <w:lang w:val="en-GB" w:eastAsia="de-AT"/>
    </w:rPr>
  </w:style>
  <w:style w:type="paragraph" w:styleId="Index4">
    <w:name w:val="index 4"/>
    <w:basedOn w:val="Normal"/>
    <w:next w:val="Normal"/>
    <w:autoRedefine/>
    <w:rsid w:val="00A221D7"/>
    <w:pPr>
      <w:keepLines/>
      <w:spacing w:after="0" w:line="360" w:lineRule="auto"/>
      <w:ind w:left="960" w:hanging="240"/>
    </w:pPr>
    <w:rPr>
      <w:rFonts w:ascii="Calibri" w:eastAsia="Calibri" w:hAnsi="Calibri" w:cs="Calibri"/>
      <w:noProof/>
      <w:snapToGrid w:val="0"/>
      <w:sz w:val="18"/>
      <w:szCs w:val="18"/>
      <w:lang w:val="en-GB" w:eastAsia="de-AT"/>
    </w:rPr>
  </w:style>
  <w:style w:type="paragraph" w:styleId="Index5">
    <w:name w:val="index 5"/>
    <w:basedOn w:val="Normal"/>
    <w:next w:val="Normal"/>
    <w:autoRedefine/>
    <w:rsid w:val="00A221D7"/>
    <w:pPr>
      <w:keepLines/>
      <w:spacing w:after="0" w:line="360" w:lineRule="auto"/>
      <w:ind w:left="1200" w:hanging="240"/>
    </w:pPr>
    <w:rPr>
      <w:rFonts w:ascii="Calibri" w:eastAsia="Calibri" w:hAnsi="Calibri" w:cs="Calibri"/>
      <w:noProof/>
      <w:snapToGrid w:val="0"/>
      <w:sz w:val="18"/>
      <w:szCs w:val="18"/>
      <w:lang w:val="en-GB" w:eastAsia="de-AT"/>
    </w:rPr>
  </w:style>
  <w:style w:type="paragraph" w:styleId="Index6">
    <w:name w:val="index 6"/>
    <w:basedOn w:val="Normal"/>
    <w:next w:val="Normal"/>
    <w:autoRedefine/>
    <w:rsid w:val="00A221D7"/>
    <w:pPr>
      <w:keepLines/>
      <w:spacing w:after="0" w:line="360" w:lineRule="auto"/>
      <w:ind w:left="1440" w:hanging="240"/>
    </w:pPr>
    <w:rPr>
      <w:rFonts w:ascii="Calibri" w:eastAsia="Calibri" w:hAnsi="Calibri" w:cs="Calibri"/>
      <w:noProof/>
      <w:snapToGrid w:val="0"/>
      <w:sz w:val="18"/>
      <w:szCs w:val="18"/>
      <w:lang w:val="en-GB" w:eastAsia="de-AT"/>
    </w:rPr>
  </w:style>
  <w:style w:type="paragraph" w:styleId="Index7">
    <w:name w:val="index 7"/>
    <w:basedOn w:val="Normal"/>
    <w:next w:val="Normal"/>
    <w:autoRedefine/>
    <w:rsid w:val="00A221D7"/>
    <w:pPr>
      <w:keepLines/>
      <w:spacing w:after="0" w:line="360" w:lineRule="auto"/>
      <w:ind w:left="1680" w:hanging="240"/>
    </w:pPr>
    <w:rPr>
      <w:rFonts w:ascii="Calibri" w:eastAsia="Calibri" w:hAnsi="Calibri" w:cs="Calibri"/>
      <w:noProof/>
      <w:snapToGrid w:val="0"/>
      <w:sz w:val="18"/>
      <w:szCs w:val="18"/>
      <w:lang w:val="en-GB" w:eastAsia="de-AT"/>
    </w:rPr>
  </w:style>
  <w:style w:type="paragraph" w:styleId="Index8">
    <w:name w:val="index 8"/>
    <w:basedOn w:val="Normal"/>
    <w:next w:val="Normal"/>
    <w:autoRedefine/>
    <w:rsid w:val="00A221D7"/>
    <w:pPr>
      <w:keepLines/>
      <w:spacing w:after="0" w:line="360" w:lineRule="auto"/>
      <w:ind w:left="1920" w:hanging="240"/>
    </w:pPr>
    <w:rPr>
      <w:rFonts w:ascii="Calibri" w:eastAsia="Calibri" w:hAnsi="Calibri" w:cs="Calibri"/>
      <w:noProof/>
      <w:snapToGrid w:val="0"/>
      <w:sz w:val="18"/>
      <w:szCs w:val="18"/>
      <w:lang w:val="en-GB" w:eastAsia="de-AT"/>
    </w:rPr>
  </w:style>
  <w:style w:type="paragraph" w:styleId="Index9">
    <w:name w:val="index 9"/>
    <w:basedOn w:val="Normal"/>
    <w:next w:val="Normal"/>
    <w:autoRedefine/>
    <w:rsid w:val="00A221D7"/>
    <w:pPr>
      <w:keepLines/>
      <w:spacing w:after="0" w:line="360" w:lineRule="auto"/>
      <w:ind w:left="2160" w:hanging="240"/>
    </w:pPr>
    <w:rPr>
      <w:rFonts w:ascii="Calibri" w:eastAsia="Calibri" w:hAnsi="Calibri" w:cs="Calibri"/>
      <w:noProof/>
      <w:snapToGrid w:val="0"/>
      <w:sz w:val="18"/>
      <w:szCs w:val="18"/>
      <w:lang w:val="en-GB" w:eastAsia="de-AT"/>
    </w:rPr>
  </w:style>
  <w:style w:type="paragraph" w:styleId="IndexHeading">
    <w:name w:val="index heading"/>
    <w:basedOn w:val="Normal"/>
    <w:next w:val="Index1"/>
    <w:rsid w:val="00A221D7"/>
    <w:pPr>
      <w:keepLines/>
      <w:tabs>
        <w:tab w:val="right" w:pos="1985"/>
        <w:tab w:val="left" w:pos="5103"/>
      </w:tabs>
      <w:spacing w:before="240" w:after="120" w:line="360" w:lineRule="auto"/>
      <w:jc w:val="center"/>
    </w:pPr>
    <w:rPr>
      <w:rFonts w:ascii="Calibri" w:eastAsia="Calibri" w:hAnsi="Calibri" w:cs="Calibri"/>
      <w:b/>
      <w:bCs/>
      <w:noProof/>
      <w:snapToGrid w:val="0"/>
      <w:sz w:val="26"/>
      <w:szCs w:val="26"/>
      <w:lang w:val="en-GB" w:eastAsia="de-AT"/>
    </w:rPr>
  </w:style>
  <w:style w:type="paragraph" w:styleId="IntenseQuote">
    <w:name w:val="Intense Quote"/>
    <w:basedOn w:val="Normal"/>
    <w:next w:val="Normal"/>
    <w:link w:val="IntenseQuoteChar"/>
    <w:uiPriority w:val="30"/>
    <w:qFormat/>
    <w:rsid w:val="00A221D7"/>
    <w:pPr>
      <w:keepLines/>
      <w:pBdr>
        <w:bottom w:val="single" w:sz="4" w:space="4" w:color="4F81BD"/>
      </w:pBdr>
      <w:tabs>
        <w:tab w:val="left" w:pos="1985"/>
        <w:tab w:val="left" w:pos="5103"/>
      </w:tabs>
      <w:spacing w:before="200" w:after="280" w:line="360" w:lineRule="auto"/>
      <w:ind w:left="936" w:right="936"/>
      <w:jc w:val="both"/>
    </w:pPr>
    <w:rPr>
      <w:rFonts w:ascii="Arial" w:eastAsia="Calibri" w:hAnsi="Arial" w:cs="Times New Roman"/>
      <w:b/>
      <w:i/>
      <w:iCs/>
      <w:noProof/>
      <w:snapToGrid w:val="0"/>
      <w:color w:val="4F81BD"/>
      <w:sz w:val="24"/>
      <w:szCs w:val="24"/>
      <w:lang w:val="en-GB" w:eastAsia="de-AT"/>
    </w:rPr>
  </w:style>
  <w:style w:type="character" w:customStyle="1" w:styleId="IntenseQuoteChar">
    <w:name w:val="Intense Quote Char"/>
    <w:basedOn w:val="DefaultParagraphFont"/>
    <w:link w:val="IntenseQuote"/>
    <w:uiPriority w:val="30"/>
    <w:rsid w:val="00A221D7"/>
    <w:rPr>
      <w:rFonts w:ascii="Arial" w:eastAsia="Calibri" w:hAnsi="Arial" w:cs="Times New Roman"/>
      <w:b/>
      <w:i/>
      <w:iCs/>
      <w:noProof/>
      <w:snapToGrid w:val="0"/>
      <w:color w:val="4F81BD"/>
      <w:sz w:val="24"/>
      <w:szCs w:val="24"/>
      <w:lang w:val="en-GB" w:eastAsia="de-AT"/>
    </w:rPr>
  </w:style>
  <w:style w:type="paragraph" w:customStyle="1" w:styleId="agencestableauxchiffres">
    <w:name w:val="agences_tableaux_chiffres"/>
    <w:basedOn w:val="Normal"/>
    <w:rsid w:val="00A221D7"/>
    <w:pPr>
      <w:spacing w:after="0" w:line="360" w:lineRule="auto"/>
      <w:jc w:val="center"/>
    </w:pPr>
    <w:rPr>
      <w:rFonts w:ascii="Times New Roman" w:eastAsia="SimSun" w:hAnsi="Times New Roman" w:cs="Times New Roman"/>
      <w:sz w:val="18"/>
      <w:szCs w:val="20"/>
      <w:lang w:val="en-GB" w:eastAsia="en-GB"/>
    </w:rPr>
  </w:style>
  <w:style w:type="paragraph" w:customStyle="1" w:styleId="agencestableauxchiffrestot">
    <w:name w:val="agences_tableaux_chiffres_tot"/>
    <w:basedOn w:val="agencestableauxchiffres"/>
    <w:rsid w:val="00A221D7"/>
    <w:rPr>
      <w:b/>
      <w:szCs w:val="18"/>
    </w:rPr>
  </w:style>
  <w:style w:type="paragraph" w:customStyle="1" w:styleId="agencestableauxchiffrestitrespt">
    <w:name w:val="agences_tableaux_chiffres_titres_pt"/>
    <w:basedOn w:val="Normal"/>
    <w:rsid w:val="00A221D7"/>
    <w:pPr>
      <w:spacing w:before="100" w:beforeAutospacing="1" w:after="100" w:afterAutospacing="1" w:line="360" w:lineRule="auto"/>
      <w:jc w:val="center"/>
    </w:pPr>
    <w:rPr>
      <w:rFonts w:ascii="Times New Roman" w:eastAsia="SimSun" w:hAnsi="Times New Roman" w:cs="Times New Roman"/>
      <w:b/>
      <w:sz w:val="16"/>
      <w:szCs w:val="16"/>
      <w:lang w:val="en-GB" w:eastAsia="en-GB"/>
    </w:rPr>
  </w:style>
  <w:style w:type="paragraph" w:customStyle="1" w:styleId="Agencestableauchiffresfirstcolcenter">
    <w:name w:val="Agences_tableau_chiffres_firstcol_center"/>
    <w:basedOn w:val="Normal"/>
    <w:autoRedefine/>
    <w:rsid w:val="00A221D7"/>
    <w:pPr>
      <w:spacing w:before="30" w:after="30" w:line="360" w:lineRule="auto"/>
      <w:jc w:val="center"/>
    </w:pPr>
    <w:rPr>
      <w:rFonts w:ascii="Times New Roman" w:eastAsia="SimSun" w:hAnsi="Times New Roman" w:cs="Times New Roman"/>
      <w:b/>
      <w:sz w:val="18"/>
      <w:szCs w:val="20"/>
      <w:lang w:val="en-GB" w:eastAsia="en-GB"/>
    </w:rPr>
  </w:style>
  <w:style w:type="paragraph" w:customStyle="1" w:styleId="agencestableauxfootnotes1">
    <w:name w:val="agences_tableaux_footnotes1"/>
    <w:basedOn w:val="Normal"/>
    <w:rsid w:val="00A221D7"/>
    <w:pPr>
      <w:spacing w:before="120" w:after="0" w:line="360" w:lineRule="auto"/>
    </w:pPr>
    <w:rPr>
      <w:rFonts w:ascii="Times New Roman" w:eastAsia="SimSun" w:hAnsi="Times New Roman" w:cs="Times New Roman"/>
      <w:sz w:val="18"/>
      <w:lang w:val="en-GB" w:eastAsia="en-GB"/>
    </w:rPr>
  </w:style>
  <w:style w:type="paragraph" w:customStyle="1" w:styleId="agencesniveau2">
    <w:name w:val="agences_niveau2"/>
    <w:basedOn w:val="Normal"/>
    <w:rsid w:val="00A221D7"/>
    <w:pPr>
      <w:keepNext/>
      <w:spacing w:before="120" w:after="120" w:line="360" w:lineRule="auto"/>
    </w:pPr>
    <w:rPr>
      <w:rFonts w:ascii="Times New Roman" w:eastAsia="SimSun" w:hAnsi="Times New Roman" w:cs="Times New Roman"/>
      <w:b/>
      <w:i/>
      <w:lang w:val="en-GB" w:eastAsia="en-GB"/>
    </w:rPr>
  </w:style>
  <w:style w:type="paragraph" w:customStyle="1" w:styleId="agencestableauxchiffrestitre">
    <w:name w:val="agences_tableaux_chiffres_titre"/>
    <w:basedOn w:val="Normal"/>
    <w:autoRedefine/>
    <w:rsid w:val="00A221D7"/>
    <w:pPr>
      <w:spacing w:before="100" w:beforeAutospacing="1" w:after="100" w:afterAutospacing="1" w:line="360" w:lineRule="auto"/>
      <w:jc w:val="center"/>
    </w:pPr>
    <w:rPr>
      <w:rFonts w:ascii="Times New Roman" w:eastAsia="SimSun" w:hAnsi="Times New Roman" w:cs="Times New Roman"/>
      <w:b/>
      <w:sz w:val="18"/>
      <w:szCs w:val="18"/>
      <w:lang w:val="en-GB" w:eastAsia="en-GB"/>
    </w:rPr>
  </w:style>
  <w:style w:type="paragraph" w:customStyle="1" w:styleId="Agencestableauchiffresfirstcol">
    <w:name w:val="Agences_tableau_chiffres_firstcol"/>
    <w:basedOn w:val="Normal"/>
    <w:rsid w:val="00A221D7"/>
    <w:pPr>
      <w:spacing w:before="30" w:after="30" w:line="360" w:lineRule="auto"/>
    </w:pPr>
    <w:rPr>
      <w:rFonts w:ascii="Times New Roman" w:eastAsia="SimSun" w:hAnsi="Times New Roman" w:cs="Times New Roman"/>
      <w:b/>
      <w:sz w:val="18"/>
      <w:szCs w:val="20"/>
      <w:lang w:val="en-GB" w:eastAsia="en-GB"/>
    </w:rPr>
  </w:style>
  <w:style w:type="paragraph" w:customStyle="1" w:styleId="agencestableauxamount">
    <w:name w:val="agences_tableaux_amount"/>
    <w:basedOn w:val="agencestableauxchiffres"/>
    <w:autoRedefine/>
    <w:rsid w:val="00A221D7"/>
    <w:pPr>
      <w:jc w:val="right"/>
    </w:pPr>
  </w:style>
  <w:style w:type="paragraph" w:customStyle="1" w:styleId="agencestableauxamounttot">
    <w:name w:val="agences_tableaux_amount_tot"/>
    <w:basedOn w:val="agencestableauxamount"/>
    <w:rsid w:val="00A221D7"/>
    <w:rPr>
      <w:b/>
    </w:rPr>
  </w:style>
  <w:style w:type="paragraph" w:styleId="EndnoteText">
    <w:name w:val="endnote text"/>
    <w:basedOn w:val="Normal"/>
    <w:link w:val="EndnoteTextChar"/>
    <w:rsid w:val="00A221D7"/>
    <w:pPr>
      <w:keepLines/>
      <w:tabs>
        <w:tab w:val="left" w:pos="1985"/>
        <w:tab w:val="left" w:pos="5103"/>
      </w:tabs>
      <w:spacing w:after="0" w:line="360" w:lineRule="auto"/>
      <w:jc w:val="both"/>
    </w:pPr>
    <w:rPr>
      <w:rFonts w:ascii="Arial" w:eastAsia="Calibri" w:hAnsi="Arial" w:cs="Times New Roman"/>
      <w:bCs/>
      <w:noProof/>
      <w:snapToGrid w:val="0"/>
      <w:sz w:val="20"/>
      <w:szCs w:val="20"/>
      <w:lang w:val="en-GB" w:eastAsia="de-AT"/>
    </w:rPr>
  </w:style>
  <w:style w:type="character" w:customStyle="1" w:styleId="EndnoteTextChar">
    <w:name w:val="Endnote Text Char"/>
    <w:basedOn w:val="DefaultParagraphFont"/>
    <w:link w:val="EndnoteText"/>
    <w:rsid w:val="00A221D7"/>
    <w:rPr>
      <w:rFonts w:ascii="Arial" w:eastAsia="Calibri" w:hAnsi="Arial" w:cs="Times New Roman"/>
      <w:bCs/>
      <w:noProof/>
      <w:snapToGrid w:val="0"/>
      <w:sz w:val="20"/>
      <w:szCs w:val="20"/>
      <w:lang w:val="en-GB" w:eastAsia="de-AT"/>
    </w:rPr>
  </w:style>
  <w:style w:type="character" w:styleId="EndnoteReference">
    <w:name w:val="endnote reference"/>
    <w:rsid w:val="00A221D7"/>
    <w:rPr>
      <w:vertAlign w:val="superscript"/>
    </w:rPr>
  </w:style>
  <w:style w:type="paragraph" w:customStyle="1" w:styleId="CarcterCarcterCharCarcterCarcterCharCarcterCarcterCharCharCarcterCarcter">
    <w:name w:val="Carácter Carácter Char Carácter Carácter Char Carácter Carácter Char Char Carácter Carácter"/>
    <w:basedOn w:val="Normal"/>
    <w:rsid w:val="00A221D7"/>
    <w:pPr>
      <w:spacing w:after="0" w:line="360" w:lineRule="auto"/>
    </w:pPr>
    <w:rPr>
      <w:rFonts w:ascii="Times New Roman" w:eastAsia="Calibri" w:hAnsi="Times New Roman" w:cs="Times New Roman"/>
      <w:sz w:val="24"/>
      <w:szCs w:val="24"/>
      <w:lang w:val="pl-PL" w:eastAsia="pl-PL"/>
    </w:rPr>
  </w:style>
  <w:style w:type="table" w:customStyle="1" w:styleId="TableGrid2">
    <w:name w:val="Table Grid2"/>
    <w:basedOn w:val="TableNormal"/>
    <w:next w:val="TableGrid"/>
    <w:uiPriority w:val="59"/>
    <w:rsid w:val="00A221D7"/>
    <w:pPr>
      <w:spacing w:after="0" w:line="240" w:lineRule="auto"/>
    </w:pPr>
    <w:rPr>
      <w:rFonts w:ascii="Calibri" w:eastAsia="Calibri" w:hAnsi="Calibri" w:cs="Times New Roman"/>
      <w:lang w:val="en-IE"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1"/>
    <w:basedOn w:val="Normal"/>
    <w:next w:val="Normal"/>
    <w:autoRedefine/>
    <w:rsid w:val="00A221D7"/>
    <w:pPr>
      <w:numPr>
        <w:numId w:val="13"/>
      </w:numPr>
      <w:spacing w:after="120" w:line="360" w:lineRule="auto"/>
      <w:jc w:val="both"/>
    </w:pPr>
    <w:rPr>
      <w:rFonts w:ascii="Arial" w:eastAsia="Calibri" w:hAnsi="Arial" w:cs="Times New Roman"/>
      <w:szCs w:val="20"/>
      <w:lang w:val="en-GB"/>
    </w:rPr>
  </w:style>
  <w:style w:type="paragraph" w:customStyle="1" w:styleId="CM1">
    <w:name w:val="CM1"/>
    <w:basedOn w:val="Default"/>
    <w:next w:val="Default"/>
    <w:uiPriority w:val="99"/>
    <w:rsid w:val="00A221D7"/>
    <w:pPr>
      <w:spacing w:line="240" w:lineRule="auto"/>
    </w:pPr>
    <w:rPr>
      <w:rFonts w:cs="Times New Roman"/>
      <w:color w:val="auto"/>
      <w:lang w:val="en-GB"/>
    </w:rPr>
  </w:style>
  <w:style w:type="paragraph" w:customStyle="1" w:styleId="Point0number">
    <w:name w:val="Point 0 (number)"/>
    <w:basedOn w:val="Normal"/>
    <w:rsid w:val="00A221D7"/>
    <w:pPr>
      <w:numPr>
        <w:numId w:val="14"/>
      </w:numPr>
      <w:tabs>
        <w:tab w:val="clear" w:pos="850"/>
        <w:tab w:val="num" w:pos="720"/>
      </w:tabs>
      <w:spacing w:before="120" w:after="120" w:line="360" w:lineRule="auto"/>
      <w:ind w:left="720" w:hanging="360"/>
      <w:jc w:val="both"/>
    </w:pPr>
    <w:rPr>
      <w:rFonts w:ascii="Times New Roman" w:eastAsia="Calibri" w:hAnsi="Times New Roman" w:cs="Times New Roman"/>
      <w:sz w:val="24"/>
      <w:szCs w:val="24"/>
      <w:lang w:val="en-GB"/>
    </w:rPr>
  </w:style>
  <w:style w:type="paragraph" w:customStyle="1" w:styleId="Point1number">
    <w:name w:val="Point 1 (number)"/>
    <w:basedOn w:val="Normal"/>
    <w:rsid w:val="00A221D7"/>
    <w:pPr>
      <w:numPr>
        <w:ilvl w:val="2"/>
        <w:numId w:val="14"/>
      </w:numPr>
      <w:tabs>
        <w:tab w:val="clear" w:pos="1417"/>
        <w:tab w:val="num" w:pos="2160"/>
      </w:tabs>
      <w:spacing w:before="120" w:after="120" w:line="360" w:lineRule="auto"/>
      <w:ind w:left="2160" w:hanging="360"/>
      <w:jc w:val="both"/>
    </w:pPr>
    <w:rPr>
      <w:rFonts w:ascii="Times New Roman" w:eastAsia="Calibri" w:hAnsi="Times New Roman" w:cs="Times New Roman"/>
      <w:sz w:val="24"/>
      <w:szCs w:val="24"/>
      <w:lang w:val="en-GB"/>
    </w:rPr>
  </w:style>
  <w:style w:type="paragraph" w:customStyle="1" w:styleId="Point2number">
    <w:name w:val="Point 2 (number)"/>
    <w:basedOn w:val="Normal"/>
    <w:rsid w:val="00A221D7"/>
    <w:pPr>
      <w:numPr>
        <w:ilvl w:val="4"/>
        <w:numId w:val="14"/>
      </w:numPr>
      <w:tabs>
        <w:tab w:val="clear" w:pos="1984"/>
        <w:tab w:val="left" w:pos="1985"/>
        <w:tab w:val="num" w:pos="3600"/>
      </w:tabs>
      <w:spacing w:before="120" w:after="120" w:line="360" w:lineRule="auto"/>
      <w:ind w:left="3600" w:hanging="360"/>
      <w:jc w:val="both"/>
    </w:pPr>
    <w:rPr>
      <w:rFonts w:ascii="Times New Roman" w:eastAsia="Calibri" w:hAnsi="Times New Roman" w:cs="Times New Roman"/>
      <w:sz w:val="24"/>
      <w:szCs w:val="24"/>
      <w:lang w:val="en-GB"/>
    </w:rPr>
  </w:style>
  <w:style w:type="paragraph" w:customStyle="1" w:styleId="Point3number">
    <w:name w:val="Point 3 (number)"/>
    <w:basedOn w:val="Normal"/>
    <w:rsid w:val="00A221D7"/>
    <w:pPr>
      <w:numPr>
        <w:ilvl w:val="6"/>
        <w:numId w:val="14"/>
      </w:numPr>
      <w:tabs>
        <w:tab w:val="clear" w:pos="2551"/>
        <w:tab w:val="num" w:pos="5040"/>
      </w:tabs>
      <w:spacing w:before="120" w:after="120" w:line="360" w:lineRule="auto"/>
      <w:ind w:left="5040" w:hanging="360"/>
      <w:jc w:val="both"/>
    </w:pPr>
    <w:rPr>
      <w:rFonts w:ascii="Times New Roman" w:eastAsia="Calibri" w:hAnsi="Times New Roman" w:cs="Times New Roman"/>
      <w:sz w:val="24"/>
      <w:szCs w:val="24"/>
      <w:lang w:val="en-GB"/>
    </w:rPr>
  </w:style>
  <w:style w:type="paragraph" w:customStyle="1" w:styleId="Point0letter">
    <w:name w:val="Point 0 (letter)"/>
    <w:basedOn w:val="Normal"/>
    <w:rsid w:val="00A221D7"/>
    <w:pPr>
      <w:numPr>
        <w:ilvl w:val="1"/>
        <w:numId w:val="14"/>
      </w:numPr>
      <w:tabs>
        <w:tab w:val="clear" w:pos="850"/>
        <w:tab w:val="num" w:pos="1440"/>
      </w:tabs>
      <w:spacing w:before="120" w:after="120" w:line="360" w:lineRule="auto"/>
      <w:ind w:left="1440" w:hanging="360"/>
      <w:jc w:val="both"/>
    </w:pPr>
    <w:rPr>
      <w:rFonts w:ascii="Times New Roman" w:eastAsia="Calibri" w:hAnsi="Times New Roman" w:cs="Times New Roman"/>
      <w:sz w:val="24"/>
      <w:szCs w:val="24"/>
      <w:lang w:val="en-GB"/>
    </w:rPr>
  </w:style>
  <w:style w:type="paragraph" w:customStyle="1" w:styleId="Point1letter">
    <w:name w:val="Point 1 (letter)"/>
    <w:basedOn w:val="Normal"/>
    <w:rsid w:val="00A221D7"/>
    <w:pPr>
      <w:numPr>
        <w:ilvl w:val="3"/>
        <w:numId w:val="14"/>
      </w:numPr>
      <w:tabs>
        <w:tab w:val="clear" w:pos="1417"/>
        <w:tab w:val="num" w:pos="2880"/>
      </w:tabs>
      <w:spacing w:before="120" w:after="120" w:line="360" w:lineRule="auto"/>
      <w:ind w:left="2880" w:hanging="360"/>
      <w:jc w:val="both"/>
    </w:pPr>
    <w:rPr>
      <w:rFonts w:ascii="Times New Roman" w:eastAsia="Calibri" w:hAnsi="Times New Roman" w:cs="Times New Roman"/>
      <w:sz w:val="24"/>
      <w:szCs w:val="24"/>
      <w:lang w:val="en-GB"/>
    </w:rPr>
  </w:style>
  <w:style w:type="paragraph" w:customStyle="1" w:styleId="Point2letter">
    <w:name w:val="Point 2 (letter)"/>
    <w:basedOn w:val="Normal"/>
    <w:rsid w:val="00A221D7"/>
    <w:pPr>
      <w:numPr>
        <w:ilvl w:val="5"/>
        <w:numId w:val="14"/>
      </w:numPr>
      <w:tabs>
        <w:tab w:val="clear" w:pos="1984"/>
        <w:tab w:val="left" w:pos="1985"/>
        <w:tab w:val="num" w:pos="4320"/>
      </w:tabs>
      <w:spacing w:before="120" w:after="120" w:line="360" w:lineRule="auto"/>
      <w:ind w:left="4320" w:hanging="360"/>
      <w:jc w:val="both"/>
    </w:pPr>
    <w:rPr>
      <w:rFonts w:ascii="Times New Roman" w:eastAsia="Calibri" w:hAnsi="Times New Roman" w:cs="Times New Roman"/>
      <w:sz w:val="24"/>
      <w:szCs w:val="24"/>
      <w:lang w:val="en-GB"/>
    </w:rPr>
  </w:style>
  <w:style w:type="paragraph" w:customStyle="1" w:styleId="Point3letter">
    <w:name w:val="Point 3 (letter)"/>
    <w:basedOn w:val="Normal"/>
    <w:rsid w:val="00A221D7"/>
    <w:pPr>
      <w:numPr>
        <w:ilvl w:val="7"/>
        <w:numId w:val="14"/>
      </w:numPr>
      <w:tabs>
        <w:tab w:val="clear" w:pos="2551"/>
        <w:tab w:val="num" w:pos="5760"/>
      </w:tabs>
      <w:spacing w:before="120" w:after="120" w:line="360" w:lineRule="auto"/>
      <w:ind w:left="5760" w:hanging="360"/>
      <w:jc w:val="both"/>
    </w:pPr>
    <w:rPr>
      <w:rFonts w:ascii="Times New Roman" w:eastAsia="Calibri" w:hAnsi="Times New Roman" w:cs="Times New Roman"/>
      <w:sz w:val="24"/>
      <w:szCs w:val="24"/>
      <w:lang w:val="en-GB"/>
    </w:rPr>
  </w:style>
  <w:style w:type="paragraph" w:customStyle="1" w:styleId="Point4letter">
    <w:name w:val="Point 4 (letter)"/>
    <w:basedOn w:val="Normal"/>
    <w:rsid w:val="00A221D7"/>
    <w:pPr>
      <w:numPr>
        <w:ilvl w:val="8"/>
        <w:numId w:val="14"/>
      </w:numPr>
      <w:tabs>
        <w:tab w:val="clear" w:pos="3118"/>
        <w:tab w:val="num" w:pos="6480"/>
      </w:tabs>
      <w:spacing w:before="120" w:after="120" w:line="360" w:lineRule="auto"/>
      <w:ind w:left="6480" w:hanging="360"/>
      <w:jc w:val="both"/>
    </w:pPr>
    <w:rPr>
      <w:rFonts w:ascii="Times New Roman" w:eastAsia="Calibri" w:hAnsi="Times New Roman" w:cs="Times New Roman"/>
      <w:sz w:val="24"/>
      <w:szCs w:val="24"/>
      <w:lang w:val="en-GB"/>
    </w:rPr>
  </w:style>
  <w:style w:type="paragraph" w:customStyle="1" w:styleId="Bullet10">
    <w:name w:val="Bullet 1"/>
    <w:basedOn w:val="Normal"/>
    <w:rsid w:val="00A221D7"/>
    <w:pPr>
      <w:numPr>
        <w:numId w:val="15"/>
      </w:numPr>
      <w:tabs>
        <w:tab w:val="clear" w:pos="1417"/>
        <w:tab w:val="num" w:pos="360"/>
      </w:tabs>
      <w:spacing w:before="120" w:after="120" w:line="360" w:lineRule="auto"/>
      <w:ind w:left="360" w:hanging="360"/>
      <w:jc w:val="both"/>
    </w:pPr>
    <w:rPr>
      <w:rFonts w:ascii="Times New Roman" w:eastAsia="Calibri" w:hAnsi="Times New Roman" w:cs="Times New Roman"/>
      <w:sz w:val="24"/>
      <w:szCs w:val="24"/>
      <w:lang w:val="en-GB"/>
    </w:rPr>
  </w:style>
  <w:style w:type="paragraph" w:customStyle="1" w:styleId="CM3">
    <w:name w:val="CM3"/>
    <w:basedOn w:val="Default"/>
    <w:next w:val="Default"/>
    <w:uiPriority w:val="99"/>
    <w:rsid w:val="00A221D7"/>
    <w:pPr>
      <w:spacing w:line="240" w:lineRule="auto"/>
    </w:pPr>
    <w:rPr>
      <w:rFonts w:eastAsia="Times New Roman" w:cs="Times New Roman"/>
      <w:color w:val="auto"/>
      <w:lang w:val="en-GB" w:eastAsia="en-GB"/>
    </w:rPr>
  </w:style>
  <w:style w:type="table" w:customStyle="1" w:styleId="TableGrid3">
    <w:name w:val="Table Grid3"/>
    <w:basedOn w:val="TableNormal"/>
    <w:next w:val="TableGrid"/>
    <w:rsid w:val="00A221D7"/>
    <w:pPr>
      <w:keepLines/>
      <w:tabs>
        <w:tab w:val="left" w:pos="1985"/>
        <w:tab w:val="left" w:pos="5103"/>
      </w:tabs>
      <w:snapToGrid w:val="0"/>
      <w:spacing w:before="120" w:after="0" w:line="240" w:lineRule="auto"/>
      <w:jc w:val="both"/>
    </w:pPr>
    <w:rPr>
      <w:rFonts w:ascii="Times New Roman" w:eastAsia="Times New Roman" w:hAnsi="Times New Roman" w:cs="Times New Roman"/>
      <w:sz w:val="20"/>
      <w:szCs w:val="20"/>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221D7"/>
    <w:pPr>
      <w:keepLines/>
      <w:tabs>
        <w:tab w:val="left" w:pos="1985"/>
        <w:tab w:val="left" w:pos="5103"/>
      </w:tabs>
      <w:spacing w:before="120" w:after="120" w:line="360" w:lineRule="auto"/>
      <w:jc w:val="both"/>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arcterCarcterCharCarcterCarcterCharCarcterCarcterCharCharCarcterCarcter1">
    <w:name w:val="Carácter Carácter Char Carácter Carácter Char Carácter Carácter Char Char Carácter Carácter1"/>
    <w:basedOn w:val="Normal"/>
    <w:rsid w:val="002B7C7D"/>
    <w:pPr>
      <w:spacing w:after="0" w:line="240" w:lineRule="auto"/>
    </w:pPr>
    <w:rPr>
      <w:rFonts w:ascii="Times New Roman" w:eastAsia="Times New Roman" w:hAnsi="Times New Roman" w:cs="Times New Roman"/>
      <w:sz w:val="24"/>
      <w:szCs w:val="24"/>
      <w:lang w:val="pl-PL" w:eastAsia="pl-PL"/>
    </w:rPr>
  </w:style>
  <w:style w:type="table" w:customStyle="1" w:styleId="TableGrid81">
    <w:name w:val="Table Grid 81"/>
    <w:basedOn w:val="TableNormal"/>
    <w:next w:val="TableGrid8"/>
    <w:uiPriority w:val="99"/>
    <w:semiHidden/>
    <w:unhideWhenUsed/>
    <w:rsid w:val="00A24CD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D74E42"/>
    <w:pPr>
      <w:keepLines/>
      <w:tabs>
        <w:tab w:val="left" w:pos="1985"/>
        <w:tab w:val="left" w:pos="5103"/>
      </w:tabs>
      <w:spacing w:before="120" w:after="120" w:line="360" w:lineRule="auto"/>
      <w:jc w:val="both"/>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C4">
    <w:name w:val="toc 4"/>
    <w:basedOn w:val="Normal"/>
    <w:next w:val="Normal"/>
    <w:autoRedefine/>
    <w:uiPriority w:val="39"/>
    <w:unhideWhenUsed/>
    <w:rsid w:val="003B0016"/>
    <w:pPr>
      <w:spacing w:after="0"/>
      <w:ind w:left="660"/>
    </w:pPr>
    <w:rPr>
      <w:rFonts w:cstheme="minorHAnsi"/>
      <w:sz w:val="18"/>
      <w:szCs w:val="18"/>
    </w:rPr>
  </w:style>
  <w:style w:type="paragraph" w:styleId="TOC5">
    <w:name w:val="toc 5"/>
    <w:basedOn w:val="Normal"/>
    <w:next w:val="Normal"/>
    <w:autoRedefine/>
    <w:uiPriority w:val="39"/>
    <w:unhideWhenUsed/>
    <w:rsid w:val="003B0016"/>
    <w:pPr>
      <w:spacing w:after="0"/>
      <w:ind w:left="880"/>
    </w:pPr>
    <w:rPr>
      <w:rFonts w:cstheme="minorHAnsi"/>
      <w:sz w:val="18"/>
      <w:szCs w:val="18"/>
    </w:rPr>
  </w:style>
  <w:style w:type="paragraph" w:styleId="TOC6">
    <w:name w:val="toc 6"/>
    <w:basedOn w:val="Normal"/>
    <w:next w:val="Normal"/>
    <w:autoRedefine/>
    <w:uiPriority w:val="39"/>
    <w:unhideWhenUsed/>
    <w:rsid w:val="003B0016"/>
    <w:pPr>
      <w:spacing w:after="0"/>
      <w:ind w:left="1100"/>
    </w:pPr>
    <w:rPr>
      <w:rFonts w:cstheme="minorHAnsi"/>
      <w:sz w:val="18"/>
      <w:szCs w:val="18"/>
    </w:rPr>
  </w:style>
  <w:style w:type="paragraph" w:styleId="TOC7">
    <w:name w:val="toc 7"/>
    <w:basedOn w:val="Normal"/>
    <w:next w:val="Normal"/>
    <w:autoRedefine/>
    <w:uiPriority w:val="39"/>
    <w:unhideWhenUsed/>
    <w:rsid w:val="003B0016"/>
    <w:pPr>
      <w:spacing w:after="0"/>
      <w:ind w:left="1320"/>
    </w:pPr>
    <w:rPr>
      <w:rFonts w:cstheme="minorHAnsi"/>
      <w:sz w:val="18"/>
      <w:szCs w:val="18"/>
    </w:rPr>
  </w:style>
  <w:style w:type="paragraph" w:styleId="TOC8">
    <w:name w:val="toc 8"/>
    <w:basedOn w:val="Normal"/>
    <w:next w:val="Normal"/>
    <w:autoRedefine/>
    <w:uiPriority w:val="39"/>
    <w:unhideWhenUsed/>
    <w:rsid w:val="003B0016"/>
    <w:pPr>
      <w:spacing w:after="0"/>
      <w:ind w:left="1540"/>
    </w:pPr>
    <w:rPr>
      <w:rFonts w:cstheme="minorHAnsi"/>
      <w:sz w:val="18"/>
      <w:szCs w:val="18"/>
    </w:rPr>
  </w:style>
  <w:style w:type="paragraph" w:styleId="TOC9">
    <w:name w:val="toc 9"/>
    <w:basedOn w:val="Normal"/>
    <w:next w:val="Normal"/>
    <w:autoRedefine/>
    <w:uiPriority w:val="39"/>
    <w:unhideWhenUsed/>
    <w:rsid w:val="003B0016"/>
    <w:pPr>
      <w:spacing w:after="0"/>
      <w:ind w:left="1760"/>
    </w:pPr>
    <w:rPr>
      <w:rFonts w:cstheme="minorHAnsi"/>
      <w:sz w:val="18"/>
      <w:szCs w:val="18"/>
    </w:rPr>
  </w:style>
  <w:style w:type="table" w:customStyle="1" w:styleId="TableGrid4">
    <w:name w:val="Table Grid4"/>
    <w:basedOn w:val="TableNormal"/>
    <w:next w:val="TableGrid"/>
    <w:rsid w:val="005B278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3">
    <w:name w:val="Table Grid 83"/>
    <w:basedOn w:val="TableNormal"/>
    <w:next w:val="TableGrid8"/>
    <w:rsid w:val="005B2780"/>
    <w:pPr>
      <w:keepLines/>
      <w:tabs>
        <w:tab w:val="left" w:pos="1985"/>
        <w:tab w:val="left" w:pos="5103"/>
      </w:tabs>
      <w:spacing w:before="120" w:after="120" w:line="360" w:lineRule="auto"/>
      <w:jc w:val="both"/>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Style1">
    <w:name w:val="Style1"/>
    <w:basedOn w:val="Normal"/>
    <w:link w:val="Style1Char"/>
    <w:qFormat/>
    <w:rsid w:val="00933C91"/>
    <w:pPr>
      <w:spacing w:before="360" w:after="360" w:line="360" w:lineRule="auto"/>
      <w:jc w:val="center"/>
    </w:pPr>
    <w:rPr>
      <w:rFonts w:ascii="Arial" w:hAnsi="Arial" w:cs="Arial"/>
      <w:b/>
      <w:bCs/>
      <w:lang w:val="en-GB"/>
    </w:rPr>
  </w:style>
  <w:style w:type="paragraph" w:customStyle="1" w:styleId="Style2">
    <w:name w:val="Style2"/>
    <w:basedOn w:val="Normal"/>
    <w:link w:val="Style2Char"/>
    <w:qFormat/>
    <w:rsid w:val="00FC6564"/>
    <w:pPr>
      <w:numPr>
        <w:numId w:val="19"/>
      </w:numPr>
      <w:spacing w:before="360" w:after="360" w:line="360" w:lineRule="auto"/>
      <w:ind w:left="567" w:hanging="567"/>
    </w:pPr>
    <w:rPr>
      <w:rFonts w:ascii="Arial" w:hAnsi="Arial" w:cs="Arial"/>
      <w:b/>
      <w:bCs/>
      <w:lang w:val="en-GB"/>
    </w:rPr>
  </w:style>
  <w:style w:type="character" w:customStyle="1" w:styleId="Style1Char">
    <w:name w:val="Style1 Char"/>
    <w:basedOn w:val="DefaultParagraphFont"/>
    <w:link w:val="Style1"/>
    <w:rsid w:val="00933C91"/>
    <w:rPr>
      <w:rFonts w:ascii="Arial" w:hAnsi="Arial" w:cs="Arial"/>
      <w:b/>
      <w:bCs/>
      <w:lang w:val="en-GB"/>
    </w:rPr>
  </w:style>
  <w:style w:type="paragraph" w:customStyle="1" w:styleId="Style3">
    <w:name w:val="Style3"/>
    <w:basedOn w:val="Normal"/>
    <w:link w:val="Style3Char"/>
    <w:qFormat/>
    <w:rsid w:val="009F6E0E"/>
    <w:pPr>
      <w:numPr>
        <w:numId w:val="20"/>
      </w:numPr>
      <w:spacing w:before="360" w:after="360" w:line="360" w:lineRule="auto"/>
      <w:ind w:left="567" w:hanging="567"/>
    </w:pPr>
    <w:rPr>
      <w:rFonts w:ascii="Arial" w:hAnsi="Arial" w:cs="Arial"/>
      <w:b/>
      <w:bCs/>
      <w:lang w:val="en-GB"/>
    </w:rPr>
  </w:style>
  <w:style w:type="character" w:customStyle="1" w:styleId="Style2Char">
    <w:name w:val="Style2 Char"/>
    <w:basedOn w:val="DefaultParagraphFont"/>
    <w:link w:val="Style2"/>
    <w:rsid w:val="00FC6564"/>
    <w:rPr>
      <w:rFonts w:ascii="Arial" w:hAnsi="Arial" w:cs="Arial"/>
      <w:b/>
      <w:bCs/>
      <w:lang w:val="en-GB"/>
    </w:rPr>
  </w:style>
  <w:style w:type="table" w:styleId="MediumGrid1-Accent1">
    <w:name w:val="Medium Grid 1 Accent 1"/>
    <w:basedOn w:val="TableNormal"/>
    <w:uiPriority w:val="67"/>
    <w:rsid w:val="009F4A0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yle3Char">
    <w:name w:val="Style3 Char"/>
    <w:basedOn w:val="DefaultParagraphFont"/>
    <w:link w:val="Style3"/>
    <w:rsid w:val="009F6E0E"/>
    <w:rPr>
      <w:rFonts w:ascii="Arial" w:hAnsi="Arial" w:cs="Arial"/>
      <w:b/>
      <w:bCs/>
      <w:lang w:val="en-GB"/>
    </w:rPr>
  </w:style>
  <w:style w:type="table" w:styleId="MediumGrid3-Accent1">
    <w:name w:val="Medium Grid 3 Accent 1"/>
    <w:basedOn w:val="TableNormal"/>
    <w:uiPriority w:val="69"/>
    <w:rsid w:val="009F4A0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4">
    <w:name w:val="No List4"/>
    <w:next w:val="NoList"/>
    <w:uiPriority w:val="99"/>
    <w:semiHidden/>
    <w:unhideWhenUsed/>
    <w:rsid w:val="001F6927"/>
  </w:style>
  <w:style w:type="paragraph" w:customStyle="1" w:styleId="11ptVerdanaBold">
    <w:name w:val="11pt Verdana Bold"/>
    <w:basedOn w:val="Normal"/>
    <w:qFormat/>
    <w:rsid w:val="001F6927"/>
    <w:pPr>
      <w:widowControl w:val="0"/>
      <w:spacing w:after="0" w:line="240" w:lineRule="auto"/>
    </w:pPr>
    <w:rPr>
      <w:rFonts w:ascii="Verdana" w:eastAsia="Times New Roman" w:hAnsi="Verdana" w:cs="Times New Roman"/>
      <w:b/>
      <w:noProof/>
      <w:snapToGrid w:val="0"/>
      <w:szCs w:val="20"/>
      <w:lang w:val="en-GB" w:eastAsia="fi-FI"/>
    </w:rPr>
  </w:style>
  <w:style w:type="paragraph" w:customStyle="1" w:styleId="agencesniveau3">
    <w:name w:val="agences_niveau3"/>
    <w:basedOn w:val="Normal"/>
    <w:rsid w:val="001F6927"/>
    <w:pPr>
      <w:keepNext/>
      <w:spacing w:before="120" w:after="120" w:line="240" w:lineRule="auto"/>
      <w:jc w:val="both"/>
    </w:pPr>
    <w:rPr>
      <w:rFonts w:ascii="Times New Roman" w:eastAsia="Times New Roman" w:hAnsi="Times New Roman" w:cs="Times New Roman"/>
      <w:i/>
      <w:sz w:val="20"/>
      <w:lang w:val="en-GB" w:eastAsia="en-GB"/>
    </w:rPr>
  </w:style>
  <w:style w:type="paragraph" w:customStyle="1" w:styleId="agencesnormal">
    <w:name w:val="agences_normal"/>
    <w:basedOn w:val="Normal"/>
    <w:rsid w:val="00471E0D"/>
    <w:pPr>
      <w:spacing w:before="120" w:after="0" w:line="240" w:lineRule="auto"/>
    </w:pPr>
    <w:rPr>
      <w:rFonts w:ascii="Times New Roman" w:eastAsia="Times New Roman" w:hAnsi="Times New Roman" w:cs="Times New Roman"/>
      <w:sz w:val="20"/>
      <w:lang w:val="en-GB" w:eastAsia="en-GB"/>
    </w:rPr>
  </w:style>
  <w:style w:type="paragraph" w:customStyle="1" w:styleId="Listenabsatz">
    <w:name w:val="Listenabsatz"/>
    <w:basedOn w:val="Normal"/>
    <w:uiPriority w:val="34"/>
    <w:qFormat/>
    <w:rsid w:val="0094480D"/>
    <w:pPr>
      <w:ind w:left="720"/>
      <w:contextualSpacing/>
    </w:pPr>
    <w:rPr>
      <w:rFonts w:ascii="Calibri" w:eastAsia="Calibri" w:hAnsi="Calibri" w:cs="Times New Roman"/>
      <w:lang w:val="it-IT"/>
    </w:rPr>
  </w:style>
  <w:style w:type="table" w:customStyle="1" w:styleId="TableGrid84">
    <w:name w:val="Table Grid 84"/>
    <w:basedOn w:val="TableNormal"/>
    <w:next w:val="TableGrid8"/>
    <w:rsid w:val="00E608DC"/>
    <w:pPr>
      <w:keepLines/>
      <w:tabs>
        <w:tab w:val="left" w:pos="1985"/>
        <w:tab w:val="left" w:pos="5103"/>
      </w:tabs>
      <w:spacing w:before="120" w:after="120" w:line="360" w:lineRule="auto"/>
      <w:jc w:val="both"/>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85">
    <w:name w:val="Table Grid 85"/>
    <w:basedOn w:val="TableNormal"/>
    <w:next w:val="TableGrid8"/>
    <w:rsid w:val="00311B29"/>
    <w:pPr>
      <w:keepLines/>
      <w:tabs>
        <w:tab w:val="left" w:pos="1985"/>
        <w:tab w:val="left" w:pos="5103"/>
      </w:tabs>
      <w:spacing w:before="120" w:after="120" w:line="360" w:lineRule="auto"/>
      <w:jc w:val="both"/>
    </w:pPr>
    <w:rPr>
      <w:rFonts w:ascii="Times New Roman" w:eastAsia="Times New Roman" w:hAnsi="Times New Roman" w:cs="Times New Roman"/>
      <w:sz w:val="20"/>
      <w:szCs w:val="20"/>
      <w:lang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772">
      <w:bodyDiv w:val="1"/>
      <w:marLeft w:val="0"/>
      <w:marRight w:val="0"/>
      <w:marTop w:val="0"/>
      <w:marBottom w:val="0"/>
      <w:divBdr>
        <w:top w:val="none" w:sz="0" w:space="0" w:color="auto"/>
        <w:left w:val="none" w:sz="0" w:space="0" w:color="auto"/>
        <w:bottom w:val="none" w:sz="0" w:space="0" w:color="auto"/>
        <w:right w:val="none" w:sz="0" w:space="0" w:color="auto"/>
      </w:divBdr>
    </w:div>
    <w:div w:id="167183675">
      <w:bodyDiv w:val="1"/>
      <w:marLeft w:val="0"/>
      <w:marRight w:val="0"/>
      <w:marTop w:val="0"/>
      <w:marBottom w:val="0"/>
      <w:divBdr>
        <w:top w:val="none" w:sz="0" w:space="0" w:color="auto"/>
        <w:left w:val="none" w:sz="0" w:space="0" w:color="auto"/>
        <w:bottom w:val="none" w:sz="0" w:space="0" w:color="auto"/>
        <w:right w:val="none" w:sz="0" w:space="0" w:color="auto"/>
      </w:divBdr>
    </w:div>
    <w:div w:id="253900881">
      <w:bodyDiv w:val="1"/>
      <w:marLeft w:val="0"/>
      <w:marRight w:val="0"/>
      <w:marTop w:val="0"/>
      <w:marBottom w:val="0"/>
      <w:divBdr>
        <w:top w:val="none" w:sz="0" w:space="0" w:color="auto"/>
        <w:left w:val="none" w:sz="0" w:space="0" w:color="auto"/>
        <w:bottom w:val="none" w:sz="0" w:space="0" w:color="auto"/>
        <w:right w:val="none" w:sz="0" w:space="0" w:color="auto"/>
      </w:divBdr>
    </w:div>
    <w:div w:id="328018691">
      <w:bodyDiv w:val="1"/>
      <w:marLeft w:val="0"/>
      <w:marRight w:val="0"/>
      <w:marTop w:val="0"/>
      <w:marBottom w:val="0"/>
      <w:divBdr>
        <w:top w:val="none" w:sz="0" w:space="0" w:color="auto"/>
        <w:left w:val="none" w:sz="0" w:space="0" w:color="auto"/>
        <w:bottom w:val="none" w:sz="0" w:space="0" w:color="auto"/>
        <w:right w:val="none" w:sz="0" w:space="0" w:color="auto"/>
      </w:divBdr>
    </w:div>
    <w:div w:id="377821683">
      <w:bodyDiv w:val="1"/>
      <w:marLeft w:val="0"/>
      <w:marRight w:val="0"/>
      <w:marTop w:val="0"/>
      <w:marBottom w:val="0"/>
      <w:divBdr>
        <w:top w:val="none" w:sz="0" w:space="0" w:color="auto"/>
        <w:left w:val="none" w:sz="0" w:space="0" w:color="auto"/>
        <w:bottom w:val="none" w:sz="0" w:space="0" w:color="auto"/>
        <w:right w:val="none" w:sz="0" w:space="0" w:color="auto"/>
      </w:divBdr>
    </w:div>
    <w:div w:id="410002517">
      <w:bodyDiv w:val="1"/>
      <w:marLeft w:val="0"/>
      <w:marRight w:val="0"/>
      <w:marTop w:val="0"/>
      <w:marBottom w:val="0"/>
      <w:divBdr>
        <w:top w:val="none" w:sz="0" w:space="0" w:color="auto"/>
        <w:left w:val="none" w:sz="0" w:space="0" w:color="auto"/>
        <w:bottom w:val="none" w:sz="0" w:space="0" w:color="auto"/>
        <w:right w:val="none" w:sz="0" w:space="0" w:color="auto"/>
      </w:divBdr>
    </w:div>
    <w:div w:id="420374458">
      <w:bodyDiv w:val="1"/>
      <w:marLeft w:val="0"/>
      <w:marRight w:val="0"/>
      <w:marTop w:val="0"/>
      <w:marBottom w:val="0"/>
      <w:divBdr>
        <w:top w:val="none" w:sz="0" w:space="0" w:color="auto"/>
        <w:left w:val="none" w:sz="0" w:space="0" w:color="auto"/>
        <w:bottom w:val="none" w:sz="0" w:space="0" w:color="auto"/>
        <w:right w:val="none" w:sz="0" w:space="0" w:color="auto"/>
      </w:divBdr>
    </w:div>
    <w:div w:id="464352695">
      <w:bodyDiv w:val="1"/>
      <w:marLeft w:val="0"/>
      <w:marRight w:val="0"/>
      <w:marTop w:val="0"/>
      <w:marBottom w:val="0"/>
      <w:divBdr>
        <w:top w:val="none" w:sz="0" w:space="0" w:color="auto"/>
        <w:left w:val="none" w:sz="0" w:space="0" w:color="auto"/>
        <w:bottom w:val="none" w:sz="0" w:space="0" w:color="auto"/>
        <w:right w:val="none" w:sz="0" w:space="0" w:color="auto"/>
      </w:divBdr>
    </w:div>
    <w:div w:id="656569664">
      <w:bodyDiv w:val="1"/>
      <w:marLeft w:val="0"/>
      <w:marRight w:val="0"/>
      <w:marTop w:val="0"/>
      <w:marBottom w:val="0"/>
      <w:divBdr>
        <w:top w:val="none" w:sz="0" w:space="0" w:color="auto"/>
        <w:left w:val="none" w:sz="0" w:space="0" w:color="auto"/>
        <w:bottom w:val="none" w:sz="0" w:space="0" w:color="auto"/>
        <w:right w:val="none" w:sz="0" w:space="0" w:color="auto"/>
      </w:divBdr>
      <w:divsChild>
        <w:div w:id="575821391">
          <w:marLeft w:val="0"/>
          <w:marRight w:val="0"/>
          <w:marTop w:val="0"/>
          <w:marBottom w:val="0"/>
          <w:divBdr>
            <w:top w:val="none" w:sz="0" w:space="0" w:color="auto"/>
            <w:left w:val="none" w:sz="0" w:space="0" w:color="auto"/>
            <w:bottom w:val="none" w:sz="0" w:space="0" w:color="auto"/>
            <w:right w:val="none" w:sz="0" w:space="0" w:color="auto"/>
          </w:divBdr>
          <w:divsChild>
            <w:div w:id="828903156">
              <w:marLeft w:val="0"/>
              <w:marRight w:val="0"/>
              <w:marTop w:val="0"/>
              <w:marBottom w:val="0"/>
              <w:divBdr>
                <w:top w:val="none" w:sz="0" w:space="0" w:color="auto"/>
                <w:left w:val="none" w:sz="0" w:space="0" w:color="auto"/>
                <w:bottom w:val="none" w:sz="0" w:space="0" w:color="auto"/>
                <w:right w:val="none" w:sz="0" w:space="0" w:color="auto"/>
              </w:divBdr>
              <w:divsChild>
                <w:div w:id="1986617445">
                  <w:marLeft w:val="0"/>
                  <w:marRight w:val="0"/>
                  <w:marTop w:val="0"/>
                  <w:marBottom w:val="0"/>
                  <w:divBdr>
                    <w:top w:val="none" w:sz="0" w:space="0" w:color="auto"/>
                    <w:left w:val="none" w:sz="0" w:space="0" w:color="auto"/>
                    <w:bottom w:val="none" w:sz="0" w:space="0" w:color="auto"/>
                    <w:right w:val="none" w:sz="0" w:space="0" w:color="auto"/>
                  </w:divBdr>
                  <w:divsChild>
                    <w:div w:id="1201891719">
                      <w:marLeft w:val="0"/>
                      <w:marRight w:val="0"/>
                      <w:marTop w:val="0"/>
                      <w:marBottom w:val="0"/>
                      <w:divBdr>
                        <w:top w:val="none" w:sz="0" w:space="0" w:color="auto"/>
                        <w:left w:val="none" w:sz="0" w:space="0" w:color="auto"/>
                        <w:bottom w:val="none" w:sz="0" w:space="0" w:color="auto"/>
                        <w:right w:val="none" w:sz="0" w:space="0" w:color="auto"/>
                      </w:divBdr>
                      <w:divsChild>
                        <w:div w:id="197472251">
                          <w:marLeft w:val="0"/>
                          <w:marRight w:val="0"/>
                          <w:marTop w:val="0"/>
                          <w:marBottom w:val="0"/>
                          <w:divBdr>
                            <w:top w:val="none" w:sz="0" w:space="0" w:color="auto"/>
                            <w:left w:val="none" w:sz="0" w:space="0" w:color="auto"/>
                            <w:bottom w:val="none" w:sz="0" w:space="0" w:color="auto"/>
                            <w:right w:val="none" w:sz="0" w:space="0" w:color="auto"/>
                          </w:divBdr>
                          <w:divsChild>
                            <w:div w:id="953053876">
                              <w:marLeft w:val="300"/>
                              <w:marRight w:val="0"/>
                              <w:marTop w:val="0"/>
                              <w:marBottom w:val="0"/>
                              <w:divBdr>
                                <w:top w:val="none" w:sz="0" w:space="0" w:color="auto"/>
                                <w:left w:val="none" w:sz="0" w:space="0" w:color="auto"/>
                                <w:bottom w:val="none" w:sz="0" w:space="0" w:color="auto"/>
                                <w:right w:val="none" w:sz="0" w:space="0" w:color="auto"/>
                              </w:divBdr>
                              <w:divsChild>
                                <w:div w:id="1768497109">
                                  <w:marLeft w:val="0"/>
                                  <w:marRight w:val="0"/>
                                  <w:marTop w:val="0"/>
                                  <w:marBottom w:val="0"/>
                                  <w:divBdr>
                                    <w:top w:val="none" w:sz="0" w:space="0" w:color="auto"/>
                                    <w:left w:val="none" w:sz="0" w:space="0" w:color="auto"/>
                                    <w:bottom w:val="none" w:sz="0" w:space="0" w:color="auto"/>
                                    <w:right w:val="none" w:sz="0" w:space="0" w:color="auto"/>
                                  </w:divBdr>
                                  <w:divsChild>
                                    <w:div w:id="1256590346">
                                      <w:marLeft w:val="0"/>
                                      <w:marRight w:val="0"/>
                                      <w:marTop w:val="0"/>
                                      <w:marBottom w:val="0"/>
                                      <w:divBdr>
                                        <w:top w:val="none" w:sz="0" w:space="0" w:color="auto"/>
                                        <w:left w:val="none" w:sz="0" w:space="0" w:color="auto"/>
                                        <w:bottom w:val="none" w:sz="0" w:space="0" w:color="auto"/>
                                        <w:right w:val="none" w:sz="0" w:space="0" w:color="auto"/>
                                      </w:divBdr>
                                      <w:divsChild>
                                        <w:div w:id="1482818282">
                                          <w:marLeft w:val="0"/>
                                          <w:marRight w:val="0"/>
                                          <w:marTop w:val="0"/>
                                          <w:marBottom w:val="0"/>
                                          <w:divBdr>
                                            <w:top w:val="none" w:sz="0" w:space="0" w:color="auto"/>
                                            <w:left w:val="none" w:sz="0" w:space="0" w:color="auto"/>
                                            <w:bottom w:val="none" w:sz="0" w:space="0" w:color="auto"/>
                                            <w:right w:val="none" w:sz="0" w:space="0" w:color="auto"/>
                                          </w:divBdr>
                                          <w:divsChild>
                                            <w:div w:id="2146117247">
                                              <w:marLeft w:val="0"/>
                                              <w:marRight w:val="0"/>
                                              <w:marTop w:val="0"/>
                                              <w:marBottom w:val="0"/>
                                              <w:divBdr>
                                                <w:top w:val="none" w:sz="0" w:space="0" w:color="auto"/>
                                                <w:left w:val="none" w:sz="0" w:space="0" w:color="auto"/>
                                                <w:bottom w:val="none" w:sz="0" w:space="0" w:color="auto"/>
                                                <w:right w:val="none" w:sz="0" w:space="0" w:color="auto"/>
                                              </w:divBdr>
                                              <w:divsChild>
                                                <w:div w:id="2076854777">
                                                  <w:marLeft w:val="0"/>
                                                  <w:marRight w:val="0"/>
                                                  <w:marTop w:val="75"/>
                                                  <w:marBottom w:val="0"/>
                                                  <w:divBdr>
                                                    <w:top w:val="none" w:sz="0" w:space="0" w:color="auto"/>
                                                    <w:left w:val="none" w:sz="0" w:space="0" w:color="auto"/>
                                                    <w:bottom w:val="none" w:sz="0" w:space="0" w:color="auto"/>
                                                    <w:right w:val="none" w:sz="0" w:space="0" w:color="auto"/>
                                                  </w:divBdr>
                                                  <w:divsChild>
                                                    <w:div w:id="2309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764098">
      <w:bodyDiv w:val="1"/>
      <w:marLeft w:val="0"/>
      <w:marRight w:val="0"/>
      <w:marTop w:val="0"/>
      <w:marBottom w:val="0"/>
      <w:divBdr>
        <w:top w:val="none" w:sz="0" w:space="0" w:color="auto"/>
        <w:left w:val="none" w:sz="0" w:space="0" w:color="auto"/>
        <w:bottom w:val="none" w:sz="0" w:space="0" w:color="auto"/>
        <w:right w:val="none" w:sz="0" w:space="0" w:color="auto"/>
      </w:divBdr>
    </w:div>
    <w:div w:id="826212876">
      <w:bodyDiv w:val="1"/>
      <w:marLeft w:val="0"/>
      <w:marRight w:val="0"/>
      <w:marTop w:val="0"/>
      <w:marBottom w:val="0"/>
      <w:divBdr>
        <w:top w:val="none" w:sz="0" w:space="0" w:color="auto"/>
        <w:left w:val="none" w:sz="0" w:space="0" w:color="auto"/>
        <w:bottom w:val="none" w:sz="0" w:space="0" w:color="auto"/>
        <w:right w:val="none" w:sz="0" w:space="0" w:color="auto"/>
      </w:divBdr>
    </w:div>
    <w:div w:id="842473862">
      <w:bodyDiv w:val="1"/>
      <w:marLeft w:val="0"/>
      <w:marRight w:val="0"/>
      <w:marTop w:val="0"/>
      <w:marBottom w:val="0"/>
      <w:divBdr>
        <w:top w:val="none" w:sz="0" w:space="0" w:color="auto"/>
        <w:left w:val="none" w:sz="0" w:space="0" w:color="auto"/>
        <w:bottom w:val="none" w:sz="0" w:space="0" w:color="auto"/>
        <w:right w:val="none" w:sz="0" w:space="0" w:color="auto"/>
      </w:divBdr>
    </w:div>
    <w:div w:id="925460333">
      <w:bodyDiv w:val="1"/>
      <w:marLeft w:val="0"/>
      <w:marRight w:val="0"/>
      <w:marTop w:val="0"/>
      <w:marBottom w:val="0"/>
      <w:divBdr>
        <w:top w:val="none" w:sz="0" w:space="0" w:color="auto"/>
        <w:left w:val="none" w:sz="0" w:space="0" w:color="auto"/>
        <w:bottom w:val="none" w:sz="0" w:space="0" w:color="auto"/>
        <w:right w:val="none" w:sz="0" w:space="0" w:color="auto"/>
      </w:divBdr>
    </w:div>
    <w:div w:id="999432853">
      <w:bodyDiv w:val="1"/>
      <w:marLeft w:val="0"/>
      <w:marRight w:val="0"/>
      <w:marTop w:val="0"/>
      <w:marBottom w:val="0"/>
      <w:divBdr>
        <w:top w:val="none" w:sz="0" w:space="0" w:color="auto"/>
        <w:left w:val="none" w:sz="0" w:space="0" w:color="auto"/>
        <w:bottom w:val="none" w:sz="0" w:space="0" w:color="auto"/>
        <w:right w:val="none" w:sz="0" w:space="0" w:color="auto"/>
      </w:divBdr>
    </w:div>
    <w:div w:id="1026907061">
      <w:bodyDiv w:val="1"/>
      <w:marLeft w:val="0"/>
      <w:marRight w:val="0"/>
      <w:marTop w:val="0"/>
      <w:marBottom w:val="0"/>
      <w:divBdr>
        <w:top w:val="none" w:sz="0" w:space="0" w:color="auto"/>
        <w:left w:val="none" w:sz="0" w:space="0" w:color="auto"/>
        <w:bottom w:val="none" w:sz="0" w:space="0" w:color="auto"/>
        <w:right w:val="none" w:sz="0" w:space="0" w:color="auto"/>
      </w:divBdr>
    </w:div>
    <w:div w:id="1124957142">
      <w:bodyDiv w:val="1"/>
      <w:marLeft w:val="0"/>
      <w:marRight w:val="0"/>
      <w:marTop w:val="0"/>
      <w:marBottom w:val="0"/>
      <w:divBdr>
        <w:top w:val="none" w:sz="0" w:space="0" w:color="auto"/>
        <w:left w:val="none" w:sz="0" w:space="0" w:color="auto"/>
        <w:bottom w:val="none" w:sz="0" w:space="0" w:color="auto"/>
        <w:right w:val="none" w:sz="0" w:space="0" w:color="auto"/>
      </w:divBdr>
    </w:div>
    <w:div w:id="1208448847">
      <w:bodyDiv w:val="1"/>
      <w:marLeft w:val="0"/>
      <w:marRight w:val="0"/>
      <w:marTop w:val="0"/>
      <w:marBottom w:val="0"/>
      <w:divBdr>
        <w:top w:val="none" w:sz="0" w:space="0" w:color="auto"/>
        <w:left w:val="none" w:sz="0" w:space="0" w:color="auto"/>
        <w:bottom w:val="none" w:sz="0" w:space="0" w:color="auto"/>
        <w:right w:val="none" w:sz="0" w:space="0" w:color="auto"/>
      </w:divBdr>
      <w:divsChild>
        <w:div w:id="1317802147">
          <w:marLeft w:val="0"/>
          <w:marRight w:val="0"/>
          <w:marTop w:val="0"/>
          <w:marBottom w:val="0"/>
          <w:divBdr>
            <w:top w:val="none" w:sz="0" w:space="0" w:color="auto"/>
            <w:left w:val="none" w:sz="0" w:space="0" w:color="auto"/>
            <w:bottom w:val="none" w:sz="0" w:space="0" w:color="auto"/>
            <w:right w:val="none" w:sz="0" w:space="0" w:color="auto"/>
          </w:divBdr>
          <w:divsChild>
            <w:div w:id="1195078549">
              <w:marLeft w:val="0"/>
              <w:marRight w:val="0"/>
              <w:marTop w:val="0"/>
              <w:marBottom w:val="0"/>
              <w:divBdr>
                <w:top w:val="none" w:sz="0" w:space="0" w:color="auto"/>
                <w:left w:val="none" w:sz="0" w:space="0" w:color="auto"/>
                <w:bottom w:val="none" w:sz="0" w:space="0" w:color="auto"/>
                <w:right w:val="none" w:sz="0" w:space="0" w:color="auto"/>
              </w:divBdr>
              <w:divsChild>
                <w:div w:id="446706466">
                  <w:marLeft w:val="0"/>
                  <w:marRight w:val="0"/>
                  <w:marTop w:val="0"/>
                  <w:marBottom w:val="0"/>
                  <w:divBdr>
                    <w:top w:val="none" w:sz="0" w:space="0" w:color="auto"/>
                    <w:left w:val="none" w:sz="0" w:space="0" w:color="auto"/>
                    <w:bottom w:val="none" w:sz="0" w:space="0" w:color="auto"/>
                    <w:right w:val="none" w:sz="0" w:space="0" w:color="auto"/>
                  </w:divBdr>
                  <w:divsChild>
                    <w:div w:id="1758864661">
                      <w:marLeft w:val="0"/>
                      <w:marRight w:val="0"/>
                      <w:marTop w:val="0"/>
                      <w:marBottom w:val="0"/>
                      <w:divBdr>
                        <w:top w:val="none" w:sz="0" w:space="0" w:color="auto"/>
                        <w:left w:val="none" w:sz="0" w:space="0" w:color="auto"/>
                        <w:bottom w:val="none" w:sz="0" w:space="0" w:color="auto"/>
                        <w:right w:val="none" w:sz="0" w:space="0" w:color="auto"/>
                      </w:divBdr>
                      <w:divsChild>
                        <w:div w:id="292564614">
                          <w:marLeft w:val="0"/>
                          <w:marRight w:val="0"/>
                          <w:marTop w:val="0"/>
                          <w:marBottom w:val="0"/>
                          <w:divBdr>
                            <w:top w:val="none" w:sz="0" w:space="0" w:color="auto"/>
                            <w:left w:val="none" w:sz="0" w:space="0" w:color="auto"/>
                            <w:bottom w:val="none" w:sz="0" w:space="0" w:color="auto"/>
                            <w:right w:val="none" w:sz="0" w:space="0" w:color="auto"/>
                          </w:divBdr>
                          <w:divsChild>
                            <w:div w:id="1421875546">
                              <w:marLeft w:val="300"/>
                              <w:marRight w:val="0"/>
                              <w:marTop w:val="0"/>
                              <w:marBottom w:val="0"/>
                              <w:divBdr>
                                <w:top w:val="none" w:sz="0" w:space="0" w:color="auto"/>
                                <w:left w:val="none" w:sz="0" w:space="0" w:color="auto"/>
                                <w:bottom w:val="none" w:sz="0" w:space="0" w:color="auto"/>
                                <w:right w:val="none" w:sz="0" w:space="0" w:color="auto"/>
                              </w:divBdr>
                              <w:divsChild>
                                <w:div w:id="537201974">
                                  <w:marLeft w:val="0"/>
                                  <w:marRight w:val="0"/>
                                  <w:marTop w:val="0"/>
                                  <w:marBottom w:val="0"/>
                                  <w:divBdr>
                                    <w:top w:val="none" w:sz="0" w:space="0" w:color="auto"/>
                                    <w:left w:val="none" w:sz="0" w:space="0" w:color="auto"/>
                                    <w:bottom w:val="none" w:sz="0" w:space="0" w:color="auto"/>
                                    <w:right w:val="none" w:sz="0" w:space="0" w:color="auto"/>
                                  </w:divBdr>
                                  <w:divsChild>
                                    <w:div w:id="1994288840">
                                      <w:marLeft w:val="0"/>
                                      <w:marRight w:val="0"/>
                                      <w:marTop w:val="0"/>
                                      <w:marBottom w:val="0"/>
                                      <w:divBdr>
                                        <w:top w:val="none" w:sz="0" w:space="0" w:color="auto"/>
                                        <w:left w:val="none" w:sz="0" w:space="0" w:color="auto"/>
                                        <w:bottom w:val="none" w:sz="0" w:space="0" w:color="auto"/>
                                        <w:right w:val="none" w:sz="0" w:space="0" w:color="auto"/>
                                      </w:divBdr>
                                      <w:divsChild>
                                        <w:div w:id="937907569">
                                          <w:marLeft w:val="0"/>
                                          <w:marRight w:val="0"/>
                                          <w:marTop w:val="0"/>
                                          <w:marBottom w:val="0"/>
                                          <w:divBdr>
                                            <w:top w:val="none" w:sz="0" w:space="0" w:color="auto"/>
                                            <w:left w:val="none" w:sz="0" w:space="0" w:color="auto"/>
                                            <w:bottom w:val="none" w:sz="0" w:space="0" w:color="auto"/>
                                            <w:right w:val="none" w:sz="0" w:space="0" w:color="auto"/>
                                          </w:divBdr>
                                          <w:divsChild>
                                            <w:div w:id="762651929">
                                              <w:marLeft w:val="0"/>
                                              <w:marRight w:val="0"/>
                                              <w:marTop w:val="0"/>
                                              <w:marBottom w:val="0"/>
                                              <w:divBdr>
                                                <w:top w:val="none" w:sz="0" w:space="0" w:color="auto"/>
                                                <w:left w:val="none" w:sz="0" w:space="0" w:color="auto"/>
                                                <w:bottom w:val="none" w:sz="0" w:space="0" w:color="auto"/>
                                                <w:right w:val="none" w:sz="0" w:space="0" w:color="auto"/>
                                              </w:divBdr>
                                              <w:divsChild>
                                                <w:div w:id="914784216">
                                                  <w:marLeft w:val="0"/>
                                                  <w:marRight w:val="0"/>
                                                  <w:marTop w:val="0"/>
                                                  <w:marBottom w:val="0"/>
                                                  <w:divBdr>
                                                    <w:top w:val="none" w:sz="0" w:space="0" w:color="auto"/>
                                                    <w:left w:val="none" w:sz="0" w:space="0" w:color="auto"/>
                                                    <w:bottom w:val="none" w:sz="0" w:space="0" w:color="auto"/>
                                                    <w:right w:val="none" w:sz="0" w:space="0" w:color="auto"/>
                                                  </w:divBdr>
                                                  <w:divsChild>
                                                    <w:div w:id="482162937">
                                                      <w:marLeft w:val="0"/>
                                                      <w:marRight w:val="0"/>
                                                      <w:marTop w:val="0"/>
                                                      <w:marBottom w:val="0"/>
                                                      <w:divBdr>
                                                        <w:top w:val="none" w:sz="0" w:space="0" w:color="auto"/>
                                                        <w:left w:val="none" w:sz="0" w:space="0" w:color="auto"/>
                                                        <w:bottom w:val="none" w:sz="0" w:space="0" w:color="auto"/>
                                                        <w:right w:val="none" w:sz="0" w:space="0" w:color="auto"/>
                                                      </w:divBdr>
                                                      <w:divsChild>
                                                        <w:div w:id="10096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683019">
      <w:bodyDiv w:val="1"/>
      <w:marLeft w:val="0"/>
      <w:marRight w:val="0"/>
      <w:marTop w:val="0"/>
      <w:marBottom w:val="0"/>
      <w:divBdr>
        <w:top w:val="none" w:sz="0" w:space="0" w:color="auto"/>
        <w:left w:val="none" w:sz="0" w:space="0" w:color="auto"/>
        <w:bottom w:val="none" w:sz="0" w:space="0" w:color="auto"/>
        <w:right w:val="none" w:sz="0" w:space="0" w:color="auto"/>
      </w:divBdr>
    </w:div>
    <w:div w:id="1301040052">
      <w:bodyDiv w:val="1"/>
      <w:marLeft w:val="0"/>
      <w:marRight w:val="0"/>
      <w:marTop w:val="0"/>
      <w:marBottom w:val="0"/>
      <w:divBdr>
        <w:top w:val="none" w:sz="0" w:space="0" w:color="auto"/>
        <w:left w:val="none" w:sz="0" w:space="0" w:color="auto"/>
        <w:bottom w:val="none" w:sz="0" w:space="0" w:color="auto"/>
        <w:right w:val="none" w:sz="0" w:space="0" w:color="auto"/>
      </w:divBdr>
    </w:div>
    <w:div w:id="1313364491">
      <w:bodyDiv w:val="1"/>
      <w:marLeft w:val="0"/>
      <w:marRight w:val="0"/>
      <w:marTop w:val="0"/>
      <w:marBottom w:val="0"/>
      <w:divBdr>
        <w:top w:val="none" w:sz="0" w:space="0" w:color="auto"/>
        <w:left w:val="none" w:sz="0" w:space="0" w:color="auto"/>
        <w:bottom w:val="none" w:sz="0" w:space="0" w:color="auto"/>
        <w:right w:val="none" w:sz="0" w:space="0" w:color="auto"/>
      </w:divBdr>
    </w:div>
    <w:div w:id="1382173782">
      <w:bodyDiv w:val="1"/>
      <w:marLeft w:val="0"/>
      <w:marRight w:val="0"/>
      <w:marTop w:val="0"/>
      <w:marBottom w:val="0"/>
      <w:divBdr>
        <w:top w:val="none" w:sz="0" w:space="0" w:color="auto"/>
        <w:left w:val="none" w:sz="0" w:space="0" w:color="auto"/>
        <w:bottom w:val="none" w:sz="0" w:space="0" w:color="auto"/>
        <w:right w:val="none" w:sz="0" w:space="0" w:color="auto"/>
      </w:divBdr>
    </w:div>
    <w:div w:id="1478956874">
      <w:bodyDiv w:val="1"/>
      <w:marLeft w:val="0"/>
      <w:marRight w:val="0"/>
      <w:marTop w:val="0"/>
      <w:marBottom w:val="0"/>
      <w:divBdr>
        <w:top w:val="none" w:sz="0" w:space="0" w:color="auto"/>
        <w:left w:val="none" w:sz="0" w:space="0" w:color="auto"/>
        <w:bottom w:val="none" w:sz="0" w:space="0" w:color="auto"/>
        <w:right w:val="none" w:sz="0" w:space="0" w:color="auto"/>
      </w:divBdr>
    </w:div>
    <w:div w:id="1586693364">
      <w:bodyDiv w:val="1"/>
      <w:marLeft w:val="0"/>
      <w:marRight w:val="0"/>
      <w:marTop w:val="0"/>
      <w:marBottom w:val="0"/>
      <w:divBdr>
        <w:top w:val="none" w:sz="0" w:space="0" w:color="auto"/>
        <w:left w:val="none" w:sz="0" w:space="0" w:color="auto"/>
        <w:bottom w:val="none" w:sz="0" w:space="0" w:color="auto"/>
        <w:right w:val="none" w:sz="0" w:space="0" w:color="auto"/>
      </w:divBdr>
    </w:div>
    <w:div w:id="1600941308">
      <w:bodyDiv w:val="1"/>
      <w:marLeft w:val="0"/>
      <w:marRight w:val="0"/>
      <w:marTop w:val="0"/>
      <w:marBottom w:val="0"/>
      <w:divBdr>
        <w:top w:val="none" w:sz="0" w:space="0" w:color="auto"/>
        <w:left w:val="none" w:sz="0" w:space="0" w:color="auto"/>
        <w:bottom w:val="none" w:sz="0" w:space="0" w:color="auto"/>
        <w:right w:val="none" w:sz="0" w:space="0" w:color="auto"/>
      </w:divBdr>
    </w:div>
    <w:div w:id="1894386989">
      <w:bodyDiv w:val="1"/>
      <w:marLeft w:val="0"/>
      <w:marRight w:val="0"/>
      <w:marTop w:val="0"/>
      <w:marBottom w:val="0"/>
      <w:divBdr>
        <w:top w:val="none" w:sz="0" w:space="0" w:color="auto"/>
        <w:left w:val="none" w:sz="0" w:space="0" w:color="auto"/>
        <w:bottom w:val="none" w:sz="0" w:space="0" w:color="auto"/>
        <w:right w:val="none" w:sz="0" w:space="0" w:color="auto"/>
      </w:divBdr>
    </w:div>
    <w:div w:id="1959292920">
      <w:bodyDiv w:val="1"/>
      <w:marLeft w:val="0"/>
      <w:marRight w:val="0"/>
      <w:marTop w:val="0"/>
      <w:marBottom w:val="0"/>
      <w:divBdr>
        <w:top w:val="none" w:sz="0" w:space="0" w:color="auto"/>
        <w:left w:val="none" w:sz="0" w:space="0" w:color="auto"/>
        <w:bottom w:val="none" w:sz="0" w:space="0" w:color="auto"/>
        <w:right w:val="none" w:sz="0" w:space="0" w:color="auto"/>
      </w:divBdr>
    </w:div>
    <w:div w:id="209095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webSettings" Target="webSettings.xml"/><Relationship Id="rId12" Type="http://schemas.openxmlformats.org/officeDocument/2006/relationships/hyperlink" Target="http://s-do-prod-ap/en/The_agency/Organisation/Working_groups/Pages/default.aspx"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cernet.acer.europa.eu/portal/page/portal/ACER_HOME/Public_Docs/Board_of_Regulators/2012%20Meetings/23rd%20Bo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28" Type="http://schemas.openxmlformats.org/officeDocument/2006/relationships/customXml" Target="../customXml/item7.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2" Type="http://schemas.openxmlformats.org/officeDocument/2006/relationships/hyperlink" Target="http://s-do-prod-ap/en/Gas/Regional_%20Intiatives/CAM_roadmap/Pages/default.aspx" TargetMode="External"/><Relationship Id="rId1" Type="http://schemas.openxmlformats.org/officeDocument/2006/relationships/hyperlink" Target="http://s-do-prod-ap/en/Electricity/Regional_initiatives/Cross_Regional_Roadmaps/Pages/Cross-Regional-Roadmap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_x0020_date xmlns="7bd7530c-6cfd-4e50-ab17-5fea2aac87a9" xsi:nil="true"/>
    <Description0 xmlns="7bd7530c-6cfd-4e50-ab17-5fea2aac87a9" xsi:nil="true"/>
    <_dlc_DocId xmlns="985daa2e-53d8-4475-82b8-9c7d25324e34">ACER-2015-21814</_dlc_DocId>
    <_dlc_DocIdUrl xmlns="985daa2e-53d8-4475-82b8-9c7d25324e34">
      <Url>http://s-do-prod-ap/en/The_agency/Organisation/Administrative_Board/Meetings/_layouts/DocIdRedir.aspx?ID=ACER-2015-21814</Url>
      <Description>ACER-2015-21814</Description>
    </_dlc_DocIdUrl>
    <ACER_Abstract xmlns="985daa2e-53d8-4475-82b8-9c7d25324e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103821FEC747314BA10417F76DBA394F" ma:contentTypeVersion="21" ma:contentTypeDescription="Create a new document." ma:contentTypeScope="" ma:versionID="a556207110b4c2f351d6e361f827a41a">
  <xsd:schema xmlns:xsd="http://www.w3.org/2001/XMLSchema" xmlns:xs="http://www.w3.org/2001/XMLSchema" xmlns:p="http://schemas.microsoft.com/office/2006/metadata/properties" xmlns:ns2="7bd7530c-6cfd-4e50-ab17-5fea2aac87a9" xmlns:ns3="985daa2e-53d8-4475-82b8-9c7d25324e34" targetNamespace="http://schemas.microsoft.com/office/2006/metadata/properties" ma:root="true" ma:fieldsID="5671e960a20aeac14cea1a28af383ecb" ns2:_="" ns3:_="">
    <xsd:import namespace="7bd7530c-6cfd-4e50-ab17-5fea2aac87a9"/>
    <xsd:import namespace="985daa2e-53d8-4475-82b8-9c7d25324e34"/>
    <xsd:element name="properties">
      <xsd:complexType>
        <xsd:sequence>
          <xsd:element name="documentManagement">
            <xsd:complexType>
              <xsd:all>
                <xsd:element ref="ns2:Description0" minOccurs="0"/>
                <xsd:element ref="ns2:Publishing_x0020_date" minOccurs="0"/>
                <xsd:element ref="ns3:_dlc_DocId" minOccurs="0"/>
                <xsd:element ref="ns3:_dlc_DocIdUrl" minOccurs="0"/>
                <xsd:element ref="ns3:_dlc_DocIdPersistId" minOccurs="0"/>
                <xsd:element ref="ns3: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Note">
          <xsd:maxLength value="255"/>
        </xsd:restriction>
      </xsd:simpleType>
    </xsd:element>
    <xsd:element name="Publishing_x0020_date" ma:index="9" nillable="true" ma:displayName="Publishing date" ma:format="DateOnly" ma:internalName="Publish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ACER_Abstract" ma:index="13"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Props1.xml><?xml version="1.0" encoding="utf-8"?>
<ds:datastoreItem xmlns:ds="http://schemas.openxmlformats.org/officeDocument/2006/customXml" ds:itemID="{444FFC6A-B25F-4116-B946-52A090376675}"/>
</file>

<file path=customXml/itemProps2.xml><?xml version="1.0" encoding="utf-8"?>
<ds:datastoreItem xmlns:ds="http://schemas.openxmlformats.org/officeDocument/2006/customXml" ds:itemID="{9B8AF3BE-B6E2-4A26-8EA6-5E5CEACE083F}"/>
</file>

<file path=customXml/itemProps3.xml><?xml version="1.0" encoding="utf-8"?>
<ds:datastoreItem xmlns:ds="http://schemas.openxmlformats.org/officeDocument/2006/customXml" ds:itemID="{28D268B0-0F00-44C2-8853-66A98EADD371}"/>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20B222BF-CEDE-4CF0-A74A-01B0310AFD30}"/>
</file>

<file path=customXml/itemProps6.xml><?xml version="1.0" encoding="utf-8"?>
<ds:datastoreItem xmlns:ds="http://schemas.openxmlformats.org/officeDocument/2006/customXml" ds:itemID="{A360C492-1E73-4991-8367-CDC30D4294D4}"/>
</file>

<file path=customXml/itemProps7.xml><?xml version="1.0" encoding="utf-8"?>
<ds:datastoreItem xmlns:ds="http://schemas.openxmlformats.org/officeDocument/2006/customXml" ds:itemID="{122F7091-E720-4FD1-935F-A6B7E84C48A1}"/>
</file>

<file path=docProps/app.xml><?xml version="1.0" encoding="utf-8"?>
<Properties xmlns="http://schemas.openxmlformats.org/officeDocument/2006/extended-properties" xmlns:vt="http://schemas.openxmlformats.org/officeDocument/2006/docPropsVTypes">
  <Template>Normal</Template>
  <TotalTime>0</TotalTime>
  <Pages>7</Pages>
  <Words>34224</Words>
  <Characters>195080</Characters>
  <Application>Microsoft Office Word</Application>
  <DocSecurity>4</DocSecurity>
  <Lines>1625</Lines>
  <Paragraphs>457</Paragraphs>
  <ScaleCrop>false</ScaleCrop>
  <HeadingPairs>
    <vt:vector size="2" baseType="variant">
      <vt:variant>
        <vt:lpstr>Title</vt:lpstr>
      </vt:variant>
      <vt:variant>
        <vt:i4>1</vt:i4>
      </vt:variant>
    </vt:vector>
  </HeadingPairs>
  <TitlesOfParts>
    <vt:vector size="1" baseType="lpstr">
      <vt:lpstr/>
    </vt:vector>
  </TitlesOfParts>
  <Company>Translation Centre</Company>
  <LinksUpToDate>false</LinksUpToDate>
  <CharactersWithSpaces>228847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Centre</dc:creator>
  <cp:lastModifiedBy>Sasa Borko</cp:lastModifiedBy>
  <cp:revision>2</cp:revision>
  <cp:lastPrinted>2014-06-30T10:08:00Z</cp:lastPrinted>
  <dcterms:created xsi:type="dcterms:W3CDTF">2014-08-27T13:35:00Z</dcterms:created>
  <dcterms:modified xsi:type="dcterms:W3CDTF">2014-08-27T13:35:00Z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0x010100103821FEC747314BA10417F76DBA394F</vt:lpwstr>
  </property>
  <property fmtid="{D5CDD505-2E9C-101B-9397-08002B2CF9AE}" pid="3" name="_dlc_DocIdItemGuid">
    <vt:lpwstr>e0982449-ea7b-4f9e-b3e2-01bf5c696f07</vt:lpwstr>
  </property>
</Properties>
</file>